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CourseCompass Technical Report</w:t>
      </w:r>
    </w:p>
    <w:p>
      <w:pPr>
        <w:spacing w:after="200"/>
        <w:jc w:val="center"/>
      </w:pPr>
      <w:r>
        <w:rPr>
          <w:rFonts w:ascii="Arial" w:hAnsi="Arial"/>
          <w:sz w:val="24"/>
        </w:rPr>
        <w:t>Association Rule Mining for Course Recommendations</w:t>
      </w:r>
    </w:p>
    <w:p>
      <w:pPr>
        <w:spacing w:after="280"/>
        <w:jc w:val="center"/>
      </w:pPr>
      <w:r>
        <w:t>AI3002 Applied Machine Learning  |  Assignment 01</w:t>
        <w:br/>
      </w:r>
      <w:r>
        <w:t>National University of Computer &amp; Emerging Sciences (FAST-NUCES)</w:t>
        <w:br/>
      </w:r>
      <w:r>
        <w:t>BS Software Engineering  |  Fall 2026  |  Instructor: Shoaib Khan  |  CLO 1</w:t>
      </w:r>
    </w:p>
    <w:p>
      <w:pPr>
        <w:pStyle w:val="Heading1"/>
      </w:pPr>
      <w:r>
        <w:t>1 Introduction and Problem Statement</w:t>
      </w:r>
    </w:p>
    <w:p>
      <w:pPr>
        <w:widowControl/>
      </w:pPr>
      <w:r>
        <w:t>CourseCompass recommends courses using patterns in learner enrollments. Each learner’s course enrollments are treated as one basket. Apriori finds course combinations that appear often, and association rules use those combinations to suggest a course a learner has not selected.</w:t>
      </w:r>
    </w:p>
    <w:p>
      <w:pPr>
        <w:widowControl/>
      </w:pPr>
      <w:r>
        <w:t>The system also shows the rule and its support, confidence, and lift so a user can see why a course was suggested. These results describe courses taken together in the dataset. They do not show that taking one course causes a learner to take another.</w:t>
      </w:r>
    </w:p>
    <w:p>
      <w:pPr>
        <w:pStyle w:val="Heading1"/>
      </w:pPr>
      <w:r>
        <w:t>2 Application Domain</w:t>
      </w:r>
    </w:p>
    <w:p>
      <w:pPr>
        <w:widowControl/>
      </w:pPr>
      <w:r>
        <w:t>The project uses online course enrollment as its application domain. A learner who enrolled in more than one course forms a multi-item basket. For example, a rule can show how often learners enrolled in The Ancient Greek Hero also enrolled in Justice: What’s the Right Thing to Do? CourseCompass uses these patterns to suggest related courses and explain the evidence behind each suggestion.</w:t>
      </w:r>
    </w:p>
    <w:p>
      <w:pPr>
        <w:pStyle w:val="Heading1"/>
      </w:pPr>
      <w:r>
        <w:t>3 Dataset and Preprocessing</w:t>
      </w:r>
    </w:p>
    <w:p>
      <w:pPr>
        <w:widowControl/>
      </w:pPr>
      <w:r>
        <w:t>The data comes from the HarvardX Person-Course Academic Year 2013 de-identified dataset, version 3.0. The project uses five course IDs from the dataset. The raw file contains one learner-course record per enrollment.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2232"/>
        <w:gridCol w:w="4824"/>
      </w:tblGrid>
      <w:tr>
        <w:trPr>
          <w:tblHeader w:val="true"/>
        </w:trPr>
        <w:tc>
          <w:tcPr>
            <w:tcW w:type="dxa" w:w="2880"/>
            <w:vAlign w:val="center"/>
            <w:shd w:fill="E8EDF2"/>
            <w:tcMar>
              <w:top w:w="80" w:type="dxa"/>
              <w:start w:w="90" w:type="dxa"/>
              <w:bottom w:w="80" w:type="dxa"/>
              <w:end w:w="90" w:type="dxa"/>
            </w:tcMar>
          </w:tcPr>
          <w:p>
            <w:pPr>
              <w:spacing w:after="0"/>
            </w:pPr>
            <w:r>
              <w:rPr>
                <w:rFonts w:ascii="Arial" w:hAnsi="Arial"/>
                <w:b/>
                <w:sz w:val="18"/>
              </w:rPr>
              <w:t>Measure</w:t>
            </w:r>
          </w:p>
        </w:tc>
        <w:tc>
          <w:tcPr>
            <w:tcW w:type="dxa" w:w="2232"/>
            <w:vAlign w:val="center"/>
            <w:shd w:fill="E8EDF2"/>
            <w:tcMar>
              <w:top w:w="80" w:type="dxa"/>
              <w:start w:w="90" w:type="dxa"/>
              <w:bottom w:w="80" w:type="dxa"/>
              <w:end w:w="90" w:type="dxa"/>
            </w:tcMar>
          </w:tcPr>
          <w:p>
            <w:pPr>
              <w:spacing w:after="0"/>
            </w:pPr>
            <w:r>
              <w:rPr>
                <w:rFonts w:ascii="Arial" w:hAnsi="Arial"/>
                <w:b/>
                <w:sz w:val="18"/>
              </w:rPr>
              <w:t>Value</w:t>
            </w:r>
          </w:p>
        </w:tc>
        <w:tc>
          <w:tcPr>
            <w:tcW w:type="dxa" w:w="4824"/>
            <w:vAlign w:val="center"/>
            <w:shd w:fill="E8EDF2"/>
            <w:tcMar>
              <w:top w:w="80" w:type="dxa"/>
              <w:start w:w="90" w:type="dxa"/>
              <w:bottom w:w="80" w:type="dxa"/>
              <w:end w:w="90" w:type="dxa"/>
            </w:tcMar>
          </w:tcPr>
          <w:p>
            <w:pPr>
              <w:spacing w:after="0"/>
            </w:pPr>
            <w:r>
              <w:rPr>
                <w:rFonts w:ascii="Arial" w:hAnsi="Arial"/>
                <w:b/>
                <w:sz w:val="18"/>
              </w:rPr>
              <w:t>Meaning</w:t>
            </w:r>
          </w:p>
        </w:tc>
      </w:tr>
      <w:tr>
        <w:tc>
          <w:tcPr>
            <w:tcW w:type="dxa" w:w="2880"/>
            <w:vAlign w:val="center"/>
            <w:tcMar>
              <w:top w:w="80" w:type="dxa"/>
              <w:start w:w="90" w:type="dxa"/>
              <w:bottom w:w="80" w:type="dxa"/>
              <w:end w:w="90" w:type="dxa"/>
            </w:tcMar>
          </w:tcPr>
          <w:p>
            <w:pPr>
              <w:spacing w:after="0" w:line="240" w:lineRule="auto"/>
            </w:pPr>
            <w:r>
              <w:rPr>
                <w:rFonts w:ascii="Arial" w:hAnsi="Arial"/>
                <w:sz w:val="18"/>
              </w:rPr>
              <w:t>Enrollment records</w:t>
            </w:r>
          </w:p>
        </w:tc>
        <w:tc>
          <w:tcPr>
            <w:tcW w:type="dxa" w:w="2232"/>
            <w:vAlign w:val="center"/>
            <w:tcMar>
              <w:top w:w="80" w:type="dxa"/>
              <w:start w:w="90" w:type="dxa"/>
              <w:bottom w:w="80" w:type="dxa"/>
              <w:end w:w="90" w:type="dxa"/>
            </w:tcMar>
          </w:tcPr>
          <w:p>
            <w:pPr>
              <w:spacing w:after="0" w:line="240" w:lineRule="auto"/>
            </w:pPr>
            <w:r>
              <w:rPr>
                <w:rFonts w:ascii="Arial" w:hAnsi="Arial"/>
                <w:sz w:val="18"/>
              </w:rPr>
              <w:t>338,223</w:t>
            </w:r>
          </w:p>
        </w:tc>
        <w:tc>
          <w:tcPr>
            <w:tcW w:type="dxa" w:w="4824"/>
            <w:vAlign w:val="center"/>
            <w:tcMar>
              <w:top w:w="80" w:type="dxa"/>
              <w:start w:w="90" w:type="dxa"/>
              <w:bottom w:w="80" w:type="dxa"/>
              <w:end w:w="90" w:type="dxa"/>
            </w:tcMar>
          </w:tcPr>
          <w:p>
            <w:pPr>
              <w:spacing w:after="0" w:line="240" w:lineRule="auto"/>
            </w:pPr>
            <w:r>
              <w:rPr>
                <w:rFonts w:ascii="Arial" w:hAnsi="Arial"/>
                <w:sz w:val="18"/>
              </w:rPr>
              <w:t>Rows in the project dataset</w:t>
            </w:r>
          </w:p>
        </w:tc>
      </w:tr>
      <w:tr>
        <w:tc>
          <w:tcPr>
            <w:tcW w:type="dxa" w:w="2880"/>
            <w:vAlign w:val="center"/>
            <w:tcMar>
              <w:top w:w="80" w:type="dxa"/>
              <w:start w:w="90" w:type="dxa"/>
              <w:bottom w:w="80" w:type="dxa"/>
              <w:end w:w="90" w:type="dxa"/>
            </w:tcMar>
          </w:tcPr>
          <w:p>
            <w:pPr>
              <w:spacing w:after="0" w:line="240" w:lineRule="auto"/>
            </w:pPr>
            <w:r>
              <w:rPr>
                <w:rFonts w:ascii="Arial" w:hAnsi="Arial"/>
                <w:sz w:val="18"/>
              </w:rPr>
              <w:t>Unique learners</w:t>
            </w:r>
          </w:p>
        </w:tc>
        <w:tc>
          <w:tcPr>
            <w:tcW w:type="dxa" w:w="2232"/>
            <w:vAlign w:val="center"/>
            <w:tcMar>
              <w:top w:w="80" w:type="dxa"/>
              <w:start w:w="90" w:type="dxa"/>
              <w:bottom w:w="80" w:type="dxa"/>
              <w:end w:w="90" w:type="dxa"/>
            </w:tcMar>
          </w:tcPr>
          <w:p>
            <w:pPr>
              <w:spacing w:after="0" w:line="240" w:lineRule="auto"/>
            </w:pPr>
            <w:r>
              <w:rPr>
                <w:rFonts w:ascii="Arial" w:hAnsi="Arial"/>
                <w:sz w:val="18"/>
              </w:rPr>
              <w:t>301,609</w:t>
            </w:r>
          </w:p>
        </w:tc>
        <w:tc>
          <w:tcPr>
            <w:tcW w:type="dxa" w:w="4824"/>
            <w:vAlign w:val="center"/>
            <w:tcMar>
              <w:top w:w="80" w:type="dxa"/>
              <w:start w:w="90" w:type="dxa"/>
              <w:bottom w:w="80" w:type="dxa"/>
              <w:end w:w="90" w:type="dxa"/>
            </w:tcMar>
          </w:tcPr>
          <w:p>
            <w:pPr>
              <w:spacing w:after="0" w:line="240" w:lineRule="auto"/>
            </w:pPr>
            <w:r>
              <w:rPr>
                <w:rFonts w:ascii="Arial" w:hAnsi="Arial"/>
                <w:sz w:val="18"/>
              </w:rPr>
              <w:t>Distinct de-identified learner IDs</w:t>
            </w:r>
          </w:p>
        </w:tc>
      </w:tr>
      <w:tr>
        <w:tc>
          <w:tcPr>
            <w:tcW w:type="dxa" w:w="2880"/>
            <w:vAlign w:val="center"/>
            <w:tcMar>
              <w:top w:w="80" w:type="dxa"/>
              <w:start w:w="90" w:type="dxa"/>
              <w:bottom w:w="80" w:type="dxa"/>
              <w:end w:w="90" w:type="dxa"/>
            </w:tcMar>
          </w:tcPr>
          <w:p>
            <w:pPr>
              <w:spacing w:after="0" w:line="240" w:lineRule="auto"/>
            </w:pPr>
            <w:r>
              <w:rPr>
                <w:rFonts w:ascii="Arial" w:hAnsi="Arial"/>
                <w:sz w:val="18"/>
              </w:rPr>
              <w:t>Courses</w:t>
            </w:r>
          </w:p>
        </w:tc>
        <w:tc>
          <w:tcPr>
            <w:tcW w:type="dxa" w:w="2232"/>
            <w:vAlign w:val="center"/>
            <w:tcMar>
              <w:top w:w="80" w:type="dxa"/>
              <w:start w:w="90" w:type="dxa"/>
              <w:bottom w:w="80" w:type="dxa"/>
              <w:end w:w="90" w:type="dxa"/>
            </w:tcMar>
          </w:tcPr>
          <w:p>
            <w:pPr>
              <w:spacing w:after="0" w:line="240" w:lineRule="auto"/>
            </w:pPr>
            <w:r>
              <w:rPr>
                <w:rFonts w:ascii="Arial" w:hAnsi="Arial"/>
                <w:sz w:val="18"/>
              </w:rPr>
              <w:t>5</w:t>
            </w:r>
          </w:p>
        </w:tc>
        <w:tc>
          <w:tcPr>
            <w:tcW w:type="dxa" w:w="4824"/>
            <w:vAlign w:val="center"/>
            <w:tcMar>
              <w:top w:w="80" w:type="dxa"/>
              <w:start w:w="90" w:type="dxa"/>
              <w:bottom w:w="80" w:type="dxa"/>
              <w:end w:w="90" w:type="dxa"/>
            </w:tcMar>
          </w:tcPr>
          <w:p>
            <w:pPr>
              <w:spacing w:after="0" w:line="240" w:lineRule="auto"/>
            </w:pPr>
            <w:r>
              <w:rPr>
                <w:rFonts w:ascii="Arial" w:hAnsi="Arial"/>
                <w:sz w:val="18"/>
              </w:rPr>
              <w:t>Course IDs used by CourseCompass</w:t>
            </w:r>
          </w:p>
        </w:tc>
      </w:tr>
      <w:tr>
        <w:tc>
          <w:tcPr>
            <w:tcW w:type="dxa" w:w="2880"/>
            <w:vAlign w:val="center"/>
            <w:tcMar>
              <w:top w:w="80" w:type="dxa"/>
              <w:start w:w="90" w:type="dxa"/>
              <w:bottom w:w="80" w:type="dxa"/>
              <w:end w:w="90" w:type="dxa"/>
            </w:tcMar>
          </w:tcPr>
          <w:p>
            <w:pPr>
              <w:spacing w:after="0" w:line="240" w:lineRule="auto"/>
            </w:pPr>
            <w:r>
              <w:rPr>
                <w:rFonts w:ascii="Arial" w:hAnsi="Arial"/>
                <w:sz w:val="18"/>
              </w:rPr>
              <w:t>Learners in 2 or more courses</w:t>
            </w:r>
          </w:p>
        </w:tc>
        <w:tc>
          <w:tcPr>
            <w:tcW w:type="dxa" w:w="2232"/>
            <w:vAlign w:val="center"/>
            <w:tcMar>
              <w:top w:w="80" w:type="dxa"/>
              <w:start w:w="90" w:type="dxa"/>
              <w:bottom w:w="80" w:type="dxa"/>
              <w:end w:w="90" w:type="dxa"/>
            </w:tcMar>
          </w:tcPr>
          <w:p>
            <w:pPr>
              <w:spacing w:after="0" w:line="240" w:lineRule="auto"/>
            </w:pPr>
            <w:r>
              <w:rPr>
                <w:rFonts w:ascii="Arial" w:hAnsi="Arial"/>
                <w:sz w:val="18"/>
              </w:rPr>
              <w:t>30,267 (10.04%)</w:t>
            </w:r>
          </w:p>
        </w:tc>
        <w:tc>
          <w:tcPr>
            <w:tcW w:type="dxa" w:w="4824"/>
            <w:vAlign w:val="center"/>
            <w:tcMar>
              <w:top w:w="80" w:type="dxa"/>
              <w:start w:w="90" w:type="dxa"/>
              <w:bottom w:w="80" w:type="dxa"/>
              <w:end w:w="90" w:type="dxa"/>
            </w:tcMar>
          </w:tcPr>
          <w:p>
            <w:pPr>
              <w:spacing w:after="0" w:line="240" w:lineRule="auto"/>
            </w:pPr>
            <w:r>
              <w:rPr>
                <w:rFonts w:ascii="Arial" w:hAnsi="Arial"/>
                <w:sz w:val="18"/>
              </w:rPr>
              <w:t>Baskets used for the main rule-mining results</w:t>
            </w:r>
          </w:p>
        </w:tc>
      </w:tr>
      <w:tr>
        <w:tc>
          <w:tcPr>
            <w:tcW w:type="dxa" w:w="2880"/>
            <w:vAlign w:val="center"/>
            <w:tcMar>
              <w:top w:w="80" w:type="dxa"/>
              <w:start w:w="90" w:type="dxa"/>
              <w:bottom w:w="80" w:type="dxa"/>
              <w:end w:w="90" w:type="dxa"/>
            </w:tcMar>
          </w:tcPr>
          <w:p>
            <w:pPr>
              <w:spacing w:after="0" w:line="240" w:lineRule="auto"/>
            </w:pPr>
            <w:r>
              <w:rPr>
                <w:rFonts w:ascii="Arial" w:hAnsi="Arial"/>
                <w:sz w:val="18"/>
              </w:rPr>
              <w:t>Learners in 1 course</w:t>
            </w:r>
          </w:p>
        </w:tc>
        <w:tc>
          <w:tcPr>
            <w:tcW w:type="dxa" w:w="2232"/>
            <w:vAlign w:val="center"/>
            <w:tcMar>
              <w:top w:w="80" w:type="dxa"/>
              <w:start w:w="90" w:type="dxa"/>
              <w:bottom w:w="80" w:type="dxa"/>
              <w:end w:w="90" w:type="dxa"/>
            </w:tcMar>
          </w:tcPr>
          <w:p>
            <w:pPr>
              <w:spacing w:after="0" w:line="240" w:lineRule="auto"/>
            </w:pPr>
            <w:r>
              <w:rPr>
                <w:rFonts w:ascii="Arial" w:hAnsi="Arial"/>
                <w:sz w:val="18"/>
              </w:rPr>
              <w:t>271,342 (89.96%)</w:t>
            </w:r>
          </w:p>
        </w:tc>
        <w:tc>
          <w:tcPr>
            <w:tcW w:type="dxa" w:w="4824"/>
            <w:vAlign w:val="center"/>
            <w:tcMar>
              <w:top w:w="80" w:type="dxa"/>
              <w:start w:w="90" w:type="dxa"/>
              <w:bottom w:w="80" w:type="dxa"/>
              <w:end w:w="90" w:type="dxa"/>
            </w:tcMar>
          </w:tcPr>
          <w:p>
            <w:pPr>
              <w:spacing w:after="0" w:line="240" w:lineRule="auto"/>
            </w:pPr>
            <w:r>
              <w:rPr>
                <w:rFonts w:ascii="Arial" w:hAnsi="Arial"/>
                <w:sz w:val="18"/>
              </w:rPr>
              <w:t>Single-course baskets</w:t>
            </w:r>
          </w:p>
        </w:tc>
      </w:tr>
      <w:tr>
        <w:tc>
          <w:tcPr>
            <w:tcW w:type="dxa" w:w="2880"/>
            <w:vAlign w:val="center"/>
            <w:tcMar>
              <w:top w:w="80" w:type="dxa"/>
              <w:start w:w="90" w:type="dxa"/>
              <w:bottom w:w="80" w:type="dxa"/>
              <w:end w:w="90" w:type="dxa"/>
            </w:tcMar>
          </w:tcPr>
          <w:p>
            <w:pPr>
              <w:spacing w:after="0" w:line="240" w:lineRule="auto"/>
            </w:pPr>
            <w:r>
              <w:rPr>
                <w:rFonts w:ascii="Arial" w:hAnsi="Arial"/>
                <w:sz w:val="18"/>
              </w:rPr>
              <w:t>Largest basket</w:t>
            </w:r>
          </w:p>
        </w:tc>
        <w:tc>
          <w:tcPr>
            <w:tcW w:type="dxa" w:w="2232"/>
            <w:vAlign w:val="center"/>
            <w:tcMar>
              <w:top w:w="80" w:type="dxa"/>
              <w:start w:w="90" w:type="dxa"/>
              <w:bottom w:w="80" w:type="dxa"/>
              <w:end w:w="90" w:type="dxa"/>
            </w:tcMar>
          </w:tcPr>
          <w:p>
            <w:pPr>
              <w:spacing w:after="0" w:line="240" w:lineRule="auto"/>
            </w:pPr>
            <w:r>
              <w:rPr>
                <w:rFonts w:ascii="Arial" w:hAnsi="Arial"/>
                <w:sz w:val="18"/>
              </w:rPr>
              <w:t>5 courses</w:t>
            </w:r>
          </w:p>
        </w:tc>
        <w:tc>
          <w:tcPr>
            <w:tcW w:type="dxa" w:w="4824"/>
            <w:vAlign w:val="center"/>
            <w:tcMar>
              <w:top w:w="80" w:type="dxa"/>
              <w:start w:w="90" w:type="dxa"/>
              <w:bottom w:w="80" w:type="dxa"/>
              <w:end w:w="90" w:type="dxa"/>
            </w:tcMar>
          </w:tcPr>
          <w:p>
            <w:pPr>
              <w:spacing w:after="0" w:line="240" w:lineRule="auto"/>
            </w:pPr>
            <w:r>
              <w:rPr>
                <w:rFonts w:ascii="Arial" w:hAnsi="Arial"/>
                <w:sz w:val="18"/>
              </w:rPr>
              <w:t>Maximum course count for one learner</w:t>
            </w:r>
          </w:p>
        </w:tc>
      </w:tr>
    </w:tbl>
    <w:p>
      <w:pPr>
        <w:spacing w:after="20"/>
      </w:pPr>
    </w:p>
    <w:p>
      <w:pPr>
        <w:widowControl/>
      </w:pPr>
      <w:r>
        <w:t>The five courses and their enrollment counts are shown below. Counts refer to enrollment records, so one learner may appear in more than one course.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224"/>
        <w:gridCol w:w="6552"/>
        <w:gridCol w:w="2160"/>
      </w:tblGrid>
      <w:tr>
        <w:trPr>
          <w:tblHeader w:val="true"/>
        </w:trPr>
        <w:tc>
          <w:tcPr>
            <w:tcW w:type="dxa" w:w="1224"/>
            <w:vAlign w:val="center"/>
            <w:shd w:fill="E8EDF2"/>
            <w:tcMar>
              <w:top w:w="80" w:type="dxa"/>
              <w:start w:w="90" w:type="dxa"/>
              <w:bottom w:w="80" w:type="dxa"/>
              <w:end w:w="90" w:type="dxa"/>
            </w:tcMar>
          </w:tcPr>
          <w:p>
            <w:pPr>
              <w:spacing w:after="0"/>
            </w:pPr>
            <w:r>
              <w:rPr>
                <w:rFonts w:ascii="Arial" w:hAnsi="Arial"/>
                <w:b/>
                <w:sz w:val="17"/>
              </w:rPr>
              <w:t>Course</w:t>
            </w:r>
          </w:p>
        </w:tc>
        <w:tc>
          <w:tcPr>
            <w:tcW w:type="dxa" w:w="6552"/>
            <w:vAlign w:val="center"/>
            <w:shd w:fill="E8EDF2"/>
            <w:tcMar>
              <w:top w:w="80" w:type="dxa"/>
              <w:start w:w="90" w:type="dxa"/>
              <w:bottom w:w="80" w:type="dxa"/>
              <w:end w:w="90" w:type="dxa"/>
            </w:tcMar>
          </w:tcPr>
          <w:p>
            <w:pPr>
              <w:spacing w:after="0"/>
            </w:pPr>
            <w:r>
              <w:rPr>
                <w:rFonts w:ascii="Arial" w:hAnsi="Arial"/>
                <w:b/>
                <w:sz w:val="17"/>
              </w:rPr>
              <w:t>Title</w:t>
            </w:r>
          </w:p>
        </w:tc>
        <w:tc>
          <w:tcPr>
            <w:tcW w:type="dxa" w:w="2160"/>
            <w:vAlign w:val="center"/>
            <w:shd w:fill="E8EDF2"/>
            <w:tcMar>
              <w:top w:w="80" w:type="dxa"/>
              <w:start w:w="90" w:type="dxa"/>
              <w:bottom w:w="80" w:type="dxa"/>
              <w:end w:w="90" w:type="dxa"/>
            </w:tcMar>
          </w:tcPr>
          <w:p>
            <w:pPr>
              <w:spacing w:after="0"/>
            </w:pPr>
            <w:r>
              <w:rPr>
                <w:rFonts w:ascii="Arial" w:hAnsi="Arial"/>
                <w:b/>
                <w:sz w:val="17"/>
              </w:rPr>
              <w:t>Enrollments</w:t>
            </w:r>
          </w:p>
        </w:tc>
      </w:tr>
      <w:tr>
        <w:tc>
          <w:tcPr>
            <w:tcW w:type="dxa" w:w="1224"/>
            <w:vAlign w:val="center"/>
            <w:tcMar>
              <w:top w:w="80" w:type="dxa"/>
              <w:start w:w="90" w:type="dxa"/>
              <w:bottom w:w="80" w:type="dxa"/>
              <w:end w:w="90" w:type="dxa"/>
            </w:tcMar>
          </w:tcPr>
          <w:p>
            <w:pPr>
              <w:spacing w:after="0" w:line="240" w:lineRule="auto"/>
            </w:pPr>
            <w:r>
              <w:rPr>
                <w:rFonts w:ascii="Arial" w:hAnsi="Arial"/>
                <w:sz w:val="17"/>
              </w:rPr>
              <w:t>CS50x</w:t>
            </w:r>
          </w:p>
        </w:tc>
        <w:tc>
          <w:tcPr>
            <w:tcW w:type="dxa" w:w="6552"/>
            <w:vAlign w:val="center"/>
            <w:tcMar>
              <w:top w:w="80" w:type="dxa"/>
              <w:start w:w="90" w:type="dxa"/>
              <w:bottom w:w="80" w:type="dxa"/>
              <w:end w:w="90" w:type="dxa"/>
            </w:tcMar>
          </w:tcPr>
          <w:p>
            <w:pPr>
              <w:spacing w:after="0" w:line="240" w:lineRule="auto"/>
            </w:pPr>
            <w:r>
              <w:rPr>
                <w:rFonts w:ascii="Arial" w:hAnsi="Arial"/>
                <w:sz w:val="17"/>
              </w:rPr>
              <w:t>Introduction to Computer Science I</w:t>
            </w:r>
          </w:p>
        </w:tc>
        <w:tc>
          <w:tcPr>
            <w:tcW w:type="dxa" w:w="2160"/>
            <w:vAlign w:val="center"/>
            <w:tcMar>
              <w:top w:w="80" w:type="dxa"/>
              <w:start w:w="90" w:type="dxa"/>
              <w:bottom w:w="80" w:type="dxa"/>
              <w:end w:w="90" w:type="dxa"/>
            </w:tcMar>
          </w:tcPr>
          <w:p>
            <w:pPr>
              <w:spacing w:after="0" w:line="240" w:lineRule="auto"/>
            </w:pPr>
            <w:r>
              <w:rPr>
                <w:rFonts w:ascii="Arial" w:hAnsi="Arial"/>
                <w:sz w:val="17"/>
              </w:rPr>
              <w:t>169,621</w:t>
            </w:r>
          </w:p>
        </w:tc>
      </w:tr>
      <w:tr>
        <w:tc>
          <w:tcPr>
            <w:tcW w:type="dxa" w:w="1224"/>
            <w:vAlign w:val="center"/>
            <w:tcMar>
              <w:top w:w="80" w:type="dxa"/>
              <w:start w:w="90" w:type="dxa"/>
              <w:bottom w:w="80" w:type="dxa"/>
              <w:end w:w="90" w:type="dxa"/>
            </w:tcMar>
          </w:tcPr>
          <w:p>
            <w:pPr>
              <w:spacing w:after="0" w:line="240" w:lineRule="auto"/>
            </w:pPr>
            <w:r>
              <w:rPr>
                <w:rFonts w:ascii="Arial" w:hAnsi="Arial"/>
                <w:sz w:val="17"/>
              </w:rPr>
              <w:t>ER22x</w:t>
            </w:r>
          </w:p>
        </w:tc>
        <w:tc>
          <w:tcPr>
            <w:tcW w:type="dxa" w:w="6552"/>
            <w:vAlign w:val="center"/>
            <w:tcMar>
              <w:top w:w="80" w:type="dxa"/>
              <w:start w:w="90" w:type="dxa"/>
              <w:bottom w:w="80" w:type="dxa"/>
              <w:end w:w="90" w:type="dxa"/>
            </w:tcMar>
          </w:tcPr>
          <w:p>
            <w:pPr>
              <w:spacing w:after="0" w:line="240" w:lineRule="auto"/>
            </w:pPr>
            <w:r>
              <w:rPr>
                <w:rFonts w:ascii="Arial" w:hAnsi="Arial"/>
                <w:sz w:val="17"/>
              </w:rPr>
              <w:t>Justice: What’s the Right Thing to Do?</w:t>
            </w:r>
          </w:p>
        </w:tc>
        <w:tc>
          <w:tcPr>
            <w:tcW w:type="dxa" w:w="2160"/>
            <w:vAlign w:val="center"/>
            <w:tcMar>
              <w:top w:w="80" w:type="dxa"/>
              <w:start w:w="90" w:type="dxa"/>
              <w:bottom w:w="80" w:type="dxa"/>
              <w:end w:w="90" w:type="dxa"/>
            </w:tcMar>
          </w:tcPr>
          <w:p>
            <w:pPr>
              <w:spacing w:after="0" w:line="240" w:lineRule="auto"/>
            </w:pPr>
            <w:r>
              <w:rPr>
                <w:rFonts w:ascii="Arial" w:hAnsi="Arial"/>
                <w:sz w:val="17"/>
              </w:rPr>
              <w:t>57,406</w:t>
            </w:r>
          </w:p>
        </w:tc>
      </w:tr>
      <w:tr>
        <w:tc>
          <w:tcPr>
            <w:tcW w:type="dxa" w:w="1224"/>
            <w:vAlign w:val="center"/>
            <w:tcMar>
              <w:top w:w="80" w:type="dxa"/>
              <w:start w:w="90" w:type="dxa"/>
              <w:bottom w:w="80" w:type="dxa"/>
              <w:end w:w="90" w:type="dxa"/>
            </w:tcMar>
          </w:tcPr>
          <w:p>
            <w:pPr>
              <w:spacing w:after="0" w:line="240" w:lineRule="auto"/>
            </w:pPr>
            <w:r>
              <w:rPr>
                <w:rFonts w:ascii="Arial" w:hAnsi="Arial"/>
                <w:sz w:val="17"/>
              </w:rPr>
              <w:t>PH207x</w:t>
            </w:r>
          </w:p>
        </w:tc>
        <w:tc>
          <w:tcPr>
            <w:tcW w:type="dxa" w:w="6552"/>
            <w:vAlign w:val="center"/>
            <w:tcMar>
              <w:top w:w="80" w:type="dxa"/>
              <w:start w:w="90" w:type="dxa"/>
              <w:bottom w:w="80" w:type="dxa"/>
              <w:end w:w="90" w:type="dxa"/>
            </w:tcMar>
          </w:tcPr>
          <w:p>
            <w:pPr>
              <w:spacing w:after="0" w:line="240" w:lineRule="auto"/>
            </w:pPr>
            <w:r>
              <w:rPr>
                <w:rFonts w:ascii="Arial" w:hAnsi="Arial"/>
                <w:sz w:val="17"/>
              </w:rPr>
              <w:t>Health in Numbers: Quantitative Methods</w:t>
            </w:r>
          </w:p>
        </w:tc>
        <w:tc>
          <w:tcPr>
            <w:tcW w:type="dxa" w:w="2160"/>
            <w:vAlign w:val="center"/>
            <w:tcMar>
              <w:top w:w="80" w:type="dxa"/>
              <w:start w:w="90" w:type="dxa"/>
              <w:bottom w:w="80" w:type="dxa"/>
              <w:end w:w="90" w:type="dxa"/>
            </w:tcMar>
          </w:tcPr>
          <w:p>
            <w:pPr>
              <w:spacing w:after="0" w:line="240" w:lineRule="auto"/>
            </w:pPr>
            <w:r>
              <w:rPr>
                <w:rFonts w:ascii="Arial" w:hAnsi="Arial"/>
                <w:sz w:val="17"/>
              </w:rPr>
              <w:t>41,592</w:t>
            </w:r>
          </w:p>
        </w:tc>
      </w:tr>
      <w:tr>
        <w:tc>
          <w:tcPr>
            <w:tcW w:type="dxa" w:w="1224"/>
            <w:vAlign w:val="center"/>
            <w:tcMar>
              <w:top w:w="80" w:type="dxa"/>
              <w:start w:w="90" w:type="dxa"/>
              <w:bottom w:w="80" w:type="dxa"/>
              <w:end w:w="90" w:type="dxa"/>
            </w:tcMar>
          </w:tcPr>
          <w:p>
            <w:pPr>
              <w:spacing w:after="0" w:line="240" w:lineRule="auto"/>
            </w:pPr>
            <w:r>
              <w:rPr>
                <w:rFonts w:ascii="Arial" w:hAnsi="Arial"/>
                <w:sz w:val="17"/>
              </w:rPr>
              <w:t>PH278x</w:t>
            </w:r>
          </w:p>
        </w:tc>
        <w:tc>
          <w:tcPr>
            <w:tcW w:type="dxa" w:w="6552"/>
            <w:vAlign w:val="center"/>
            <w:tcMar>
              <w:top w:w="80" w:type="dxa"/>
              <w:start w:w="90" w:type="dxa"/>
              <w:bottom w:w="80" w:type="dxa"/>
              <w:end w:w="90" w:type="dxa"/>
            </w:tcMar>
          </w:tcPr>
          <w:p>
            <w:pPr>
              <w:spacing w:after="0" w:line="240" w:lineRule="auto"/>
            </w:pPr>
            <w:r>
              <w:rPr>
                <w:rFonts w:ascii="Arial" w:hAnsi="Arial"/>
                <w:sz w:val="17"/>
              </w:rPr>
              <w:t>Human Health and Global Environmental Change</w:t>
            </w:r>
          </w:p>
        </w:tc>
        <w:tc>
          <w:tcPr>
            <w:tcW w:type="dxa" w:w="2160"/>
            <w:vAlign w:val="center"/>
            <w:tcMar>
              <w:top w:w="80" w:type="dxa"/>
              <w:start w:w="90" w:type="dxa"/>
              <w:bottom w:w="80" w:type="dxa"/>
              <w:end w:w="90" w:type="dxa"/>
            </w:tcMar>
          </w:tcPr>
          <w:p>
            <w:pPr>
              <w:spacing w:after="0" w:line="240" w:lineRule="auto"/>
            </w:pPr>
            <w:r>
              <w:rPr>
                <w:rFonts w:ascii="Arial" w:hAnsi="Arial"/>
                <w:sz w:val="17"/>
              </w:rPr>
              <w:t>39,602</w:t>
            </w:r>
          </w:p>
        </w:tc>
      </w:tr>
      <w:tr>
        <w:tc>
          <w:tcPr>
            <w:tcW w:type="dxa" w:w="1224"/>
            <w:vAlign w:val="center"/>
            <w:tcMar>
              <w:top w:w="80" w:type="dxa"/>
              <w:start w:w="90" w:type="dxa"/>
              <w:bottom w:w="80" w:type="dxa"/>
              <w:end w:w="90" w:type="dxa"/>
            </w:tcMar>
          </w:tcPr>
          <w:p>
            <w:pPr>
              <w:spacing w:after="0" w:line="240" w:lineRule="auto"/>
            </w:pPr>
            <w:r>
              <w:rPr>
                <w:rFonts w:ascii="Arial" w:hAnsi="Arial"/>
                <w:sz w:val="17"/>
              </w:rPr>
              <w:t>CB22x</w:t>
            </w:r>
          </w:p>
        </w:tc>
        <w:tc>
          <w:tcPr>
            <w:tcW w:type="dxa" w:w="6552"/>
            <w:vAlign w:val="center"/>
            <w:tcMar>
              <w:top w:w="80" w:type="dxa"/>
              <w:start w:w="90" w:type="dxa"/>
              <w:bottom w:w="80" w:type="dxa"/>
              <w:end w:w="90" w:type="dxa"/>
            </w:tcMar>
          </w:tcPr>
          <w:p>
            <w:pPr>
              <w:spacing w:after="0" w:line="240" w:lineRule="auto"/>
            </w:pPr>
            <w:r>
              <w:rPr>
                <w:rFonts w:ascii="Arial" w:hAnsi="Arial"/>
                <w:sz w:val="17"/>
              </w:rPr>
              <w:t>The Ancient Greek Hero</w:t>
            </w:r>
          </w:p>
        </w:tc>
        <w:tc>
          <w:tcPr>
            <w:tcW w:type="dxa" w:w="2160"/>
            <w:vAlign w:val="center"/>
            <w:tcMar>
              <w:top w:w="80" w:type="dxa"/>
              <w:start w:w="90" w:type="dxa"/>
              <w:bottom w:w="80" w:type="dxa"/>
              <w:end w:w="90" w:type="dxa"/>
            </w:tcMar>
          </w:tcPr>
          <w:p>
            <w:pPr>
              <w:spacing w:after="0" w:line="240" w:lineRule="auto"/>
            </w:pPr>
            <w:r>
              <w:rPr>
                <w:rFonts w:ascii="Arial" w:hAnsi="Arial"/>
                <w:sz w:val="17"/>
              </w:rPr>
              <w:t>30,002</w:t>
            </w:r>
          </w:p>
        </w:tc>
      </w:tr>
    </w:tbl>
    <w:p>
      <w:pPr>
        <w:spacing w:after="20"/>
      </w:pPr>
    </w:p>
    <w:p>
      <w:pPr>
        <w:pStyle w:val="Heading2"/>
      </w:pPr>
      <w:r>
        <w:t>Preprocessing</w:t>
      </w:r>
    </w:p>
    <w:p>
      <w:pPr>
        <w:widowControl/>
      </w:pPr>
      <w:r>
        <w:t>The preprocessing script checks the learner and course identifiers, removes rows with missing identifiers, trims extra spaces, and removes duplicate learner-course pairs. It then maps course IDs to readable course names and groups each learner’s courses into a basket. The project’s reported cleaned row count is unchanged at 338,223.</w:t>
      </w:r>
    </w:p>
    <w:p>
      <w:pPr>
        <w:widowControl/>
      </w:pPr>
      <w:r>
        <w:t>Most learners in the data took only one course, so they cannot contribute to a co-enrollment rule. For the main Apriori results, the project uses the 30,267 baskets containing at least two courses. The application also supports the full learner set. Results based on the multi-course group use that group as the support denominator.</w:t>
      </w:r>
    </w:p>
    <w:p>
      <w:pPr>
        <w:widowControl/>
      </w:pPr>
      <w:r>
        <w:t>Dataset source: HarvardX, HarvardX Person-Course Academic Year 2013 De-Identified Dataset, version 3.0, Harvard Dataverse, https://doi.org/10.7910/DVN/26147.</w:t>
      </w:r>
    </w:p>
    <w:p>
      <w:pPr>
        <w:pStyle w:val="Heading1"/>
      </w:pPr>
      <w:r>
        <w:t>4 Association Rule Mining</w:t>
      </w:r>
    </w:p>
    <w:p>
      <w:pPr>
        <w:widowControl/>
      </w:pPr>
      <w:r>
        <w:t>Apriori starts with single courses, counts their support, and keeps those that meet the minimum support. It then joins frequent itemsets to form larger candidates. Before counting a candidate, it checks whether all of the candidate’s smaller subsets are frequent. If any subset is infrequent, Apriori prunes the candidate because it cannot be frequent.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3600"/>
        <w:gridCol w:w="4752"/>
      </w:tblGrid>
      <w:tr>
        <w:trPr>
          <w:tblHeader w:val="true"/>
        </w:trPr>
        <w:tc>
          <w:tcPr>
            <w:tcW w:type="dxa" w:w="1584"/>
            <w:vAlign w:val="center"/>
            <w:shd w:fill="E8EDF2"/>
            <w:tcMar>
              <w:top w:w="80" w:type="dxa"/>
              <w:start w:w="90" w:type="dxa"/>
              <w:bottom w:w="80" w:type="dxa"/>
              <w:end w:w="90" w:type="dxa"/>
            </w:tcMar>
          </w:tcPr>
          <w:p>
            <w:pPr>
              <w:spacing w:after="0"/>
            </w:pPr>
            <w:r>
              <w:rPr>
                <w:rFonts w:ascii="Arial" w:hAnsi="Arial"/>
                <w:b/>
                <w:sz w:val="17"/>
              </w:rPr>
              <w:t>Measure</w:t>
            </w:r>
          </w:p>
        </w:tc>
        <w:tc>
          <w:tcPr>
            <w:tcW w:type="dxa" w:w="3600"/>
            <w:vAlign w:val="center"/>
            <w:shd w:fill="E8EDF2"/>
            <w:tcMar>
              <w:top w:w="80" w:type="dxa"/>
              <w:start w:w="90" w:type="dxa"/>
              <w:bottom w:w="80" w:type="dxa"/>
              <w:end w:w="90" w:type="dxa"/>
            </w:tcMar>
          </w:tcPr>
          <w:p>
            <w:pPr>
              <w:spacing w:after="0"/>
            </w:pPr>
            <w:r>
              <w:rPr>
                <w:rFonts w:ascii="Arial" w:hAnsi="Arial"/>
                <w:b/>
                <w:sz w:val="17"/>
              </w:rPr>
              <w:t>Formula</w:t>
            </w:r>
          </w:p>
        </w:tc>
        <w:tc>
          <w:tcPr>
            <w:tcW w:type="dxa" w:w="4752"/>
            <w:vAlign w:val="center"/>
            <w:shd w:fill="E8EDF2"/>
            <w:tcMar>
              <w:top w:w="80" w:type="dxa"/>
              <w:start w:w="90" w:type="dxa"/>
              <w:bottom w:w="80" w:type="dxa"/>
              <w:end w:w="90" w:type="dxa"/>
            </w:tcMar>
          </w:tcPr>
          <w:p>
            <w:pPr>
              <w:spacing w:after="0"/>
            </w:pPr>
            <w:r>
              <w:rPr>
                <w:rFonts w:ascii="Arial" w:hAnsi="Arial"/>
                <w:b/>
                <w:sz w:val="17"/>
              </w:rPr>
              <w:t>Meaning</w:t>
            </w:r>
          </w:p>
        </w:tc>
      </w:tr>
      <w:tr>
        <w:tc>
          <w:tcPr>
            <w:tcW w:type="dxa" w:w="1584"/>
            <w:vAlign w:val="center"/>
            <w:tcMar>
              <w:top w:w="80" w:type="dxa"/>
              <w:start w:w="90" w:type="dxa"/>
              <w:bottom w:w="80" w:type="dxa"/>
              <w:end w:w="90" w:type="dxa"/>
            </w:tcMar>
          </w:tcPr>
          <w:p>
            <w:pPr>
              <w:spacing w:after="0" w:line="240" w:lineRule="auto"/>
            </w:pPr>
            <w:r>
              <w:rPr>
                <w:rFonts w:ascii="Arial" w:hAnsi="Arial"/>
                <w:sz w:val="17"/>
              </w:rPr>
              <w:t>Support</w:t>
            </w:r>
          </w:p>
        </w:tc>
        <w:tc>
          <w:tcPr>
            <w:tcW w:type="dxa" w:w="3600"/>
            <w:vAlign w:val="center"/>
            <w:tcMar>
              <w:top w:w="80" w:type="dxa"/>
              <w:start w:w="90" w:type="dxa"/>
              <w:bottom w:w="80" w:type="dxa"/>
              <w:end w:w="90" w:type="dxa"/>
            </w:tcMar>
          </w:tcPr>
          <w:p>
            <w:pPr>
              <w:spacing w:after="0" w:line="240" w:lineRule="auto"/>
            </w:pPr>
            <w:r>
              <w:rPr>
                <w:rFonts w:ascii="Arial" w:hAnsi="Arial"/>
                <w:sz w:val="17"/>
              </w:rPr>
              <w:t>count(A and B) / N</w:t>
            </w:r>
          </w:p>
        </w:tc>
        <w:tc>
          <w:tcPr>
            <w:tcW w:type="dxa" w:w="4752"/>
            <w:vAlign w:val="center"/>
            <w:tcMar>
              <w:top w:w="80" w:type="dxa"/>
              <w:start w:w="90" w:type="dxa"/>
              <w:bottom w:w="80" w:type="dxa"/>
              <w:end w:w="90" w:type="dxa"/>
            </w:tcMar>
          </w:tcPr>
          <w:p>
            <w:pPr>
              <w:spacing w:after="0" w:line="240" w:lineRule="auto"/>
            </w:pPr>
            <w:r>
              <w:rPr>
                <w:rFonts w:ascii="Arial" w:hAnsi="Arial"/>
                <w:sz w:val="17"/>
              </w:rPr>
              <w:t>Share of baskets containing both A and B.</w:t>
            </w:r>
          </w:p>
        </w:tc>
      </w:tr>
      <w:tr>
        <w:tc>
          <w:tcPr>
            <w:tcW w:type="dxa" w:w="1584"/>
            <w:vAlign w:val="center"/>
            <w:tcMar>
              <w:top w:w="80" w:type="dxa"/>
              <w:start w:w="90" w:type="dxa"/>
              <w:bottom w:w="80" w:type="dxa"/>
              <w:end w:w="90" w:type="dxa"/>
            </w:tcMar>
          </w:tcPr>
          <w:p>
            <w:pPr>
              <w:spacing w:after="0" w:line="240" w:lineRule="auto"/>
            </w:pPr>
            <w:r>
              <w:rPr>
                <w:rFonts w:ascii="Arial" w:hAnsi="Arial"/>
                <w:sz w:val="17"/>
              </w:rPr>
              <w:t>Confidence</w:t>
            </w:r>
          </w:p>
        </w:tc>
        <w:tc>
          <w:tcPr>
            <w:tcW w:type="dxa" w:w="3600"/>
            <w:vAlign w:val="center"/>
            <w:tcMar>
              <w:top w:w="80" w:type="dxa"/>
              <w:start w:w="90" w:type="dxa"/>
              <w:bottom w:w="80" w:type="dxa"/>
              <w:end w:w="90" w:type="dxa"/>
            </w:tcMar>
          </w:tcPr>
          <w:p>
            <w:pPr>
              <w:spacing w:after="0" w:line="240" w:lineRule="auto"/>
            </w:pPr>
            <w:r>
              <w:rPr>
                <w:rFonts w:ascii="Arial" w:hAnsi="Arial"/>
                <w:sz w:val="17"/>
              </w:rPr>
              <w:t>support(A and B) / support(A)</w:t>
            </w:r>
          </w:p>
        </w:tc>
        <w:tc>
          <w:tcPr>
            <w:tcW w:type="dxa" w:w="4752"/>
            <w:vAlign w:val="center"/>
            <w:tcMar>
              <w:top w:w="80" w:type="dxa"/>
              <w:start w:w="90" w:type="dxa"/>
              <w:bottom w:w="80" w:type="dxa"/>
              <w:end w:w="90" w:type="dxa"/>
            </w:tcMar>
          </w:tcPr>
          <w:p>
            <w:pPr>
              <w:spacing w:after="0" w:line="240" w:lineRule="auto"/>
            </w:pPr>
            <w:r>
              <w:rPr>
                <w:rFonts w:ascii="Arial" w:hAnsi="Arial"/>
                <w:sz w:val="17"/>
              </w:rPr>
              <w:t>Share of A baskets that also contain B.</w:t>
            </w:r>
          </w:p>
        </w:tc>
      </w:tr>
      <w:tr>
        <w:tc>
          <w:tcPr>
            <w:tcW w:type="dxa" w:w="1584"/>
            <w:vAlign w:val="center"/>
            <w:tcMar>
              <w:top w:w="80" w:type="dxa"/>
              <w:start w:w="90" w:type="dxa"/>
              <w:bottom w:w="80" w:type="dxa"/>
              <w:end w:w="90" w:type="dxa"/>
            </w:tcMar>
          </w:tcPr>
          <w:p>
            <w:pPr>
              <w:spacing w:after="0" w:line="240" w:lineRule="auto"/>
            </w:pPr>
            <w:r>
              <w:rPr>
                <w:rFonts w:ascii="Arial" w:hAnsi="Arial"/>
                <w:sz w:val="17"/>
              </w:rPr>
              <w:t>Lift</w:t>
            </w:r>
          </w:p>
        </w:tc>
        <w:tc>
          <w:tcPr>
            <w:tcW w:type="dxa" w:w="3600"/>
            <w:vAlign w:val="center"/>
            <w:tcMar>
              <w:top w:w="80" w:type="dxa"/>
              <w:start w:w="90" w:type="dxa"/>
              <w:bottom w:w="80" w:type="dxa"/>
              <w:end w:w="90" w:type="dxa"/>
            </w:tcMar>
          </w:tcPr>
          <w:p>
            <w:pPr>
              <w:spacing w:after="0" w:line="240" w:lineRule="auto"/>
            </w:pPr>
            <w:r>
              <w:rPr>
                <w:rFonts w:ascii="Arial" w:hAnsi="Arial"/>
                <w:sz w:val="17"/>
              </w:rPr>
              <w:t>confidence(A → B) / support(B)</w:t>
            </w:r>
          </w:p>
        </w:tc>
        <w:tc>
          <w:tcPr>
            <w:tcW w:type="dxa" w:w="4752"/>
            <w:vAlign w:val="center"/>
            <w:tcMar>
              <w:top w:w="80" w:type="dxa"/>
              <w:start w:w="90" w:type="dxa"/>
              <w:bottom w:w="80" w:type="dxa"/>
              <w:end w:w="90" w:type="dxa"/>
            </w:tcMar>
          </w:tcPr>
          <w:p>
            <w:pPr>
              <w:spacing w:after="0" w:line="240" w:lineRule="auto"/>
            </w:pPr>
            <w:r>
              <w:rPr>
                <w:rFonts w:ascii="Arial" w:hAnsi="Arial"/>
                <w:sz w:val="17"/>
              </w:rPr>
              <w:t>Compares the rule with B’s overall frequency. Lift above 1 means B appears with A more often than its baseline rate.</w:t>
            </w:r>
          </w:p>
        </w:tc>
      </w:tr>
      <w:tr>
        <w:tc>
          <w:tcPr>
            <w:tcW w:type="dxa" w:w="1584"/>
            <w:vAlign w:val="center"/>
            <w:tcMar>
              <w:top w:w="80" w:type="dxa"/>
              <w:start w:w="90" w:type="dxa"/>
              <w:bottom w:w="80" w:type="dxa"/>
              <w:end w:w="90" w:type="dxa"/>
            </w:tcMar>
          </w:tcPr>
          <w:p>
            <w:pPr>
              <w:spacing w:after="0" w:line="240" w:lineRule="auto"/>
            </w:pPr>
            <w:r>
              <w:rPr>
                <w:rFonts w:ascii="Arial" w:hAnsi="Arial"/>
                <w:sz w:val="17"/>
              </w:rPr>
              <w:t>Leverage</w:t>
            </w:r>
          </w:p>
        </w:tc>
        <w:tc>
          <w:tcPr>
            <w:tcW w:type="dxa" w:w="3600"/>
            <w:vAlign w:val="center"/>
            <w:tcMar>
              <w:top w:w="80" w:type="dxa"/>
              <w:start w:w="90" w:type="dxa"/>
              <w:bottom w:w="80" w:type="dxa"/>
              <w:end w:w="90" w:type="dxa"/>
            </w:tcMar>
          </w:tcPr>
          <w:p>
            <w:pPr>
              <w:spacing w:after="0" w:line="240" w:lineRule="auto"/>
            </w:pPr>
            <w:r>
              <w:rPr>
                <w:rFonts w:ascii="Arial" w:hAnsi="Arial"/>
                <w:sz w:val="17"/>
              </w:rPr>
              <w:t>support(A and B) − support(A) × support(B)</w:t>
            </w:r>
          </w:p>
        </w:tc>
        <w:tc>
          <w:tcPr>
            <w:tcW w:type="dxa" w:w="4752"/>
            <w:vAlign w:val="center"/>
            <w:tcMar>
              <w:top w:w="80" w:type="dxa"/>
              <w:start w:w="90" w:type="dxa"/>
              <w:bottom w:w="80" w:type="dxa"/>
              <w:end w:w="90" w:type="dxa"/>
            </w:tcMar>
          </w:tcPr>
          <w:p>
            <w:pPr>
              <w:spacing w:after="0" w:line="240" w:lineRule="auto"/>
            </w:pPr>
            <w:r>
              <w:rPr>
                <w:rFonts w:ascii="Arial" w:hAnsi="Arial"/>
                <w:sz w:val="17"/>
              </w:rPr>
              <w:t>Difference between observed and expected co-occurrence.</w:t>
            </w:r>
          </w:p>
        </w:tc>
      </w:tr>
      <w:tr>
        <w:tc>
          <w:tcPr>
            <w:tcW w:type="dxa" w:w="1584"/>
            <w:vAlign w:val="center"/>
            <w:tcMar>
              <w:top w:w="80" w:type="dxa"/>
              <w:start w:w="90" w:type="dxa"/>
              <w:bottom w:w="80" w:type="dxa"/>
              <w:end w:w="90" w:type="dxa"/>
            </w:tcMar>
          </w:tcPr>
          <w:p>
            <w:pPr>
              <w:spacing w:after="0" w:line="240" w:lineRule="auto"/>
            </w:pPr>
            <w:r>
              <w:rPr>
                <w:rFonts w:ascii="Arial" w:hAnsi="Arial"/>
                <w:sz w:val="17"/>
              </w:rPr>
              <w:t>Conviction</w:t>
            </w:r>
          </w:p>
        </w:tc>
        <w:tc>
          <w:tcPr>
            <w:tcW w:type="dxa" w:w="3600"/>
            <w:vAlign w:val="center"/>
            <w:tcMar>
              <w:top w:w="80" w:type="dxa"/>
              <w:start w:w="90" w:type="dxa"/>
              <w:bottom w:w="80" w:type="dxa"/>
              <w:end w:w="90" w:type="dxa"/>
            </w:tcMar>
          </w:tcPr>
          <w:p>
            <w:pPr>
              <w:spacing w:after="0" w:line="240" w:lineRule="auto"/>
            </w:pPr>
            <w:r>
              <w:rPr>
                <w:rFonts w:ascii="Arial" w:hAnsi="Arial"/>
                <w:sz w:val="17"/>
              </w:rPr>
              <w:t>(1 − support(B)) / (1 − confidence)</w:t>
            </w:r>
          </w:p>
        </w:tc>
        <w:tc>
          <w:tcPr>
            <w:tcW w:type="dxa" w:w="4752"/>
            <w:vAlign w:val="center"/>
            <w:tcMar>
              <w:top w:w="80" w:type="dxa"/>
              <w:start w:w="90" w:type="dxa"/>
              <w:bottom w:w="80" w:type="dxa"/>
              <w:end w:w="90" w:type="dxa"/>
            </w:tcMar>
          </w:tcPr>
          <w:p>
            <w:pPr>
              <w:spacing w:after="0" w:line="240" w:lineRule="auto"/>
            </w:pPr>
            <w:r>
              <w:rPr>
                <w:rFonts w:ascii="Arial" w:hAnsi="Arial"/>
                <w:sz w:val="17"/>
              </w:rPr>
              <w:t>Measures how often A occurs without B, compared with independence.</w:t>
            </w:r>
          </w:p>
        </w:tc>
      </w:tr>
    </w:tbl>
    <w:p>
      <w:pPr>
        <w:spacing w:after="20"/>
      </w:pPr>
    </w:p>
    <w:p>
      <w:pPr>
        <w:widowControl/>
      </w:pPr>
      <w:r>
        <w:t>Support for A → B is the same as support for B → A because both count baskets containing A and B. Confidence can differ because each direction uses a different antecedent. For example, the confidence of Greek Hero → Justice is 66.87%, while Justice → Greek Hero is 45.11%. Justice appears in more baskets, so it has a larger denominator when it is the antecedent.</w:t>
      </w:r>
    </w:p>
    <w:p>
      <w:pPr>
        <w:pStyle w:val="Heading2"/>
      </w:pPr>
      <w:r>
        <w:t>Apriori Example</w:t>
      </w:r>
    </w:p>
    <w:p>
      <w:pPr>
        <w:widowControl/>
      </w:pPr>
      <w:r>
        <w:t>Consider five baskets: {CS, Ethics}, {CS, Stats, Ethics}, {Stats, Bio}, {CS, Stats, Bio}, and {CS, Ethics}. With minimum support 0.40, an itemset must appear in at least two baskets.</w:t>
      </w:r>
    </w:p>
    <w:p>
      <w:pPr>
        <w:widowControl/>
      </w:pPr>
      <w:r>
        <w:t>At the first level, CS appears 4 times, Ethics 3 times, Stats 3 times, and Bio 2 times. All four single items are frequent. At the second level, CS-Ethics appears 3 times, CS-Stats 2 times, and Stats-Bio 2 times. The other pairs are removed because they occur fewer than twice.</w:t>
      </w:r>
    </w:p>
    <w:p>
      <w:pPr>
        <w:widowControl/>
      </w:pPr>
      <w:r>
        <w:t>The possible triple {CS, Ethics, Stats} is pruned before its support is counted. Its subset {Ethics, Stats} was not frequent, so the Apriori property says the triple cannot be frequent either. This is the candidate generation and pruning step used by the project’s Apriori engine.</w:t>
      </w:r>
    </w:p>
    <w:p>
      <w:r>
        <w:br w:type="page"/>
      </w:r>
    </w:p>
    <w:p>
      <w:pPr>
        <w:pStyle w:val="Heading1"/>
      </w:pPr>
      <w:r>
        <w:t>5 Frequent Itemsets and Rules</w:t>
      </w:r>
    </w:p>
    <w:p>
      <w:pPr>
        <w:widowControl/>
      </w:pPr>
      <w:r>
        <w:t>Using the multi-course baskets with minimum support 0.05 and minimum confidence 0.15, the project reports 15 frequent itemsets and 25 rules. Support is the share of the 30,267 multi-course baskets containing the itemset or both sides of a rule.</w:t>
      </w:r>
    </w:p>
    <w:p>
      <w:pPr>
        <w:pStyle w:val="Heading2"/>
      </w:pPr>
      <w:r>
        <w:t>Frequent Itemsets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92"/>
        <w:gridCol w:w="5832"/>
        <w:gridCol w:w="1296"/>
        <w:gridCol w:w="1512"/>
      </w:tblGrid>
      <w:tr>
        <w:trPr>
          <w:tblHeader w:val="true"/>
        </w:trPr>
        <w:tc>
          <w:tcPr>
            <w:tcW w:type="dxa" w:w="792"/>
            <w:vAlign w:val="center"/>
            <w:shd w:fill="E8EDF2"/>
            <w:tcMar>
              <w:top w:w="80" w:type="dxa"/>
              <w:start w:w="90" w:type="dxa"/>
              <w:bottom w:w="80" w:type="dxa"/>
              <w:end w:w="90" w:type="dxa"/>
            </w:tcMar>
          </w:tcPr>
          <w:p>
            <w:pPr>
              <w:spacing w:after="0"/>
            </w:pPr>
            <w:r>
              <w:rPr>
                <w:rFonts w:ascii="Arial" w:hAnsi="Arial"/>
                <w:b/>
                <w:sz w:val="15"/>
              </w:rPr>
              <w:t>Size</w:t>
            </w:r>
          </w:p>
        </w:tc>
        <w:tc>
          <w:tcPr>
            <w:tcW w:type="dxa" w:w="5832"/>
            <w:vAlign w:val="center"/>
            <w:shd w:fill="E8EDF2"/>
            <w:tcMar>
              <w:top w:w="80" w:type="dxa"/>
              <w:start w:w="90" w:type="dxa"/>
              <w:bottom w:w="80" w:type="dxa"/>
              <w:end w:w="90" w:type="dxa"/>
            </w:tcMar>
          </w:tcPr>
          <w:p>
            <w:pPr>
              <w:spacing w:after="0"/>
            </w:pPr>
            <w:r>
              <w:rPr>
                <w:rFonts w:ascii="Arial" w:hAnsi="Arial"/>
                <w:b/>
                <w:sz w:val="15"/>
              </w:rPr>
              <w:t>Itemset</w:t>
            </w:r>
          </w:p>
        </w:tc>
        <w:tc>
          <w:tcPr>
            <w:tcW w:type="dxa" w:w="1296"/>
            <w:vAlign w:val="center"/>
            <w:shd w:fill="E8EDF2"/>
            <w:tcMar>
              <w:top w:w="80" w:type="dxa"/>
              <w:start w:w="90" w:type="dxa"/>
              <w:bottom w:w="80" w:type="dxa"/>
              <w:end w:w="90" w:type="dxa"/>
            </w:tcMar>
          </w:tcPr>
          <w:p>
            <w:pPr>
              <w:spacing w:after="0"/>
            </w:pPr>
            <w:r>
              <w:rPr>
                <w:rFonts w:ascii="Arial" w:hAnsi="Arial"/>
                <w:b/>
                <w:sz w:val="15"/>
              </w:rPr>
              <w:t>Support</w:t>
            </w:r>
          </w:p>
        </w:tc>
        <w:tc>
          <w:tcPr>
            <w:tcW w:type="dxa" w:w="1512"/>
            <w:vAlign w:val="center"/>
            <w:shd w:fill="E8EDF2"/>
            <w:tcMar>
              <w:top w:w="80" w:type="dxa"/>
              <w:start w:w="90" w:type="dxa"/>
              <w:bottom w:w="80" w:type="dxa"/>
              <w:end w:w="90" w:type="dxa"/>
            </w:tcMar>
          </w:tcPr>
          <w:p>
            <w:pPr>
              <w:spacing w:after="0"/>
            </w:pPr>
            <w:r>
              <w:rPr>
                <w:rFonts w:ascii="Arial" w:hAnsi="Arial"/>
                <w:b/>
                <w:sz w:val="15"/>
              </w:rPr>
              <w:t>Baskets</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1</w:t>
            </w:r>
          </w:p>
        </w:tc>
        <w:tc>
          <w:tcPr>
            <w:tcW w:type="dxa" w:w="5832"/>
            <w:vAlign w:val="center"/>
            <w:tcMar>
              <w:top w:w="80" w:type="dxa"/>
              <w:start w:w="90" w:type="dxa"/>
              <w:bottom w:w="80" w:type="dxa"/>
              <w:end w:w="90" w:type="dxa"/>
            </w:tcMar>
          </w:tcPr>
          <w:p>
            <w:pPr>
              <w:spacing w:after="0" w:line="240" w:lineRule="auto"/>
            </w:pPr>
            <w:r>
              <w:rPr>
                <w:rFonts w:ascii="Arial" w:hAnsi="Arial"/>
                <w:sz w:val="15"/>
              </w:rPr>
              <w:t>Justice</w:t>
            </w:r>
          </w:p>
        </w:tc>
        <w:tc>
          <w:tcPr>
            <w:tcW w:type="dxa" w:w="1296"/>
            <w:vAlign w:val="center"/>
            <w:tcMar>
              <w:top w:w="80" w:type="dxa"/>
              <w:start w:w="90" w:type="dxa"/>
              <w:bottom w:w="80" w:type="dxa"/>
              <w:end w:w="90" w:type="dxa"/>
            </w:tcMar>
          </w:tcPr>
          <w:p>
            <w:pPr>
              <w:spacing w:after="0" w:line="240" w:lineRule="auto"/>
            </w:pPr>
            <w:r>
              <w:rPr>
                <w:rFonts w:ascii="Arial" w:hAnsi="Arial"/>
                <w:sz w:val="15"/>
              </w:rPr>
              <w:t>0.5785</w:t>
            </w:r>
          </w:p>
        </w:tc>
        <w:tc>
          <w:tcPr>
            <w:tcW w:type="dxa" w:w="1512"/>
            <w:vAlign w:val="center"/>
            <w:tcMar>
              <w:top w:w="80" w:type="dxa"/>
              <w:start w:w="90" w:type="dxa"/>
              <w:bottom w:w="80" w:type="dxa"/>
              <w:end w:w="90" w:type="dxa"/>
            </w:tcMar>
          </w:tcPr>
          <w:p>
            <w:pPr>
              <w:spacing w:after="0" w:line="240" w:lineRule="auto"/>
            </w:pPr>
            <w:r>
              <w:rPr>
                <w:rFonts w:ascii="Arial" w:hAnsi="Arial"/>
                <w:sz w:val="15"/>
              </w:rPr>
              <w:t>17,509</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1</w:t>
            </w:r>
          </w:p>
        </w:tc>
        <w:tc>
          <w:tcPr>
            <w:tcW w:type="dxa" w:w="5832"/>
            <w:vAlign w:val="center"/>
            <w:tcMar>
              <w:top w:w="80" w:type="dxa"/>
              <w:start w:w="90" w:type="dxa"/>
              <w:bottom w:w="80" w:type="dxa"/>
              <w:end w:w="90" w:type="dxa"/>
            </w:tcMar>
          </w:tcPr>
          <w:p>
            <w:pPr>
              <w:spacing w:after="0" w:line="240" w:lineRule="auto"/>
            </w:pPr>
            <w:r>
              <w:rPr>
                <w:rFonts w:ascii="Arial" w:hAnsi="Arial"/>
                <w:sz w:val="15"/>
              </w:rPr>
              <w:t>CS50x</w:t>
            </w:r>
          </w:p>
        </w:tc>
        <w:tc>
          <w:tcPr>
            <w:tcW w:type="dxa" w:w="1296"/>
            <w:vAlign w:val="center"/>
            <w:tcMar>
              <w:top w:w="80" w:type="dxa"/>
              <w:start w:w="90" w:type="dxa"/>
              <w:bottom w:w="80" w:type="dxa"/>
              <w:end w:w="90" w:type="dxa"/>
            </w:tcMar>
          </w:tcPr>
          <w:p>
            <w:pPr>
              <w:spacing w:after="0" w:line="240" w:lineRule="auto"/>
            </w:pPr>
            <w:r>
              <w:rPr>
                <w:rFonts w:ascii="Arial" w:hAnsi="Arial"/>
                <w:sz w:val="15"/>
              </w:rPr>
              <w:t>0.4957</w:t>
            </w:r>
          </w:p>
        </w:tc>
        <w:tc>
          <w:tcPr>
            <w:tcW w:type="dxa" w:w="1512"/>
            <w:vAlign w:val="center"/>
            <w:tcMar>
              <w:top w:w="80" w:type="dxa"/>
              <w:start w:w="90" w:type="dxa"/>
              <w:bottom w:w="80" w:type="dxa"/>
              <w:end w:w="90" w:type="dxa"/>
            </w:tcMar>
          </w:tcPr>
          <w:p>
            <w:pPr>
              <w:spacing w:after="0" w:line="240" w:lineRule="auto"/>
            </w:pPr>
            <w:r>
              <w:rPr>
                <w:rFonts w:ascii="Arial" w:hAnsi="Arial"/>
                <w:sz w:val="15"/>
              </w:rPr>
              <w:t>15,002</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1</w:t>
            </w:r>
          </w:p>
        </w:tc>
        <w:tc>
          <w:tcPr>
            <w:tcW w:type="dxa" w:w="5832"/>
            <w:vAlign w:val="center"/>
            <w:tcMar>
              <w:top w:w="80" w:type="dxa"/>
              <w:start w:w="90" w:type="dxa"/>
              <w:bottom w:w="80" w:type="dxa"/>
              <w:end w:w="90" w:type="dxa"/>
            </w:tcMar>
          </w:tcPr>
          <w:p>
            <w:pPr>
              <w:spacing w:after="0" w:line="240" w:lineRule="auto"/>
            </w:pPr>
            <w:r>
              <w:rPr>
                <w:rFonts w:ascii="Arial" w:hAnsi="Arial"/>
                <w:sz w:val="15"/>
              </w:rPr>
              <w:t>Environmental Health</w:t>
            </w:r>
          </w:p>
        </w:tc>
        <w:tc>
          <w:tcPr>
            <w:tcW w:type="dxa" w:w="1296"/>
            <w:vAlign w:val="center"/>
            <w:tcMar>
              <w:top w:w="80" w:type="dxa"/>
              <w:start w:w="90" w:type="dxa"/>
              <w:bottom w:w="80" w:type="dxa"/>
              <w:end w:w="90" w:type="dxa"/>
            </w:tcMar>
          </w:tcPr>
          <w:p>
            <w:pPr>
              <w:spacing w:after="0" w:line="240" w:lineRule="auto"/>
            </w:pPr>
            <w:r>
              <w:rPr>
                <w:rFonts w:ascii="Arial" w:hAnsi="Arial"/>
                <w:sz w:val="15"/>
              </w:rPr>
              <w:t>0.4534</w:t>
            </w:r>
          </w:p>
        </w:tc>
        <w:tc>
          <w:tcPr>
            <w:tcW w:type="dxa" w:w="1512"/>
            <w:vAlign w:val="center"/>
            <w:tcMar>
              <w:top w:w="80" w:type="dxa"/>
              <w:start w:w="90" w:type="dxa"/>
              <w:bottom w:w="80" w:type="dxa"/>
              <w:end w:w="90" w:type="dxa"/>
            </w:tcMar>
          </w:tcPr>
          <w:p>
            <w:pPr>
              <w:spacing w:after="0" w:line="240" w:lineRule="auto"/>
            </w:pPr>
            <w:r>
              <w:rPr>
                <w:rFonts w:ascii="Arial" w:hAnsi="Arial"/>
                <w:sz w:val="15"/>
              </w:rPr>
              <w:t>13,724</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1</w:t>
            </w:r>
          </w:p>
        </w:tc>
        <w:tc>
          <w:tcPr>
            <w:tcW w:type="dxa" w:w="5832"/>
            <w:vAlign w:val="center"/>
            <w:tcMar>
              <w:top w:w="80" w:type="dxa"/>
              <w:start w:w="90" w:type="dxa"/>
              <w:bottom w:w="80" w:type="dxa"/>
              <w:end w:w="90" w:type="dxa"/>
            </w:tcMar>
          </w:tcPr>
          <w:p>
            <w:pPr>
              <w:spacing w:after="0" w:line="240" w:lineRule="auto"/>
            </w:pPr>
            <w:r>
              <w:rPr>
                <w:rFonts w:ascii="Arial" w:hAnsi="Arial"/>
                <w:sz w:val="15"/>
              </w:rPr>
              <w:t>Greek Hero</w:t>
            </w:r>
          </w:p>
        </w:tc>
        <w:tc>
          <w:tcPr>
            <w:tcW w:type="dxa" w:w="1296"/>
            <w:vAlign w:val="center"/>
            <w:tcMar>
              <w:top w:w="80" w:type="dxa"/>
              <w:start w:w="90" w:type="dxa"/>
              <w:bottom w:w="80" w:type="dxa"/>
              <w:end w:w="90" w:type="dxa"/>
            </w:tcMar>
          </w:tcPr>
          <w:p>
            <w:pPr>
              <w:spacing w:after="0" w:line="240" w:lineRule="auto"/>
            </w:pPr>
            <w:r>
              <w:rPr>
                <w:rFonts w:ascii="Arial" w:hAnsi="Arial"/>
                <w:sz w:val="15"/>
              </w:rPr>
              <w:t>0.3902</w:t>
            </w:r>
          </w:p>
        </w:tc>
        <w:tc>
          <w:tcPr>
            <w:tcW w:type="dxa" w:w="1512"/>
            <w:vAlign w:val="center"/>
            <w:tcMar>
              <w:top w:w="80" w:type="dxa"/>
              <w:start w:w="90" w:type="dxa"/>
              <w:bottom w:w="80" w:type="dxa"/>
              <w:end w:w="90" w:type="dxa"/>
            </w:tcMar>
          </w:tcPr>
          <w:p>
            <w:pPr>
              <w:spacing w:after="0" w:line="240" w:lineRule="auto"/>
            </w:pPr>
            <w:r>
              <w:rPr>
                <w:rFonts w:ascii="Arial" w:hAnsi="Arial"/>
                <w:sz w:val="15"/>
              </w:rPr>
              <w:t>11,811</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1</w:t>
            </w:r>
          </w:p>
        </w:tc>
        <w:tc>
          <w:tcPr>
            <w:tcW w:type="dxa" w:w="5832"/>
            <w:vAlign w:val="center"/>
            <w:tcMar>
              <w:top w:w="80" w:type="dxa"/>
              <w:start w:w="90" w:type="dxa"/>
              <w:bottom w:w="80" w:type="dxa"/>
              <w:end w:w="90" w:type="dxa"/>
            </w:tcMar>
          </w:tcPr>
          <w:p>
            <w:pPr>
              <w:spacing w:after="0" w:line="240" w:lineRule="auto"/>
            </w:pPr>
            <w:r>
              <w:rPr>
                <w:rFonts w:ascii="Arial" w:hAnsi="Arial"/>
                <w:sz w:val="15"/>
              </w:rPr>
              <w:t>Health in Numbers</w:t>
            </w:r>
          </w:p>
        </w:tc>
        <w:tc>
          <w:tcPr>
            <w:tcW w:type="dxa" w:w="1296"/>
            <w:vAlign w:val="center"/>
            <w:tcMar>
              <w:top w:w="80" w:type="dxa"/>
              <w:start w:w="90" w:type="dxa"/>
              <w:bottom w:w="80" w:type="dxa"/>
              <w:end w:w="90" w:type="dxa"/>
            </w:tcMar>
          </w:tcPr>
          <w:p>
            <w:pPr>
              <w:spacing w:after="0" w:line="240" w:lineRule="auto"/>
            </w:pPr>
            <w:r>
              <w:rPr>
                <w:rFonts w:ascii="Arial" w:hAnsi="Arial"/>
                <w:sz w:val="15"/>
              </w:rPr>
              <w:t>0.2919</w:t>
            </w:r>
          </w:p>
        </w:tc>
        <w:tc>
          <w:tcPr>
            <w:tcW w:type="dxa" w:w="1512"/>
            <w:vAlign w:val="center"/>
            <w:tcMar>
              <w:top w:w="80" w:type="dxa"/>
              <w:start w:w="90" w:type="dxa"/>
              <w:bottom w:w="80" w:type="dxa"/>
              <w:end w:w="90" w:type="dxa"/>
            </w:tcMar>
          </w:tcPr>
          <w:p>
            <w:pPr>
              <w:spacing w:after="0" w:line="240" w:lineRule="auto"/>
            </w:pPr>
            <w:r>
              <w:rPr>
                <w:rFonts w:ascii="Arial" w:hAnsi="Arial"/>
                <w:sz w:val="15"/>
              </w:rPr>
              <w:t>8,835</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Greek Hero + Justice</w:t>
            </w:r>
          </w:p>
        </w:tc>
        <w:tc>
          <w:tcPr>
            <w:tcW w:type="dxa" w:w="1296"/>
            <w:vAlign w:val="center"/>
            <w:tcMar>
              <w:top w:w="80" w:type="dxa"/>
              <w:start w:w="90" w:type="dxa"/>
              <w:bottom w:w="80" w:type="dxa"/>
              <w:end w:w="90" w:type="dxa"/>
            </w:tcMar>
          </w:tcPr>
          <w:p>
            <w:pPr>
              <w:spacing w:after="0" w:line="240" w:lineRule="auto"/>
            </w:pPr>
            <w:r>
              <w:rPr>
                <w:rFonts w:ascii="Arial" w:hAnsi="Arial"/>
                <w:sz w:val="15"/>
              </w:rPr>
              <w:t>0.2609</w:t>
            </w:r>
          </w:p>
        </w:tc>
        <w:tc>
          <w:tcPr>
            <w:tcW w:type="dxa" w:w="1512"/>
            <w:vAlign w:val="center"/>
            <w:tcMar>
              <w:top w:w="80" w:type="dxa"/>
              <w:start w:w="90" w:type="dxa"/>
              <w:bottom w:w="80" w:type="dxa"/>
              <w:end w:w="90" w:type="dxa"/>
            </w:tcMar>
          </w:tcPr>
          <w:p>
            <w:pPr>
              <w:spacing w:after="0" w:line="240" w:lineRule="auto"/>
            </w:pPr>
            <w:r>
              <w:rPr>
                <w:rFonts w:ascii="Arial" w:hAnsi="Arial"/>
                <w:sz w:val="15"/>
              </w:rPr>
              <w:t>7,898</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Justice + Environmental Health</w:t>
            </w:r>
          </w:p>
        </w:tc>
        <w:tc>
          <w:tcPr>
            <w:tcW w:type="dxa" w:w="1296"/>
            <w:vAlign w:val="center"/>
            <w:tcMar>
              <w:top w:w="80" w:type="dxa"/>
              <w:start w:w="90" w:type="dxa"/>
              <w:bottom w:w="80" w:type="dxa"/>
              <w:end w:w="90" w:type="dxa"/>
            </w:tcMar>
          </w:tcPr>
          <w:p>
            <w:pPr>
              <w:spacing w:after="0" w:line="240" w:lineRule="auto"/>
            </w:pPr>
            <w:r>
              <w:rPr>
                <w:rFonts w:ascii="Arial" w:hAnsi="Arial"/>
                <w:sz w:val="15"/>
              </w:rPr>
              <w:t>0.2426</w:t>
            </w:r>
          </w:p>
        </w:tc>
        <w:tc>
          <w:tcPr>
            <w:tcW w:type="dxa" w:w="1512"/>
            <w:vAlign w:val="center"/>
            <w:tcMar>
              <w:top w:w="80" w:type="dxa"/>
              <w:start w:w="90" w:type="dxa"/>
              <w:bottom w:w="80" w:type="dxa"/>
              <w:end w:w="90" w:type="dxa"/>
            </w:tcMar>
          </w:tcPr>
          <w:p>
            <w:pPr>
              <w:spacing w:after="0" w:line="240" w:lineRule="auto"/>
            </w:pPr>
            <w:r>
              <w:rPr>
                <w:rFonts w:ascii="Arial" w:hAnsi="Arial"/>
                <w:sz w:val="15"/>
              </w:rPr>
              <w:t>7,343</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CS50x + Justice</w:t>
            </w:r>
          </w:p>
        </w:tc>
        <w:tc>
          <w:tcPr>
            <w:tcW w:type="dxa" w:w="1296"/>
            <w:vAlign w:val="center"/>
            <w:tcMar>
              <w:top w:w="80" w:type="dxa"/>
              <w:start w:w="90" w:type="dxa"/>
              <w:bottom w:w="80" w:type="dxa"/>
              <w:end w:w="90" w:type="dxa"/>
            </w:tcMar>
          </w:tcPr>
          <w:p>
            <w:pPr>
              <w:spacing w:after="0" w:line="240" w:lineRule="auto"/>
            </w:pPr>
            <w:r>
              <w:rPr>
                <w:rFonts w:ascii="Arial" w:hAnsi="Arial"/>
                <w:sz w:val="15"/>
              </w:rPr>
              <w:t>0.2178</w:t>
            </w:r>
          </w:p>
        </w:tc>
        <w:tc>
          <w:tcPr>
            <w:tcW w:type="dxa" w:w="1512"/>
            <w:vAlign w:val="center"/>
            <w:tcMar>
              <w:top w:w="80" w:type="dxa"/>
              <w:start w:w="90" w:type="dxa"/>
              <w:bottom w:w="80" w:type="dxa"/>
              <w:end w:w="90" w:type="dxa"/>
            </w:tcMar>
          </w:tcPr>
          <w:p>
            <w:pPr>
              <w:spacing w:after="0" w:line="240" w:lineRule="auto"/>
            </w:pPr>
            <w:r>
              <w:rPr>
                <w:rFonts w:ascii="Arial" w:hAnsi="Arial"/>
                <w:sz w:val="15"/>
              </w:rPr>
              <w:t>6,591</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CS50x + Health in Numbers</w:t>
            </w:r>
          </w:p>
        </w:tc>
        <w:tc>
          <w:tcPr>
            <w:tcW w:type="dxa" w:w="1296"/>
            <w:vAlign w:val="center"/>
            <w:tcMar>
              <w:top w:w="80" w:type="dxa"/>
              <w:start w:w="90" w:type="dxa"/>
              <w:bottom w:w="80" w:type="dxa"/>
              <w:end w:w="90" w:type="dxa"/>
            </w:tcMar>
          </w:tcPr>
          <w:p>
            <w:pPr>
              <w:spacing w:after="0" w:line="240" w:lineRule="auto"/>
            </w:pPr>
            <w:r>
              <w:rPr>
                <w:rFonts w:ascii="Arial" w:hAnsi="Arial"/>
                <w:sz w:val="15"/>
              </w:rPr>
              <w:t>0.1597</w:t>
            </w:r>
          </w:p>
        </w:tc>
        <w:tc>
          <w:tcPr>
            <w:tcW w:type="dxa" w:w="1512"/>
            <w:vAlign w:val="center"/>
            <w:tcMar>
              <w:top w:w="80" w:type="dxa"/>
              <w:start w:w="90" w:type="dxa"/>
              <w:bottom w:w="80" w:type="dxa"/>
              <w:end w:w="90" w:type="dxa"/>
            </w:tcMar>
          </w:tcPr>
          <w:p>
            <w:pPr>
              <w:spacing w:after="0" w:line="240" w:lineRule="auto"/>
            </w:pPr>
            <w:r>
              <w:rPr>
                <w:rFonts w:ascii="Arial" w:hAnsi="Arial"/>
                <w:sz w:val="15"/>
              </w:rPr>
              <w:t>4,833</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Greek Hero + CS50x</w:t>
            </w:r>
          </w:p>
        </w:tc>
        <w:tc>
          <w:tcPr>
            <w:tcW w:type="dxa" w:w="1296"/>
            <w:vAlign w:val="center"/>
            <w:tcMar>
              <w:top w:w="80" w:type="dxa"/>
              <w:start w:w="90" w:type="dxa"/>
              <w:bottom w:w="80" w:type="dxa"/>
              <w:end w:w="90" w:type="dxa"/>
            </w:tcMar>
          </w:tcPr>
          <w:p>
            <w:pPr>
              <w:spacing w:after="0" w:line="240" w:lineRule="auto"/>
            </w:pPr>
            <w:r>
              <w:rPr>
                <w:rFonts w:ascii="Arial" w:hAnsi="Arial"/>
                <w:sz w:val="15"/>
              </w:rPr>
              <w:t>0.1361</w:t>
            </w:r>
          </w:p>
        </w:tc>
        <w:tc>
          <w:tcPr>
            <w:tcW w:type="dxa" w:w="1512"/>
            <w:vAlign w:val="center"/>
            <w:tcMar>
              <w:top w:w="80" w:type="dxa"/>
              <w:start w:w="90" w:type="dxa"/>
              <w:bottom w:w="80" w:type="dxa"/>
              <w:end w:w="90" w:type="dxa"/>
            </w:tcMar>
          </w:tcPr>
          <w:p>
            <w:pPr>
              <w:spacing w:after="0" w:line="240" w:lineRule="auto"/>
            </w:pPr>
            <w:r>
              <w:rPr>
                <w:rFonts w:ascii="Arial" w:hAnsi="Arial"/>
                <w:sz w:val="15"/>
              </w:rPr>
              <w:t>4,118</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Greek Hero + Environmental Health</w:t>
            </w:r>
          </w:p>
        </w:tc>
        <w:tc>
          <w:tcPr>
            <w:tcW w:type="dxa" w:w="1296"/>
            <w:vAlign w:val="center"/>
            <w:tcMar>
              <w:top w:w="80" w:type="dxa"/>
              <w:start w:w="90" w:type="dxa"/>
              <w:bottom w:w="80" w:type="dxa"/>
              <w:end w:w="90" w:type="dxa"/>
            </w:tcMar>
          </w:tcPr>
          <w:p>
            <w:pPr>
              <w:spacing w:after="0" w:line="240" w:lineRule="auto"/>
            </w:pPr>
            <w:r>
              <w:rPr>
                <w:rFonts w:ascii="Arial" w:hAnsi="Arial"/>
                <w:sz w:val="15"/>
              </w:rPr>
              <w:t>0.1325</w:t>
            </w:r>
          </w:p>
        </w:tc>
        <w:tc>
          <w:tcPr>
            <w:tcW w:type="dxa" w:w="1512"/>
            <w:vAlign w:val="center"/>
            <w:tcMar>
              <w:top w:w="80" w:type="dxa"/>
              <w:start w:w="90" w:type="dxa"/>
              <w:bottom w:w="80" w:type="dxa"/>
              <w:end w:w="90" w:type="dxa"/>
            </w:tcMar>
          </w:tcPr>
          <w:p>
            <w:pPr>
              <w:spacing w:after="0" w:line="240" w:lineRule="auto"/>
            </w:pPr>
            <w:r>
              <w:rPr>
                <w:rFonts w:ascii="Arial" w:hAnsi="Arial"/>
                <w:sz w:val="15"/>
              </w:rPr>
              <w:t>4,011</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CS50x + Environmental Health</w:t>
            </w:r>
          </w:p>
        </w:tc>
        <w:tc>
          <w:tcPr>
            <w:tcW w:type="dxa" w:w="1296"/>
            <w:vAlign w:val="center"/>
            <w:tcMar>
              <w:top w:w="80" w:type="dxa"/>
              <w:start w:w="90" w:type="dxa"/>
              <w:bottom w:w="80" w:type="dxa"/>
              <w:end w:w="90" w:type="dxa"/>
            </w:tcMar>
          </w:tcPr>
          <w:p>
            <w:pPr>
              <w:spacing w:after="0" w:line="240" w:lineRule="auto"/>
            </w:pPr>
            <w:r>
              <w:rPr>
                <w:rFonts w:ascii="Arial" w:hAnsi="Arial"/>
                <w:sz w:val="15"/>
              </w:rPr>
              <w:t>0.1234</w:t>
            </w:r>
          </w:p>
        </w:tc>
        <w:tc>
          <w:tcPr>
            <w:tcW w:type="dxa" w:w="1512"/>
            <w:vAlign w:val="center"/>
            <w:tcMar>
              <w:top w:w="80" w:type="dxa"/>
              <w:start w:w="90" w:type="dxa"/>
              <w:bottom w:w="80" w:type="dxa"/>
              <w:end w:w="90" w:type="dxa"/>
            </w:tcMar>
          </w:tcPr>
          <w:p>
            <w:pPr>
              <w:spacing w:after="0" w:line="240" w:lineRule="auto"/>
            </w:pPr>
            <w:r>
              <w:rPr>
                <w:rFonts w:ascii="Arial" w:hAnsi="Arial"/>
                <w:sz w:val="15"/>
              </w:rPr>
              <w:t>3,735</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2</w:t>
            </w:r>
          </w:p>
        </w:tc>
        <w:tc>
          <w:tcPr>
            <w:tcW w:type="dxa" w:w="5832"/>
            <w:vAlign w:val="center"/>
            <w:tcMar>
              <w:top w:w="80" w:type="dxa"/>
              <w:start w:w="90" w:type="dxa"/>
              <w:bottom w:w="80" w:type="dxa"/>
              <w:end w:w="90" w:type="dxa"/>
            </w:tcMar>
          </w:tcPr>
          <w:p>
            <w:pPr>
              <w:spacing w:after="0" w:line="240" w:lineRule="auto"/>
            </w:pPr>
            <w:r>
              <w:rPr>
                <w:rFonts w:ascii="Arial" w:hAnsi="Arial"/>
                <w:sz w:val="15"/>
              </w:rPr>
              <w:t>Health in Numbers + Environmental Health</w:t>
            </w:r>
          </w:p>
        </w:tc>
        <w:tc>
          <w:tcPr>
            <w:tcW w:type="dxa" w:w="1296"/>
            <w:vAlign w:val="center"/>
            <w:tcMar>
              <w:top w:w="80" w:type="dxa"/>
              <w:start w:w="90" w:type="dxa"/>
              <w:bottom w:w="80" w:type="dxa"/>
              <w:end w:w="90" w:type="dxa"/>
            </w:tcMar>
          </w:tcPr>
          <w:p>
            <w:pPr>
              <w:spacing w:after="0" w:line="240" w:lineRule="auto"/>
            </w:pPr>
            <w:r>
              <w:rPr>
                <w:rFonts w:ascii="Arial" w:hAnsi="Arial"/>
                <w:sz w:val="15"/>
              </w:rPr>
              <w:t>0.1191</w:t>
            </w:r>
          </w:p>
        </w:tc>
        <w:tc>
          <w:tcPr>
            <w:tcW w:type="dxa" w:w="1512"/>
            <w:vAlign w:val="center"/>
            <w:tcMar>
              <w:top w:w="80" w:type="dxa"/>
              <w:start w:w="90" w:type="dxa"/>
              <w:bottom w:w="80" w:type="dxa"/>
              <w:end w:w="90" w:type="dxa"/>
            </w:tcMar>
          </w:tcPr>
          <w:p>
            <w:pPr>
              <w:spacing w:after="0" w:line="240" w:lineRule="auto"/>
            </w:pPr>
            <w:r>
              <w:rPr>
                <w:rFonts w:ascii="Arial" w:hAnsi="Arial"/>
                <w:sz w:val="15"/>
              </w:rPr>
              <w:t>3,605</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3</w:t>
            </w:r>
          </w:p>
        </w:tc>
        <w:tc>
          <w:tcPr>
            <w:tcW w:type="dxa" w:w="5832"/>
            <w:vAlign w:val="center"/>
            <w:tcMar>
              <w:top w:w="80" w:type="dxa"/>
              <w:start w:w="90" w:type="dxa"/>
              <w:bottom w:w="80" w:type="dxa"/>
              <w:end w:w="90" w:type="dxa"/>
            </w:tcMar>
          </w:tcPr>
          <w:p>
            <w:pPr>
              <w:spacing w:after="0" w:line="240" w:lineRule="auto"/>
            </w:pPr>
            <w:r>
              <w:rPr>
                <w:rFonts w:ascii="Arial" w:hAnsi="Arial"/>
                <w:sz w:val="15"/>
              </w:rPr>
              <w:t>Greek Hero + Justice + Environmental Health</w:t>
            </w:r>
          </w:p>
        </w:tc>
        <w:tc>
          <w:tcPr>
            <w:tcW w:type="dxa" w:w="1296"/>
            <w:vAlign w:val="center"/>
            <w:tcMar>
              <w:top w:w="80" w:type="dxa"/>
              <w:start w:w="90" w:type="dxa"/>
              <w:bottom w:w="80" w:type="dxa"/>
              <w:end w:w="90" w:type="dxa"/>
            </w:tcMar>
          </w:tcPr>
          <w:p>
            <w:pPr>
              <w:spacing w:after="0" w:line="240" w:lineRule="auto"/>
            </w:pPr>
            <w:r>
              <w:rPr>
                <w:rFonts w:ascii="Arial" w:hAnsi="Arial"/>
                <w:sz w:val="15"/>
              </w:rPr>
              <w:t>0.0753</w:t>
            </w:r>
          </w:p>
        </w:tc>
        <w:tc>
          <w:tcPr>
            <w:tcW w:type="dxa" w:w="1512"/>
            <w:vAlign w:val="center"/>
            <w:tcMar>
              <w:top w:w="80" w:type="dxa"/>
              <w:start w:w="90" w:type="dxa"/>
              <w:bottom w:w="80" w:type="dxa"/>
              <w:end w:w="90" w:type="dxa"/>
            </w:tcMar>
          </w:tcPr>
          <w:p>
            <w:pPr>
              <w:spacing w:after="0" w:line="240" w:lineRule="auto"/>
            </w:pPr>
            <w:r>
              <w:rPr>
                <w:rFonts w:ascii="Arial" w:hAnsi="Arial"/>
                <w:sz w:val="15"/>
              </w:rPr>
              <w:t>2,279</w:t>
            </w:r>
          </w:p>
        </w:tc>
      </w:tr>
      <w:tr>
        <w:tc>
          <w:tcPr>
            <w:tcW w:type="dxa" w:w="792"/>
            <w:vAlign w:val="center"/>
            <w:tcMar>
              <w:top w:w="80" w:type="dxa"/>
              <w:start w:w="90" w:type="dxa"/>
              <w:bottom w:w="80" w:type="dxa"/>
              <w:end w:w="90" w:type="dxa"/>
            </w:tcMar>
          </w:tcPr>
          <w:p>
            <w:pPr>
              <w:spacing w:after="0" w:line="240" w:lineRule="auto"/>
            </w:pPr>
            <w:r>
              <w:rPr>
                <w:rFonts w:ascii="Arial" w:hAnsi="Arial"/>
                <w:sz w:val="15"/>
              </w:rPr>
              <w:t>3</w:t>
            </w:r>
          </w:p>
        </w:tc>
        <w:tc>
          <w:tcPr>
            <w:tcW w:type="dxa" w:w="5832"/>
            <w:vAlign w:val="center"/>
            <w:tcMar>
              <w:top w:w="80" w:type="dxa"/>
              <w:start w:w="90" w:type="dxa"/>
              <w:bottom w:w="80" w:type="dxa"/>
              <w:end w:w="90" w:type="dxa"/>
            </w:tcMar>
          </w:tcPr>
          <w:p>
            <w:pPr>
              <w:spacing w:after="0" w:line="240" w:lineRule="auto"/>
            </w:pPr>
            <w:r>
              <w:rPr>
                <w:rFonts w:ascii="Arial" w:hAnsi="Arial"/>
                <w:sz w:val="15"/>
              </w:rPr>
              <w:t>Greek Hero + CS50x + Justice</w:t>
            </w:r>
          </w:p>
        </w:tc>
        <w:tc>
          <w:tcPr>
            <w:tcW w:type="dxa" w:w="1296"/>
            <w:vAlign w:val="center"/>
            <w:tcMar>
              <w:top w:w="80" w:type="dxa"/>
              <w:start w:w="90" w:type="dxa"/>
              <w:bottom w:w="80" w:type="dxa"/>
              <w:end w:w="90" w:type="dxa"/>
            </w:tcMar>
          </w:tcPr>
          <w:p>
            <w:pPr>
              <w:spacing w:after="0" w:line="240" w:lineRule="auto"/>
            </w:pPr>
            <w:r>
              <w:rPr>
                <w:rFonts w:ascii="Arial" w:hAnsi="Arial"/>
                <w:sz w:val="15"/>
              </w:rPr>
              <w:t>0.0616</w:t>
            </w:r>
          </w:p>
        </w:tc>
        <w:tc>
          <w:tcPr>
            <w:tcW w:type="dxa" w:w="1512"/>
            <w:vAlign w:val="center"/>
            <w:tcMar>
              <w:top w:w="80" w:type="dxa"/>
              <w:start w:w="90" w:type="dxa"/>
              <w:bottom w:w="80" w:type="dxa"/>
              <w:end w:w="90" w:type="dxa"/>
            </w:tcMar>
          </w:tcPr>
          <w:p>
            <w:pPr>
              <w:spacing w:after="0" w:line="240" w:lineRule="auto"/>
            </w:pPr>
            <w:r>
              <w:rPr>
                <w:rFonts w:ascii="Arial" w:hAnsi="Arial"/>
                <w:sz w:val="15"/>
              </w:rPr>
              <w:t>1,863</w:t>
            </w:r>
          </w:p>
        </w:tc>
      </w:tr>
    </w:tbl>
    <w:p>
      <w:pPr>
        <w:spacing w:after="20"/>
      </w:pPr>
    </w:p>
    <w:p>
      <w:pPr>
        <w:pStyle w:val="Heading2"/>
      </w:pPr>
      <w:r>
        <w:t>Association Rules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392"/>
        <w:gridCol w:w="1440"/>
        <w:gridCol w:w="1656"/>
        <w:gridCol w:w="1512"/>
      </w:tblGrid>
      <w:tr>
        <w:trPr>
          <w:tblHeader w:val="true"/>
        </w:trPr>
        <w:tc>
          <w:tcPr>
            <w:tcW w:type="dxa" w:w="4392"/>
            <w:vAlign w:val="center"/>
            <w:shd w:fill="E8EDF2"/>
            <w:tcMar>
              <w:top w:w="80" w:type="dxa"/>
              <w:start w:w="90" w:type="dxa"/>
              <w:bottom w:w="80" w:type="dxa"/>
              <w:end w:w="90" w:type="dxa"/>
            </w:tcMar>
          </w:tcPr>
          <w:p>
            <w:pPr>
              <w:spacing w:after="0"/>
            </w:pPr>
            <w:r>
              <w:rPr>
                <w:rFonts w:ascii="Arial" w:hAnsi="Arial"/>
                <w:b/>
                <w:sz w:val="17"/>
              </w:rPr>
              <w:t>Rule</w:t>
            </w:r>
          </w:p>
        </w:tc>
        <w:tc>
          <w:tcPr>
            <w:tcW w:type="dxa" w:w="1440"/>
            <w:vAlign w:val="center"/>
            <w:shd w:fill="E8EDF2"/>
            <w:tcMar>
              <w:top w:w="80" w:type="dxa"/>
              <w:start w:w="90" w:type="dxa"/>
              <w:bottom w:w="80" w:type="dxa"/>
              <w:end w:w="90" w:type="dxa"/>
            </w:tcMar>
          </w:tcPr>
          <w:p>
            <w:pPr>
              <w:spacing w:after="0"/>
            </w:pPr>
            <w:r>
              <w:rPr>
                <w:rFonts w:ascii="Arial" w:hAnsi="Arial"/>
                <w:b/>
                <w:sz w:val="17"/>
              </w:rPr>
              <w:t>Support</w:t>
            </w:r>
          </w:p>
        </w:tc>
        <w:tc>
          <w:tcPr>
            <w:tcW w:type="dxa" w:w="1656"/>
            <w:vAlign w:val="center"/>
            <w:shd w:fill="E8EDF2"/>
            <w:tcMar>
              <w:top w:w="80" w:type="dxa"/>
              <w:start w:w="90" w:type="dxa"/>
              <w:bottom w:w="80" w:type="dxa"/>
              <w:end w:w="90" w:type="dxa"/>
            </w:tcMar>
          </w:tcPr>
          <w:p>
            <w:pPr>
              <w:spacing w:after="0"/>
            </w:pPr>
            <w:r>
              <w:rPr>
                <w:rFonts w:ascii="Arial" w:hAnsi="Arial"/>
                <w:b/>
                <w:sz w:val="17"/>
              </w:rPr>
              <w:t>Confidence</w:t>
            </w:r>
          </w:p>
        </w:tc>
        <w:tc>
          <w:tcPr>
            <w:tcW w:type="dxa" w:w="1512"/>
            <w:vAlign w:val="center"/>
            <w:shd w:fill="E8EDF2"/>
            <w:tcMar>
              <w:top w:w="80" w:type="dxa"/>
              <w:start w:w="90" w:type="dxa"/>
              <w:bottom w:w="80" w:type="dxa"/>
              <w:end w:w="90" w:type="dxa"/>
            </w:tcMar>
          </w:tcPr>
          <w:p>
            <w:pPr>
              <w:spacing w:after="0"/>
            </w:pPr>
            <w:r>
              <w:rPr>
                <w:rFonts w:ascii="Arial" w:hAnsi="Arial"/>
                <w:b/>
                <w:sz w:val="17"/>
              </w:rPr>
              <w:t>Lift</w:t>
            </w:r>
          </w:p>
        </w:tc>
      </w:tr>
      <w:tr>
        <w:tc>
          <w:tcPr>
            <w:tcW w:type="dxa" w:w="4392"/>
            <w:vAlign w:val="center"/>
            <w:tcMar>
              <w:top w:w="80" w:type="dxa"/>
              <w:start w:w="90" w:type="dxa"/>
              <w:bottom w:w="80" w:type="dxa"/>
              <w:end w:w="90" w:type="dxa"/>
            </w:tcMar>
          </w:tcPr>
          <w:p>
            <w:pPr>
              <w:spacing w:after="0" w:line="240" w:lineRule="auto"/>
            </w:pPr>
            <w:r>
              <w:rPr>
                <w:rFonts w:ascii="Arial" w:hAnsi="Arial"/>
                <w:sz w:val="17"/>
              </w:rPr>
              <w:t>Greek Hero → Justice</w:t>
            </w:r>
          </w:p>
        </w:tc>
        <w:tc>
          <w:tcPr>
            <w:tcW w:type="dxa" w:w="1440"/>
            <w:vAlign w:val="center"/>
            <w:tcMar>
              <w:top w:w="80" w:type="dxa"/>
              <w:start w:w="90" w:type="dxa"/>
              <w:bottom w:w="80" w:type="dxa"/>
              <w:end w:w="90" w:type="dxa"/>
            </w:tcMar>
          </w:tcPr>
          <w:p>
            <w:pPr>
              <w:spacing w:after="0" w:line="240" w:lineRule="auto"/>
            </w:pPr>
            <w:r>
              <w:rPr>
                <w:rFonts w:ascii="Arial" w:hAnsi="Arial"/>
                <w:sz w:val="17"/>
              </w:rPr>
              <w:t>0.2609</w:t>
            </w:r>
          </w:p>
        </w:tc>
        <w:tc>
          <w:tcPr>
            <w:tcW w:type="dxa" w:w="1656"/>
            <w:vAlign w:val="center"/>
            <w:tcMar>
              <w:top w:w="80" w:type="dxa"/>
              <w:start w:w="90" w:type="dxa"/>
              <w:bottom w:w="80" w:type="dxa"/>
              <w:end w:w="90" w:type="dxa"/>
            </w:tcMar>
          </w:tcPr>
          <w:p>
            <w:pPr>
              <w:spacing w:after="0" w:line="240" w:lineRule="auto"/>
            </w:pPr>
            <w:r>
              <w:rPr>
                <w:rFonts w:ascii="Arial" w:hAnsi="Arial"/>
                <w:sz w:val="17"/>
              </w:rPr>
              <w:t>66.87%</w:t>
            </w:r>
          </w:p>
        </w:tc>
        <w:tc>
          <w:tcPr>
            <w:tcW w:type="dxa" w:w="1512"/>
            <w:vAlign w:val="center"/>
            <w:tcMar>
              <w:top w:w="80" w:type="dxa"/>
              <w:start w:w="90" w:type="dxa"/>
              <w:bottom w:w="80" w:type="dxa"/>
              <w:end w:w="90" w:type="dxa"/>
            </w:tcMar>
          </w:tcPr>
          <w:p>
            <w:pPr>
              <w:spacing w:after="0" w:line="240" w:lineRule="auto"/>
            </w:pPr>
            <w:r>
              <w:rPr>
                <w:rFonts w:ascii="Arial" w:hAnsi="Arial"/>
                <w:sz w:val="17"/>
              </w:rPr>
              <w:t>1.16</w:t>
            </w:r>
          </w:p>
        </w:tc>
      </w:tr>
      <w:tr>
        <w:tc>
          <w:tcPr>
            <w:tcW w:type="dxa" w:w="4392"/>
            <w:vAlign w:val="center"/>
            <w:tcMar>
              <w:top w:w="80" w:type="dxa"/>
              <w:start w:w="90" w:type="dxa"/>
              <w:bottom w:w="80" w:type="dxa"/>
              <w:end w:w="90" w:type="dxa"/>
            </w:tcMar>
          </w:tcPr>
          <w:p>
            <w:pPr>
              <w:spacing w:after="0" w:line="240" w:lineRule="auto"/>
            </w:pPr>
            <w:r>
              <w:rPr>
                <w:rFonts w:ascii="Arial" w:hAnsi="Arial"/>
                <w:sz w:val="17"/>
              </w:rPr>
              <w:t>Justice → Greek Hero</w:t>
            </w:r>
          </w:p>
        </w:tc>
        <w:tc>
          <w:tcPr>
            <w:tcW w:type="dxa" w:w="1440"/>
            <w:vAlign w:val="center"/>
            <w:tcMar>
              <w:top w:w="80" w:type="dxa"/>
              <w:start w:w="90" w:type="dxa"/>
              <w:bottom w:w="80" w:type="dxa"/>
              <w:end w:w="90" w:type="dxa"/>
            </w:tcMar>
          </w:tcPr>
          <w:p>
            <w:pPr>
              <w:spacing w:after="0" w:line="240" w:lineRule="auto"/>
            </w:pPr>
            <w:r>
              <w:rPr>
                <w:rFonts w:ascii="Arial" w:hAnsi="Arial"/>
                <w:sz w:val="17"/>
              </w:rPr>
              <w:t>0.2609</w:t>
            </w:r>
          </w:p>
        </w:tc>
        <w:tc>
          <w:tcPr>
            <w:tcW w:type="dxa" w:w="1656"/>
            <w:vAlign w:val="center"/>
            <w:tcMar>
              <w:top w:w="80" w:type="dxa"/>
              <w:start w:w="90" w:type="dxa"/>
              <w:bottom w:w="80" w:type="dxa"/>
              <w:end w:w="90" w:type="dxa"/>
            </w:tcMar>
          </w:tcPr>
          <w:p>
            <w:pPr>
              <w:spacing w:after="0" w:line="240" w:lineRule="auto"/>
            </w:pPr>
            <w:r>
              <w:rPr>
                <w:rFonts w:ascii="Arial" w:hAnsi="Arial"/>
                <w:sz w:val="17"/>
              </w:rPr>
              <w:t>45.11%</w:t>
            </w:r>
          </w:p>
        </w:tc>
        <w:tc>
          <w:tcPr>
            <w:tcW w:type="dxa" w:w="1512"/>
            <w:vAlign w:val="center"/>
            <w:tcMar>
              <w:top w:w="80" w:type="dxa"/>
              <w:start w:w="90" w:type="dxa"/>
              <w:bottom w:w="80" w:type="dxa"/>
              <w:end w:w="90" w:type="dxa"/>
            </w:tcMar>
          </w:tcPr>
          <w:p>
            <w:pPr>
              <w:spacing w:after="0" w:line="240" w:lineRule="auto"/>
            </w:pPr>
            <w:r>
              <w:rPr>
                <w:rFonts w:ascii="Arial" w:hAnsi="Arial"/>
                <w:sz w:val="17"/>
              </w:rPr>
              <w:t>1.16</w:t>
            </w:r>
          </w:p>
        </w:tc>
      </w:tr>
      <w:tr>
        <w:tc>
          <w:tcPr>
            <w:tcW w:type="dxa" w:w="4392"/>
            <w:vAlign w:val="center"/>
            <w:tcMar>
              <w:top w:w="80" w:type="dxa"/>
              <w:start w:w="90" w:type="dxa"/>
              <w:bottom w:w="80" w:type="dxa"/>
              <w:end w:w="90" w:type="dxa"/>
            </w:tcMar>
          </w:tcPr>
          <w:p>
            <w:pPr>
              <w:spacing w:after="0" w:line="240" w:lineRule="auto"/>
            </w:pPr>
            <w:r>
              <w:rPr>
                <w:rFonts w:ascii="Arial" w:hAnsi="Arial"/>
                <w:sz w:val="17"/>
              </w:rPr>
              <w:t>Health in Numbers → CS50x</w:t>
            </w:r>
          </w:p>
        </w:tc>
        <w:tc>
          <w:tcPr>
            <w:tcW w:type="dxa" w:w="1440"/>
            <w:vAlign w:val="center"/>
            <w:tcMar>
              <w:top w:w="80" w:type="dxa"/>
              <w:start w:w="90" w:type="dxa"/>
              <w:bottom w:w="80" w:type="dxa"/>
              <w:end w:w="90" w:type="dxa"/>
            </w:tcMar>
          </w:tcPr>
          <w:p>
            <w:pPr>
              <w:spacing w:after="0" w:line="240" w:lineRule="auto"/>
            </w:pPr>
            <w:r>
              <w:rPr>
                <w:rFonts w:ascii="Arial" w:hAnsi="Arial"/>
                <w:sz w:val="17"/>
              </w:rPr>
              <w:t>0.1597</w:t>
            </w:r>
          </w:p>
        </w:tc>
        <w:tc>
          <w:tcPr>
            <w:tcW w:type="dxa" w:w="1656"/>
            <w:vAlign w:val="center"/>
            <w:tcMar>
              <w:top w:w="80" w:type="dxa"/>
              <w:start w:w="90" w:type="dxa"/>
              <w:bottom w:w="80" w:type="dxa"/>
              <w:end w:w="90" w:type="dxa"/>
            </w:tcMar>
          </w:tcPr>
          <w:p>
            <w:pPr>
              <w:spacing w:after="0" w:line="240" w:lineRule="auto"/>
            </w:pPr>
            <w:r>
              <w:rPr>
                <w:rFonts w:ascii="Arial" w:hAnsi="Arial"/>
                <w:sz w:val="17"/>
              </w:rPr>
              <w:t>54.70%</w:t>
            </w:r>
          </w:p>
        </w:tc>
        <w:tc>
          <w:tcPr>
            <w:tcW w:type="dxa" w:w="1512"/>
            <w:vAlign w:val="center"/>
            <w:tcMar>
              <w:top w:w="80" w:type="dxa"/>
              <w:start w:w="90" w:type="dxa"/>
              <w:bottom w:w="80" w:type="dxa"/>
              <w:end w:w="90" w:type="dxa"/>
            </w:tcMar>
          </w:tcPr>
          <w:p>
            <w:pPr>
              <w:spacing w:after="0" w:line="240" w:lineRule="auto"/>
            </w:pPr>
            <w:r>
              <w:rPr>
                <w:rFonts w:ascii="Arial" w:hAnsi="Arial"/>
                <w:sz w:val="17"/>
              </w:rPr>
              <w:t>1.10</w:t>
            </w:r>
          </w:p>
        </w:tc>
      </w:tr>
      <w:tr>
        <w:tc>
          <w:tcPr>
            <w:tcW w:type="dxa" w:w="4392"/>
            <w:vAlign w:val="center"/>
            <w:tcMar>
              <w:top w:w="80" w:type="dxa"/>
              <w:start w:w="90" w:type="dxa"/>
              <w:bottom w:w="80" w:type="dxa"/>
              <w:end w:w="90" w:type="dxa"/>
            </w:tcMar>
          </w:tcPr>
          <w:p>
            <w:pPr>
              <w:spacing w:after="0" w:line="240" w:lineRule="auto"/>
            </w:pPr>
            <w:r>
              <w:rPr>
                <w:rFonts w:ascii="Arial" w:hAnsi="Arial"/>
                <w:sz w:val="17"/>
              </w:rPr>
              <w:t>Environmental Health → Justice</w:t>
            </w:r>
          </w:p>
        </w:tc>
        <w:tc>
          <w:tcPr>
            <w:tcW w:type="dxa" w:w="1440"/>
            <w:vAlign w:val="center"/>
            <w:tcMar>
              <w:top w:w="80" w:type="dxa"/>
              <w:start w:w="90" w:type="dxa"/>
              <w:bottom w:w="80" w:type="dxa"/>
              <w:end w:w="90" w:type="dxa"/>
            </w:tcMar>
          </w:tcPr>
          <w:p>
            <w:pPr>
              <w:spacing w:after="0" w:line="240" w:lineRule="auto"/>
            </w:pPr>
            <w:r>
              <w:rPr>
                <w:rFonts w:ascii="Arial" w:hAnsi="Arial"/>
                <w:sz w:val="17"/>
              </w:rPr>
              <w:t>0.2426</w:t>
            </w:r>
          </w:p>
        </w:tc>
        <w:tc>
          <w:tcPr>
            <w:tcW w:type="dxa" w:w="1656"/>
            <w:vAlign w:val="center"/>
            <w:tcMar>
              <w:top w:w="80" w:type="dxa"/>
              <w:start w:w="90" w:type="dxa"/>
              <w:bottom w:w="80" w:type="dxa"/>
              <w:end w:w="90" w:type="dxa"/>
            </w:tcMar>
          </w:tcPr>
          <w:p>
            <w:pPr>
              <w:spacing w:after="0" w:line="240" w:lineRule="auto"/>
            </w:pPr>
            <w:r>
              <w:rPr>
                <w:rFonts w:ascii="Arial" w:hAnsi="Arial"/>
                <w:sz w:val="17"/>
              </w:rPr>
              <w:t>53.50%</w:t>
            </w:r>
          </w:p>
        </w:tc>
        <w:tc>
          <w:tcPr>
            <w:tcW w:type="dxa" w:w="1512"/>
            <w:vAlign w:val="center"/>
            <w:tcMar>
              <w:top w:w="80" w:type="dxa"/>
              <w:start w:w="90" w:type="dxa"/>
              <w:bottom w:w="80" w:type="dxa"/>
              <w:end w:w="90" w:type="dxa"/>
            </w:tcMar>
          </w:tcPr>
          <w:p>
            <w:pPr>
              <w:spacing w:after="0" w:line="240" w:lineRule="auto"/>
            </w:pPr>
            <w:r>
              <w:rPr>
                <w:rFonts w:ascii="Arial" w:hAnsi="Arial"/>
                <w:sz w:val="17"/>
              </w:rPr>
              <w:t>0.92</w:t>
            </w:r>
          </w:p>
        </w:tc>
      </w:tr>
      <w:tr>
        <w:tc>
          <w:tcPr>
            <w:tcW w:type="dxa" w:w="4392"/>
            <w:vAlign w:val="center"/>
            <w:tcMar>
              <w:top w:w="80" w:type="dxa"/>
              <w:start w:w="90" w:type="dxa"/>
              <w:bottom w:w="80" w:type="dxa"/>
              <w:end w:w="90" w:type="dxa"/>
            </w:tcMar>
          </w:tcPr>
          <w:p>
            <w:pPr>
              <w:spacing w:after="0" w:line="240" w:lineRule="auto"/>
            </w:pPr>
            <w:r>
              <w:rPr>
                <w:rFonts w:ascii="Arial" w:hAnsi="Arial"/>
                <w:sz w:val="17"/>
              </w:rPr>
              <w:t>Greek Hero → CS50x</w:t>
            </w:r>
          </w:p>
        </w:tc>
        <w:tc>
          <w:tcPr>
            <w:tcW w:type="dxa" w:w="1440"/>
            <w:vAlign w:val="center"/>
            <w:tcMar>
              <w:top w:w="80" w:type="dxa"/>
              <w:start w:w="90" w:type="dxa"/>
              <w:bottom w:w="80" w:type="dxa"/>
              <w:end w:w="90" w:type="dxa"/>
            </w:tcMar>
          </w:tcPr>
          <w:p>
            <w:pPr>
              <w:spacing w:after="0" w:line="240" w:lineRule="auto"/>
            </w:pPr>
            <w:r>
              <w:rPr>
                <w:rFonts w:ascii="Arial" w:hAnsi="Arial"/>
                <w:sz w:val="17"/>
              </w:rPr>
              <w:t>0.1361</w:t>
            </w:r>
          </w:p>
        </w:tc>
        <w:tc>
          <w:tcPr>
            <w:tcW w:type="dxa" w:w="1656"/>
            <w:vAlign w:val="center"/>
            <w:tcMar>
              <w:top w:w="80" w:type="dxa"/>
              <w:start w:w="90" w:type="dxa"/>
              <w:bottom w:w="80" w:type="dxa"/>
              <w:end w:w="90" w:type="dxa"/>
            </w:tcMar>
          </w:tcPr>
          <w:p>
            <w:pPr>
              <w:spacing w:after="0" w:line="240" w:lineRule="auto"/>
            </w:pPr>
            <w:r>
              <w:rPr>
                <w:rFonts w:ascii="Arial" w:hAnsi="Arial"/>
                <w:sz w:val="17"/>
              </w:rPr>
              <w:t>34.87%</w:t>
            </w:r>
          </w:p>
        </w:tc>
        <w:tc>
          <w:tcPr>
            <w:tcW w:type="dxa" w:w="1512"/>
            <w:vAlign w:val="center"/>
            <w:tcMar>
              <w:top w:w="80" w:type="dxa"/>
              <w:start w:w="90" w:type="dxa"/>
              <w:bottom w:w="80" w:type="dxa"/>
              <w:end w:w="90" w:type="dxa"/>
            </w:tcMar>
          </w:tcPr>
          <w:p>
            <w:pPr>
              <w:spacing w:after="0" w:line="240" w:lineRule="auto"/>
            </w:pPr>
            <w:r>
              <w:rPr>
                <w:rFonts w:ascii="Arial" w:hAnsi="Arial"/>
                <w:sz w:val="17"/>
              </w:rPr>
              <w:t>0.70</w:t>
            </w:r>
          </w:p>
        </w:tc>
      </w:tr>
      <w:tr>
        <w:tc>
          <w:tcPr>
            <w:tcW w:type="dxa" w:w="4392"/>
            <w:vAlign w:val="center"/>
            <w:tcMar>
              <w:top w:w="80" w:type="dxa"/>
              <w:start w:w="90" w:type="dxa"/>
              <w:bottom w:w="80" w:type="dxa"/>
              <w:end w:w="90" w:type="dxa"/>
            </w:tcMar>
          </w:tcPr>
          <w:p>
            <w:pPr>
              <w:spacing w:after="0" w:line="240" w:lineRule="auto"/>
            </w:pPr>
            <w:r>
              <w:rPr>
                <w:rFonts w:ascii="Arial" w:hAnsi="Arial"/>
                <w:sz w:val="17"/>
              </w:rPr>
              <w:t>Greek Hero + CS50x → Justice</w:t>
            </w:r>
          </w:p>
        </w:tc>
        <w:tc>
          <w:tcPr>
            <w:tcW w:type="dxa" w:w="1440"/>
            <w:vAlign w:val="center"/>
            <w:tcMar>
              <w:top w:w="80" w:type="dxa"/>
              <w:start w:w="90" w:type="dxa"/>
              <w:bottom w:w="80" w:type="dxa"/>
              <w:end w:w="90" w:type="dxa"/>
            </w:tcMar>
          </w:tcPr>
          <w:p>
            <w:pPr>
              <w:spacing w:after="0" w:line="240" w:lineRule="auto"/>
            </w:pPr>
            <w:r>
              <w:rPr>
                <w:rFonts w:ascii="Arial" w:hAnsi="Arial"/>
                <w:sz w:val="17"/>
              </w:rPr>
              <w:t>0.0616</w:t>
            </w:r>
          </w:p>
        </w:tc>
        <w:tc>
          <w:tcPr>
            <w:tcW w:type="dxa" w:w="1656"/>
            <w:vAlign w:val="center"/>
            <w:tcMar>
              <w:top w:w="80" w:type="dxa"/>
              <w:start w:w="90" w:type="dxa"/>
              <w:bottom w:w="80" w:type="dxa"/>
              <w:end w:w="90" w:type="dxa"/>
            </w:tcMar>
          </w:tcPr>
          <w:p>
            <w:pPr>
              <w:spacing w:after="0" w:line="240" w:lineRule="auto"/>
            </w:pPr>
            <w:r>
              <w:rPr>
                <w:rFonts w:ascii="Arial" w:hAnsi="Arial"/>
                <w:sz w:val="17"/>
              </w:rPr>
              <w:t>45.24%</w:t>
            </w:r>
          </w:p>
        </w:tc>
        <w:tc>
          <w:tcPr>
            <w:tcW w:type="dxa" w:w="1512"/>
            <w:vAlign w:val="center"/>
            <w:tcMar>
              <w:top w:w="80" w:type="dxa"/>
              <w:start w:w="90" w:type="dxa"/>
              <w:bottom w:w="80" w:type="dxa"/>
              <w:end w:w="90" w:type="dxa"/>
            </w:tcMar>
          </w:tcPr>
          <w:p>
            <w:pPr>
              <w:spacing w:after="0" w:line="240" w:lineRule="auto"/>
            </w:pPr>
            <w:r>
              <w:rPr>
                <w:rFonts w:ascii="Arial" w:hAnsi="Arial"/>
                <w:sz w:val="17"/>
              </w:rPr>
              <w:t>0.78</w:t>
            </w:r>
          </w:p>
        </w:tc>
      </w:tr>
    </w:tbl>
    <w:p>
      <w:pPr>
        <w:spacing w:after="20"/>
      </w:pPr>
    </w:p>
    <w:p>
      <w:pPr>
        <w:widowControl/>
      </w:pPr>
      <w:r>
        <w:t>Confidence should be read with lift. For example, Environmental Health → Justice has 53.50% confidence, but its lift is 0.92. Learners in that group took Justice less often than the overall baseline rate. A high confidence value by itself does not always mean the pair has a stronger-than-baseline association.</w:t>
      </w:r>
    </w:p>
    <w:p>
      <w:pPr>
        <w:pStyle w:val="Heading1"/>
      </w:pPr>
      <w:r>
        <w:t>6 Recommendation Method</w:t>
      </w:r>
    </w:p>
    <w:p>
      <w:pPr>
        <w:widowControl/>
      </w:pPr>
      <w:r>
        <w:t>When a user selects courses, CourseCompass finds rules whose antecedent is contained in the selected basket. It adds the rule’s consequent as a candidate, removes any course already selected, and ranks the remaining candidates. If several rules support the same course, the system keeps the evidence for each rule and shows the strongest rule as the main explanation.</w:t>
      </w:r>
    </w:p>
    <w:p>
      <w:pPr>
        <w:widowControl/>
      </w:pPr>
      <w:r>
        <w:t>The application offers three ranking choices: highest confidence, highest lift, or a hybrid score based on confidence, lift, and the number of supporting rules. For each result, it displays the supporting rule and its metrics. A recommendation based on a rule with lift below 1 should be treated cautiously because the consequent is less common in that antecedent group than its overall baseline rate.</w:t>
      </w:r>
    </w:p>
    <w:p>
      <w:pPr>
        <w:pStyle w:val="Heading1"/>
      </w:pPr>
      <w:r>
        <w:t>7 Interactive Application</w:t>
      </w:r>
    </w:p>
    <w:p>
      <w:pPr>
        <w:widowControl/>
      </w:pPr>
      <w:r>
        <w:t>The Streamlit application includes an overview of the dataset, controls for minimum support and confidence, a frequent-itemset view, and a rules explorer with search and sorting. Users can select courses in a basket and see recommendations with their supporting rules.</w:t>
      </w:r>
    </w:p>
    <w:p>
      <w:pPr>
        <w:widowControl/>
      </w:pPr>
      <w:r>
        <w:t>The interface also includes a threshold comparison, a Smart Basket that updates as courses are added, a what-if view for removing a course, and an association graph. The charts show course frequency, basket sizes, and rule metrics. These features let users inspect how the output changes when they change the basket or mining thresholds.</w:t>
      </w:r>
    </w:p>
    <w:p>
      <w:pPr>
        <w:pStyle w:val="Heading1"/>
      </w:pPr>
      <w:r>
        <w:t>8 Threshold Comparison</w:t>
      </w:r>
    </w:p>
    <w:p>
      <w:pPr>
        <w:widowControl/>
      </w:pPr>
      <w:r>
        <w:t>The project compares a conservative setting with a more exploratory one. Lowering minimum support and confidence allows more patterns and rules to pass, but it also admits weaker associations.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2952"/>
        <w:gridCol w:w="2952"/>
      </w:tblGrid>
      <w:tr>
        <w:trPr>
          <w:tblHeader w:val="true"/>
        </w:trPr>
        <w:tc>
          <w:tcPr>
            <w:tcW w:type="dxa" w:w="3024"/>
            <w:vAlign w:val="center"/>
            <w:shd w:fill="E8EDF2"/>
            <w:tcMar>
              <w:top w:w="80" w:type="dxa"/>
              <w:start w:w="90" w:type="dxa"/>
              <w:bottom w:w="80" w:type="dxa"/>
              <w:end w:w="90" w:type="dxa"/>
            </w:tcMar>
          </w:tcPr>
          <w:p>
            <w:pPr>
              <w:spacing w:after="0"/>
            </w:pPr>
            <w:r>
              <w:rPr>
                <w:rFonts w:ascii="Arial" w:hAnsi="Arial"/>
                <w:b/>
                <w:sz w:val="17"/>
              </w:rPr>
              <w:t>Result</w:t>
            </w:r>
          </w:p>
        </w:tc>
        <w:tc>
          <w:tcPr>
            <w:tcW w:type="dxa" w:w="2952"/>
            <w:vAlign w:val="center"/>
            <w:shd w:fill="E8EDF2"/>
            <w:tcMar>
              <w:top w:w="80" w:type="dxa"/>
              <w:start w:w="90" w:type="dxa"/>
              <w:bottom w:w="80" w:type="dxa"/>
              <w:end w:w="90" w:type="dxa"/>
            </w:tcMar>
          </w:tcPr>
          <w:p>
            <w:pPr>
              <w:spacing w:after="0"/>
            </w:pPr>
            <w:r>
              <w:rPr>
                <w:rFonts w:ascii="Arial" w:hAnsi="Arial"/>
                <w:b/>
                <w:sz w:val="17"/>
              </w:rPr>
              <w:t>Conservative</w:t>
            </w:r>
          </w:p>
        </w:tc>
        <w:tc>
          <w:tcPr>
            <w:tcW w:type="dxa" w:w="2952"/>
            <w:vAlign w:val="center"/>
            <w:shd w:fill="E8EDF2"/>
            <w:tcMar>
              <w:top w:w="80" w:type="dxa"/>
              <w:start w:w="90" w:type="dxa"/>
              <w:bottom w:w="80" w:type="dxa"/>
              <w:end w:w="90" w:type="dxa"/>
            </w:tcMar>
          </w:tcPr>
          <w:p>
            <w:pPr>
              <w:spacing w:after="0"/>
            </w:pPr>
            <w:r>
              <w:rPr>
                <w:rFonts w:ascii="Arial" w:hAnsi="Arial"/>
                <w:b/>
                <w:sz w:val="17"/>
              </w:rPr>
              <w:t>Exploratory</w:t>
            </w:r>
          </w:p>
        </w:tc>
      </w:tr>
      <w:tr>
        <w:tc>
          <w:tcPr>
            <w:tcW w:type="dxa" w:w="3024"/>
            <w:vAlign w:val="center"/>
            <w:tcMar>
              <w:top w:w="80" w:type="dxa"/>
              <w:start w:w="90" w:type="dxa"/>
              <w:bottom w:w="80" w:type="dxa"/>
              <w:end w:w="90" w:type="dxa"/>
            </w:tcMar>
          </w:tcPr>
          <w:p>
            <w:pPr>
              <w:spacing w:after="0" w:line="240" w:lineRule="auto"/>
            </w:pPr>
            <w:r>
              <w:rPr>
                <w:rFonts w:ascii="Arial" w:hAnsi="Arial"/>
                <w:sz w:val="17"/>
              </w:rPr>
              <w:t>Minimum support</w:t>
            </w:r>
          </w:p>
        </w:tc>
        <w:tc>
          <w:tcPr>
            <w:tcW w:type="dxa" w:w="2952"/>
            <w:vAlign w:val="center"/>
            <w:tcMar>
              <w:top w:w="80" w:type="dxa"/>
              <w:start w:w="90" w:type="dxa"/>
              <w:bottom w:w="80" w:type="dxa"/>
              <w:end w:w="90" w:type="dxa"/>
            </w:tcMar>
          </w:tcPr>
          <w:p>
            <w:pPr>
              <w:spacing w:after="0" w:line="240" w:lineRule="auto"/>
            </w:pPr>
            <w:r>
              <w:rPr>
                <w:rFonts w:ascii="Arial" w:hAnsi="Arial"/>
                <w:sz w:val="17"/>
              </w:rPr>
              <w:t>0.10</w:t>
            </w:r>
          </w:p>
        </w:tc>
        <w:tc>
          <w:tcPr>
            <w:tcW w:type="dxa" w:w="2952"/>
            <w:vAlign w:val="center"/>
            <w:tcMar>
              <w:top w:w="80" w:type="dxa"/>
              <w:start w:w="90" w:type="dxa"/>
              <w:bottom w:w="80" w:type="dxa"/>
              <w:end w:w="90" w:type="dxa"/>
            </w:tcMar>
          </w:tcPr>
          <w:p>
            <w:pPr>
              <w:spacing w:after="0" w:line="240" w:lineRule="auto"/>
            </w:pPr>
            <w:r>
              <w:rPr>
                <w:rFonts w:ascii="Arial" w:hAnsi="Arial"/>
                <w:sz w:val="17"/>
              </w:rPr>
              <w:t>0.03</w:t>
            </w:r>
          </w:p>
        </w:tc>
      </w:tr>
      <w:tr>
        <w:tc>
          <w:tcPr>
            <w:tcW w:type="dxa" w:w="3024"/>
            <w:vAlign w:val="center"/>
            <w:tcMar>
              <w:top w:w="80" w:type="dxa"/>
              <w:start w:w="90" w:type="dxa"/>
              <w:bottom w:w="80" w:type="dxa"/>
              <w:end w:w="90" w:type="dxa"/>
            </w:tcMar>
          </w:tcPr>
          <w:p>
            <w:pPr>
              <w:spacing w:after="0" w:line="240" w:lineRule="auto"/>
            </w:pPr>
            <w:r>
              <w:rPr>
                <w:rFonts w:ascii="Arial" w:hAnsi="Arial"/>
                <w:sz w:val="17"/>
              </w:rPr>
              <w:t>Minimum confidence</w:t>
            </w:r>
          </w:p>
        </w:tc>
        <w:tc>
          <w:tcPr>
            <w:tcW w:type="dxa" w:w="2952"/>
            <w:vAlign w:val="center"/>
            <w:tcMar>
              <w:top w:w="80" w:type="dxa"/>
              <w:start w:w="90" w:type="dxa"/>
              <w:bottom w:w="80" w:type="dxa"/>
              <w:end w:w="90" w:type="dxa"/>
            </w:tcMar>
          </w:tcPr>
          <w:p>
            <w:pPr>
              <w:spacing w:after="0" w:line="240" w:lineRule="auto"/>
            </w:pPr>
            <w:r>
              <w:rPr>
                <w:rFonts w:ascii="Arial" w:hAnsi="Arial"/>
                <w:sz w:val="17"/>
              </w:rPr>
              <w:t>0.40</w:t>
            </w:r>
          </w:p>
        </w:tc>
        <w:tc>
          <w:tcPr>
            <w:tcW w:type="dxa" w:w="2952"/>
            <w:vAlign w:val="center"/>
            <w:tcMar>
              <w:top w:w="80" w:type="dxa"/>
              <w:start w:w="90" w:type="dxa"/>
              <w:bottom w:w="80" w:type="dxa"/>
              <w:end w:w="90" w:type="dxa"/>
            </w:tcMar>
          </w:tcPr>
          <w:p>
            <w:pPr>
              <w:spacing w:after="0" w:line="240" w:lineRule="auto"/>
            </w:pPr>
            <w:r>
              <w:rPr>
                <w:rFonts w:ascii="Arial" w:hAnsi="Arial"/>
                <w:sz w:val="17"/>
              </w:rPr>
              <w:t>0.15</w:t>
            </w:r>
          </w:p>
        </w:tc>
      </w:tr>
      <w:tr>
        <w:tc>
          <w:tcPr>
            <w:tcW w:type="dxa" w:w="3024"/>
            <w:vAlign w:val="center"/>
            <w:tcMar>
              <w:top w:w="80" w:type="dxa"/>
              <w:start w:w="90" w:type="dxa"/>
              <w:bottom w:w="80" w:type="dxa"/>
              <w:end w:w="90" w:type="dxa"/>
            </w:tcMar>
          </w:tcPr>
          <w:p>
            <w:pPr>
              <w:spacing w:after="0" w:line="240" w:lineRule="auto"/>
            </w:pPr>
            <w:r>
              <w:rPr>
                <w:rFonts w:ascii="Arial" w:hAnsi="Arial"/>
                <w:sz w:val="17"/>
              </w:rPr>
              <w:t>Frequent itemsets</w:t>
            </w:r>
          </w:p>
        </w:tc>
        <w:tc>
          <w:tcPr>
            <w:tcW w:type="dxa" w:w="2952"/>
            <w:vAlign w:val="center"/>
            <w:tcMar>
              <w:top w:w="80" w:type="dxa"/>
              <w:start w:w="90" w:type="dxa"/>
              <w:bottom w:w="80" w:type="dxa"/>
              <w:end w:w="90" w:type="dxa"/>
            </w:tcMar>
          </w:tcPr>
          <w:p>
            <w:pPr>
              <w:spacing w:after="0" w:line="240" w:lineRule="auto"/>
            </w:pPr>
            <w:r>
              <w:rPr>
                <w:rFonts w:ascii="Arial" w:hAnsi="Arial"/>
                <w:sz w:val="17"/>
              </w:rPr>
              <w:t>13</w:t>
            </w:r>
          </w:p>
        </w:tc>
        <w:tc>
          <w:tcPr>
            <w:tcW w:type="dxa" w:w="2952"/>
            <w:vAlign w:val="center"/>
            <w:tcMar>
              <w:top w:w="80" w:type="dxa"/>
              <w:start w:w="90" w:type="dxa"/>
              <w:bottom w:w="80" w:type="dxa"/>
              <w:end w:w="90" w:type="dxa"/>
            </w:tcMar>
          </w:tcPr>
          <w:p>
            <w:pPr>
              <w:spacing w:after="0" w:line="240" w:lineRule="auto"/>
            </w:pPr>
            <w:r>
              <w:rPr>
                <w:rFonts w:ascii="Arial" w:hAnsi="Arial"/>
                <w:sz w:val="17"/>
              </w:rPr>
              <w:t>16</w:t>
            </w:r>
          </w:p>
        </w:tc>
      </w:tr>
      <w:tr>
        <w:tc>
          <w:tcPr>
            <w:tcW w:type="dxa" w:w="3024"/>
            <w:vAlign w:val="center"/>
            <w:tcMar>
              <w:top w:w="80" w:type="dxa"/>
              <w:start w:w="90" w:type="dxa"/>
              <w:bottom w:w="80" w:type="dxa"/>
              <w:end w:w="90" w:type="dxa"/>
            </w:tcMar>
          </w:tcPr>
          <w:p>
            <w:pPr>
              <w:spacing w:after="0" w:line="240" w:lineRule="auto"/>
            </w:pPr>
            <w:r>
              <w:rPr>
                <w:rFonts w:ascii="Arial" w:hAnsi="Arial"/>
                <w:sz w:val="17"/>
              </w:rPr>
              <w:t>Association rules</w:t>
            </w:r>
          </w:p>
        </w:tc>
        <w:tc>
          <w:tcPr>
            <w:tcW w:type="dxa" w:w="2952"/>
            <w:vAlign w:val="center"/>
            <w:tcMar>
              <w:top w:w="80" w:type="dxa"/>
              <w:start w:w="90" w:type="dxa"/>
              <w:bottom w:w="80" w:type="dxa"/>
              <w:end w:w="90" w:type="dxa"/>
            </w:tcMar>
          </w:tcPr>
          <w:p>
            <w:pPr>
              <w:spacing w:after="0" w:line="240" w:lineRule="auto"/>
            </w:pPr>
            <w:r>
              <w:rPr>
                <w:rFonts w:ascii="Arial" w:hAnsi="Arial"/>
                <w:sz w:val="17"/>
              </w:rPr>
              <w:t>9</w:t>
            </w:r>
          </w:p>
        </w:tc>
        <w:tc>
          <w:tcPr>
            <w:tcW w:type="dxa" w:w="2952"/>
            <w:vAlign w:val="center"/>
            <w:tcMar>
              <w:top w:w="80" w:type="dxa"/>
              <w:start w:w="90" w:type="dxa"/>
              <w:bottom w:w="80" w:type="dxa"/>
              <w:end w:w="90" w:type="dxa"/>
            </w:tcMar>
          </w:tcPr>
          <w:p>
            <w:pPr>
              <w:spacing w:after="0" w:line="240" w:lineRule="auto"/>
            </w:pPr>
            <w:r>
              <w:rPr>
                <w:rFonts w:ascii="Arial" w:hAnsi="Arial"/>
                <w:sz w:val="17"/>
              </w:rPr>
              <w:t>26</w:t>
            </w:r>
          </w:p>
        </w:tc>
      </w:tr>
      <w:tr>
        <w:tc>
          <w:tcPr>
            <w:tcW w:type="dxa" w:w="3024"/>
            <w:vAlign w:val="center"/>
            <w:tcMar>
              <w:top w:w="80" w:type="dxa"/>
              <w:start w:w="90" w:type="dxa"/>
              <w:bottom w:w="80" w:type="dxa"/>
              <w:end w:w="90" w:type="dxa"/>
            </w:tcMar>
          </w:tcPr>
          <w:p>
            <w:pPr>
              <w:spacing w:after="0" w:line="240" w:lineRule="auto"/>
            </w:pPr>
            <w:r>
              <w:rPr>
                <w:rFonts w:ascii="Arial" w:hAnsi="Arial"/>
                <w:sz w:val="17"/>
              </w:rPr>
              <w:t>Mean rule confidence</w:t>
            </w:r>
          </w:p>
        </w:tc>
        <w:tc>
          <w:tcPr>
            <w:tcW w:type="dxa" w:w="2952"/>
            <w:vAlign w:val="center"/>
            <w:tcMar>
              <w:top w:w="80" w:type="dxa"/>
              <w:start w:w="90" w:type="dxa"/>
              <w:bottom w:w="80" w:type="dxa"/>
              <w:end w:w="90" w:type="dxa"/>
            </w:tcMar>
          </w:tcPr>
          <w:p>
            <w:pPr>
              <w:spacing w:after="0" w:line="240" w:lineRule="auto"/>
            </w:pPr>
            <w:r>
              <w:rPr>
                <w:rFonts w:ascii="Arial" w:hAnsi="Arial"/>
                <w:sz w:val="17"/>
              </w:rPr>
              <w:t>52.6%</w:t>
            </w:r>
          </w:p>
        </w:tc>
        <w:tc>
          <w:tcPr>
            <w:tcW w:type="dxa" w:w="2952"/>
            <w:vAlign w:val="center"/>
            <w:tcMar>
              <w:top w:w="80" w:type="dxa"/>
              <w:start w:w="90" w:type="dxa"/>
              <w:bottom w:w="80" w:type="dxa"/>
              <w:end w:w="90" w:type="dxa"/>
            </w:tcMar>
          </w:tcPr>
          <w:p>
            <w:pPr>
              <w:spacing w:after="0" w:line="240" w:lineRule="auto"/>
            </w:pPr>
            <w:r>
              <w:rPr>
                <w:rFonts w:ascii="Arial" w:hAnsi="Arial"/>
                <w:sz w:val="17"/>
              </w:rPr>
              <w:t>38.4%</w:t>
            </w:r>
          </w:p>
        </w:tc>
      </w:tr>
      <w:tr>
        <w:tc>
          <w:tcPr>
            <w:tcW w:type="dxa" w:w="3024"/>
            <w:vAlign w:val="center"/>
            <w:tcMar>
              <w:top w:w="80" w:type="dxa"/>
              <w:start w:w="90" w:type="dxa"/>
              <w:bottom w:w="80" w:type="dxa"/>
              <w:end w:w="90" w:type="dxa"/>
            </w:tcMar>
          </w:tcPr>
          <w:p>
            <w:pPr>
              <w:spacing w:after="0" w:line="240" w:lineRule="auto"/>
            </w:pPr>
            <w:r>
              <w:rPr>
                <w:rFonts w:ascii="Arial" w:hAnsi="Arial"/>
                <w:sz w:val="17"/>
              </w:rPr>
              <w:t>Mean rule lift</w:t>
            </w:r>
          </w:p>
        </w:tc>
        <w:tc>
          <w:tcPr>
            <w:tcW w:type="dxa" w:w="2952"/>
            <w:vAlign w:val="center"/>
            <w:tcMar>
              <w:top w:w="80" w:type="dxa"/>
              <w:start w:w="90" w:type="dxa"/>
              <w:bottom w:w="80" w:type="dxa"/>
              <w:end w:w="90" w:type="dxa"/>
            </w:tcMar>
          </w:tcPr>
          <w:p>
            <w:pPr>
              <w:spacing w:after="0" w:line="240" w:lineRule="auto"/>
            </w:pPr>
            <w:r>
              <w:rPr>
                <w:rFonts w:ascii="Arial" w:hAnsi="Arial"/>
                <w:sz w:val="17"/>
              </w:rPr>
              <w:t>1.01</w:t>
            </w:r>
          </w:p>
        </w:tc>
        <w:tc>
          <w:tcPr>
            <w:tcW w:type="dxa" w:w="2952"/>
            <w:vAlign w:val="center"/>
            <w:tcMar>
              <w:top w:w="80" w:type="dxa"/>
              <w:start w:w="90" w:type="dxa"/>
              <w:bottom w:w="80" w:type="dxa"/>
              <w:end w:w="90" w:type="dxa"/>
            </w:tcMar>
          </w:tcPr>
          <w:p>
            <w:pPr>
              <w:spacing w:after="0" w:line="240" w:lineRule="auto"/>
            </w:pPr>
            <w:r>
              <w:rPr>
                <w:rFonts w:ascii="Arial" w:hAnsi="Arial"/>
                <w:sz w:val="17"/>
              </w:rPr>
              <w:t>0.86</w:t>
            </w:r>
          </w:p>
        </w:tc>
      </w:tr>
      <w:tr>
        <w:tc>
          <w:tcPr>
            <w:tcW w:type="dxa" w:w="3024"/>
            <w:vAlign w:val="center"/>
            <w:tcMar>
              <w:top w:w="80" w:type="dxa"/>
              <w:start w:w="90" w:type="dxa"/>
              <w:bottom w:w="80" w:type="dxa"/>
              <w:end w:w="90" w:type="dxa"/>
            </w:tcMar>
          </w:tcPr>
          <w:p>
            <w:pPr>
              <w:spacing w:after="0" w:line="240" w:lineRule="auto"/>
            </w:pPr>
            <w:r>
              <w:rPr>
                <w:rFonts w:ascii="Arial" w:hAnsi="Arial"/>
                <w:sz w:val="17"/>
              </w:rPr>
              <w:t>General effect</w:t>
            </w:r>
          </w:p>
        </w:tc>
        <w:tc>
          <w:tcPr>
            <w:tcW w:type="dxa" w:w="2952"/>
            <w:vAlign w:val="center"/>
            <w:tcMar>
              <w:top w:w="80" w:type="dxa"/>
              <w:start w:w="90" w:type="dxa"/>
              <w:bottom w:w="80" w:type="dxa"/>
              <w:end w:w="90" w:type="dxa"/>
            </w:tcMar>
          </w:tcPr>
          <w:p>
            <w:pPr>
              <w:spacing w:after="0" w:line="240" w:lineRule="auto"/>
            </w:pPr>
            <w:r>
              <w:rPr>
                <w:rFonts w:ascii="Arial" w:hAnsi="Arial"/>
                <w:sz w:val="17"/>
              </w:rPr>
              <w:t>Fewer, higher-confidence rules</w:t>
            </w:r>
          </w:p>
        </w:tc>
        <w:tc>
          <w:tcPr>
            <w:tcW w:type="dxa" w:w="2952"/>
            <w:vAlign w:val="center"/>
            <w:tcMar>
              <w:top w:w="80" w:type="dxa"/>
              <w:start w:w="90" w:type="dxa"/>
              <w:bottom w:w="80" w:type="dxa"/>
              <w:end w:w="90" w:type="dxa"/>
            </w:tcMar>
          </w:tcPr>
          <w:p>
            <w:pPr>
              <w:spacing w:after="0" w:line="240" w:lineRule="auto"/>
            </w:pPr>
            <w:r>
              <w:rPr>
                <w:rFonts w:ascii="Arial" w:hAnsi="Arial"/>
                <w:sz w:val="17"/>
              </w:rPr>
              <w:t>More rules, including weaker associations</w:t>
            </w:r>
          </w:p>
        </w:tc>
      </w:tr>
    </w:tbl>
    <w:p>
      <w:pPr>
        <w:spacing w:after="20"/>
      </w:pPr>
    </w:p>
    <w:p>
      <w:pPr>
        <w:widowControl/>
      </w:pPr>
      <w:r>
        <w:t>In the reported runs, the conservative setting produced fewer recommendations. The exploratory setting produced more options, but its average lift was below 1. This means many rules in that setting did not show a stronger association than the consequent’s baseline frequency.</w:t>
      </w:r>
    </w:p>
    <w:p>
      <w:pPr>
        <w:pStyle w:val="Heading1"/>
      </w:pPr>
      <w:r>
        <w:t>9 Evaluation</w:t>
      </w:r>
    </w:p>
    <w:p>
      <w:pPr>
        <w:pStyle w:val="Heading2"/>
      </w:pPr>
      <w:r>
        <w:t>Recommendation Examples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2232"/>
        <w:gridCol w:w="1440"/>
        <w:gridCol w:w="1656"/>
        <w:gridCol w:w="1368"/>
      </w:tblGrid>
      <w:tr>
        <w:trPr>
          <w:tblHeader w:val="true"/>
        </w:trPr>
        <w:tc>
          <w:tcPr>
            <w:tcW w:type="dxa" w:w="2232"/>
            <w:vAlign w:val="center"/>
            <w:shd w:fill="E8EDF2"/>
            <w:tcMar>
              <w:top w:w="80" w:type="dxa"/>
              <w:start w:w="90" w:type="dxa"/>
              <w:bottom w:w="80" w:type="dxa"/>
              <w:end w:w="90" w:type="dxa"/>
            </w:tcMar>
          </w:tcPr>
          <w:p>
            <w:pPr>
              <w:spacing w:after="0"/>
            </w:pPr>
            <w:r>
              <w:rPr>
                <w:rFonts w:ascii="Arial" w:hAnsi="Arial"/>
                <w:b/>
                <w:sz w:val="16"/>
              </w:rPr>
              <w:t>Selected basket</w:t>
            </w:r>
          </w:p>
        </w:tc>
        <w:tc>
          <w:tcPr>
            <w:tcW w:type="dxa" w:w="2232"/>
            <w:vAlign w:val="center"/>
            <w:shd w:fill="E8EDF2"/>
            <w:tcMar>
              <w:top w:w="80" w:type="dxa"/>
              <w:start w:w="90" w:type="dxa"/>
              <w:bottom w:w="80" w:type="dxa"/>
              <w:end w:w="90" w:type="dxa"/>
            </w:tcMar>
          </w:tcPr>
          <w:p>
            <w:pPr>
              <w:spacing w:after="0"/>
            </w:pPr>
            <w:r>
              <w:rPr>
                <w:rFonts w:ascii="Arial" w:hAnsi="Arial"/>
                <w:b/>
                <w:sz w:val="16"/>
              </w:rPr>
              <w:t>Suggested course</w:t>
            </w:r>
          </w:p>
        </w:tc>
        <w:tc>
          <w:tcPr>
            <w:tcW w:type="dxa" w:w="1440"/>
            <w:vAlign w:val="center"/>
            <w:shd w:fill="E8EDF2"/>
            <w:tcMar>
              <w:top w:w="80" w:type="dxa"/>
              <w:start w:w="90" w:type="dxa"/>
              <w:bottom w:w="80" w:type="dxa"/>
              <w:end w:w="90" w:type="dxa"/>
            </w:tcMar>
          </w:tcPr>
          <w:p>
            <w:pPr>
              <w:spacing w:after="0"/>
            </w:pPr>
            <w:r>
              <w:rPr>
                <w:rFonts w:ascii="Arial" w:hAnsi="Arial"/>
                <w:b/>
                <w:sz w:val="16"/>
              </w:rPr>
              <w:t>Support</w:t>
            </w:r>
          </w:p>
        </w:tc>
        <w:tc>
          <w:tcPr>
            <w:tcW w:type="dxa" w:w="1656"/>
            <w:vAlign w:val="center"/>
            <w:shd w:fill="E8EDF2"/>
            <w:tcMar>
              <w:top w:w="80" w:type="dxa"/>
              <w:start w:w="90" w:type="dxa"/>
              <w:bottom w:w="80" w:type="dxa"/>
              <w:end w:w="90" w:type="dxa"/>
            </w:tcMar>
          </w:tcPr>
          <w:p>
            <w:pPr>
              <w:spacing w:after="0"/>
            </w:pPr>
            <w:r>
              <w:rPr>
                <w:rFonts w:ascii="Arial" w:hAnsi="Arial"/>
                <w:b/>
                <w:sz w:val="16"/>
              </w:rPr>
              <w:t>Confidence</w:t>
            </w:r>
          </w:p>
        </w:tc>
        <w:tc>
          <w:tcPr>
            <w:tcW w:type="dxa" w:w="1368"/>
            <w:vAlign w:val="center"/>
            <w:shd w:fill="E8EDF2"/>
            <w:tcMar>
              <w:top w:w="80" w:type="dxa"/>
              <w:start w:w="90" w:type="dxa"/>
              <w:bottom w:w="80" w:type="dxa"/>
              <w:end w:w="90" w:type="dxa"/>
            </w:tcMar>
          </w:tcPr>
          <w:p>
            <w:pPr>
              <w:spacing w:after="0"/>
            </w:pPr>
            <w:r>
              <w:rPr>
                <w:rFonts w:ascii="Arial" w:hAnsi="Arial"/>
                <w:b/>
                <w:sz w:val="16"/>
              </w:rPr>
              <w:t>Lift</w:t>
            </w:r>
          </w:p>
        </w:tc>
      </w:tr>
      <w:tr>
        <w:tc>
          <w:tcPr>
            <w:tcW w:type="dxa" w:w="2232"/>
            <w:vAlign w:val="center"/>
            <w:tcMar>
              <w:top w:w="80" w:type="dxa"/>
              <w:start w:w="90" w:type="dxa"/>
              <w:bottom w:w="80" w:type="dxa"/>
              <w:end w:w="90" w:type="dxa"/>
            </w:tcMar>
          </w:tcPr>
          <w:p>
            <w:pPr>
              <w:spacing w:after="0" w:line="240" w:lineRule="auto"/>
            </w:pPr>
            <w:r>
              <w:rPr>
                <w:rFonts w:ascii="Arial" w:hAnsi="Arial"/>
                <w:sz w:val="16"/>
              </w:rPr>
              <w:t>Greek Hero</w:t>
            </w:r>
          </w:p>
        </w:tc>
        <w:tc>
          <w:tcPr>
            <w:tcW w:type="dxa" w:w="2232"/>
            <w:vAlign w:val="center"/>
            <w:tcMar>
              <w:top w:w="80" w:type="dxa"/>
              <w:start w:w="90" w:type="dxa"/>
              <w:bottom w:w="80" w:type="dxa"/>
              <w:end w:w="90" w:type="dxa"/>
            </w:tcMar>
          </w:tcPr>
          <w:p>
            <w:pPr>
              <w:spacing w:after="0" w:line="240" w:lineRule="auto"/>
            </w:pPr>
            <w:r>
              <w:rPr>
                <w:rFonts w:ascii="Arial" w:hAnsi="Arial"/>
                <w:sz w:val="16"/>
              </w:rPr>
              <w:t>Justice</w:t>
            </w:r>
          </w:p>
        </w:tc>
        <w:tc>
          <w:tcPr>
            <w:tcW w:type="dxa" w:w="1440"/>
            <w:vAlign w:val="center"/>
            <w:tcMar>
              <w:top w:w="80" w:type="dxa"/>
              <w:start w:w="90" w:type="dxa"/>
              <w:bottom w:w="80" w:type="dxa"/>
              <w:end w:w="90" w:type="dxa"/>
            </w:tcMar>
          </w:tcPr>
          <w:p>
            <w:pPr>
              <w:spacing w:after="0" w:line="240" w:lineRule="auto"/>
            </w:pPr>
            <w:r>
              <w:rPr>
                <w:rFonts w:ascii="Arial" w:hAnsi="Arial"/>
                <w:sz w:val="16"/>
              </w:rPr>
              <w:t>0.2609</w:t>
            </w:r>
          </w:p>
        </w:tc>
        <w:tc>
          <w:tcPr>
            <w:tcW w:type="dxa" w:w="1656"/>
            <w:vAlign w:val="center"/>
            <w:tcMar>
              <w:top w:w="80" w:type="dxa"/>
              <w:start w:w="90" w:type="dxa"/>
              <w:bottom w:w="80" w:type="dxa"/>
              <w:end w:w="90" w:type="dxa"/>
            </w:tcMar>
          </w:tcPr>
          <w:p>
            <w:pPr>
              <w:spacing w:after="0" w:line="240" w:lineRule="auto"/>
            </w:pPr>
            <w:r>
              <w:rPr>
                <w:rFonts w:ascii="Arial" w:hAnsi="Arial"/>
                <w:sz w:val="16"/>
              </w:rPr>
              <w:t>66.87%</w:t>
            </w:r>
          </w:p>
        </w:tc>
        <w:tc>
          <w:tcPr>
            <w:tcW w:type="dxa" w:w="1368"/>
            <w:vAlign w:val="center"/>
            <w:tcMar>
              <w:top w:w="80" w:type="dxa"/>
              <w:start w:w="90" w:type="dxa"/>
              <w:bottom w:w="80" w:type="dxa"/>
              <w:end w:w="90" w:type="dxa"/>
            </w:tcMar>
          </w:tcPr>
          <w:p>
            <w:pPr>
              <w:spacing w:after="0" w:line="240" w:lineRule="auto"/>
            </w:pPr>
            <w:r>
              <w:rPr>
                <w:rFonts w:ascii="Arial" w:hAnsi="Arial"/>
                <w:sz w:val="16"/>
              </w:rPr>
              <w:t>1.16</w:t>
            </w:r>
          </w:p>
        </w:tc>
      </w:tr>
      <w:tr>
        <w:tc>
          <w:tcPr>
            <w:tcW w:type="dxa" w:w="2232"/>
            <w:vAlign w:val="center"/>
            <w:tcMar>
              <w:top w:w="80" w:type="dxa"/>
              <w:start w:w="90" w:type="dxa"/>
              <w:bottom w:w="80" w:type="dxa"/>
              <w:end w:w="90" w:type="dxa"/>
            </w:tcMar>
          </w:tcPr>
          <w:p>
            <w:pPr>
              <w:spacing w:after="0" w:line="240" w:lineRule="auto"/>
            </w:pPr>
            <w:r>
              <w:rPr>
                <w:rFonts w:ascii="Arial" w:hAnsi="Arial"/>
                <w:sz w:val="16"/>
              </w:rPr>
              <w:t>Health in Numbers</w:t>
            </w:r>
          </w:p>
        </w:tc>
        <w:tc>
          <w:tcPr>
            <w:tcW w:type="dxa" w:w="2232"/>
            <w:vAlign w:val="center"/>
            <w:tcMar>
              <w:top w:w="80" w:type="dxa"/>
              <w:start w:w="90" w:type="dxa"/>
              <w:bottom w:w="80" w:type="dxa"/>
              <w:end w:w="90" w:type="dxa"/>
            </w:tcMar>
          </w:tcPr>
          <w:p>
            <w:pPr>
              <w:spacing w:after="0" w:line="240" w:lineRule="auto"/>
            </w:pPr>
            <w:r>
              <w:rPr>
                <w:rFonts w:ascii="Arial" w:hAnsi="Arial"/>
                <w:sz w:val="16"/>
              </w:rPr>
              <w:t>CS50x</w:t>
            </w:r>
          </w:p>
        </w:tc>
        <w:tc>
          <w:tcPr>
            <w:tcW w:type="dxa" w:w="1440"/>
            <w:vAlign w:val="center"/>
            <w:tcMar>
              <w:top w:w="80" w:type="dxa"/>
              <w:start w:w="90" w:type="dxa"/>
              <w:bottom w:w="80" w:type="dxa"/>
              <w:end w:w="90" w:type="dxa"/>
            </w:tcMar>
          </w:tcPr>
          <w:p>
            <w:pPr>
              <w:spacing w:after="0" w:line="240" w:lineRule="auto"/>
            </w:pPr>
            <w:r>
              <w:rPr>
                <w:rFonts w:ascii="Arial" w:hAnsi="Arial"/>
                <w:sz w:val="16"/>
              </w:rPr>
              <w:t>0.1597</w:t>
            </w:r>
          </w:p>
        </w:tc>
        <w:tc>
          <w:tcPr>
            <w:tcW w:type="dxa" w:w="1656"/>
            <w:vAlign w:val="center"/>
            <w:tcMar>
              <w:top w:w="80" w:type="dxa"/>
              <w:start w:w="90" w:type="dxa"/>
              <w:bottom w:w="80" w:type="dxa"/>
              <w:end w:w="90" w:type="dxa"/>
            </w:tcMar>
          </w:tcPr>
          <w:p>
            <w:pPr>
              <w:spacing w:after="0" w:line="240" w:lineRule="auto"/>
            </w:pPr>
            <w:r>
              <w:rPr>
                <w:rFonts w:ascii="Arial" w:hAnsi="Arial"/>
                <w:sz w:val="16"/>
              </w:rPr>
              <w:t>54.70%</w:t>
            </w:r>
          </w:p>
        </w:tc>
        <w:tc>
          <w:tcPr>
            <w:tcW w:type="dxa" w:w="1368"/>
            <w:vAlign w:val="center"/>
            <w:tcMar>
              <w:top w:w="80" w:type="dxa"/>
              <w:start w:w="90" w:type="dxa"/>
              <w:bottom w:w="80" w:type="dxa"/>
              <w:end w:w="90" w:type="dxa"/>
            </w:tcMar>
          </w:tcPr>
          <w:p>
            <w:pPr>
              <w:spacing w:after="0" w:line="240" w:lineRule="auto"/>
            </w:pPr>
            <w:r>
              <w:rPr>
                <w:rFonts w:ascii="Arial" w:hAnsi="Arial"/>
                <w:sz w:val="16"/>
              </w:rPr>
              <w:t>1.10</w:t>
            </w:r>
          </w:p>
        </w:tc>
      </w:tr>
      <w:tr>
        <w:tc>
          <w:tcPr>
            <w:tcW w:type="dxa" w:w="2232"/>
            <w:vAlign w:val="center"/>
            <w:tcMar>
              <w:top w:w="80" w:type="dxa"/>
              <w:start w:w="90" w:type="dxa"/>
              <w:bottom w:w="80" w:type="dxa"/>
              <w:end w:w="90" w:type="dxa"/>
            </w:tcMar>
          </w:tcPr>
          <w:p>
            <w:pPr>
              <w:spacing w:after="0" w:line="240" w:lineRule="auto"/>
            </w:pPr>
            <w:r>
              <w:rPr>
                <w:rFonts w:ascii="Arial" w:hAnsi="Arial"/>
                <w:sz w:val="16"/>
              </w:rPr>
              <w:t>Environmental Health</w:t>
            </w:r>
          </w:p>
        </w:tc>
        <w:tc>
          <w:tcPr>
            <w:tcW w:type="dxa" w:w="2232"/>
            <w:vAlign w:val="center"/>
            <w:tcMar>
              <w:top w:w="80" w:type="dxa"/>
              <w:start w:w="90" w:type="dxa"/>
              <w:bottom w:w="80" w:type="dxa"/>
              <w:end w:w="90" w:type="dxa"/>
            </w:tcMar>
          </w:tcPr>
          <w:p>
            <w:pPr>
              <w:spacing w:after="0" w:line="240" w:lineRule="auto"/>
            </w:pPr>
            <w:r>
              <w:rPr>
                <w:rFonts w:ascii="Arial" w:hAnsi="Arial"/>
                <w:sz w:val="16"/>
              </w:rPr>
              <w:t>Justice</w:t>
            </w:r>
          </w:p>
        </w:tc>
        <w:tc>
          <w:tcPr>
            <w:tcW w:type="dxa" w:w="1440"/>
            <w:vAlign w:val="center"/>
            <w:tcMar>
              <w:top w:w="80" w:type="dxa"/>
              <w:start w:w="90" w:type="dxa"/>
              <w:bottom w:w="80" w:type="dxa"/>
              <w:end w:w="90" w:type="dxa"/>
            </w:tcMar>
          </w:tcPr>
          <w:p>
            <w:pPr>
              <w:spacing w:after="0" w:line="240" w:lineRule="auto"/>
            </w:pPr>
            <w:r>
              <w:rPr>
                <w:rFonts w:ascii="Arial" w:hAnsi="Arial"/>
                <w:sz w:val="16"/>
              </w:rPr>
              <w:t>0.2426</w:t>
            </w:r>
          </w:p>
        </w:tc>
        <w:tc>
          <w:tcPr>
            <w:tcW w:type="dxa" w:w="1656"/>
            <w:vAlign w:val="center"/>
            <w:tcMar>
              <w:top w:w="80" w:type="dxa"/>
              <w:start w:w="90" w:type="dxa"/>
              <w:bottom w:w="80" w:type="dxa"/>
              <w:end w:w="90" w:type="dxa"/>
            </w:tcMar>
          </w:tcPr>
          <w:p>
            <w:pPr>
              <w:spacing w:after="0" w:line="240" w:lineRule="auto"/>
            </w:pPr>
            <w:r>
              <w:rPr>
                <w:rFonts w:ascii="Arial" w:hAnsi="Arial"/>
                <w:sz w:val="16"/>
              </w:rPr>
              <w:t>53.50%</w:t>
            </w:r>
          </w:p>
        </w:tc>
        <w:tc>
          <w:tcPr>
            <w:tcW w:type="dxa" w:w="1368"/>
            <w:vAlign w:val="center"/>
            <w:tcMar>
              <w:top w:w="80" w:type="dxa"/>
              <w:start w:w="90" w:type="dxa"/>
              <w:bottom w:w="80" w:type="dxa"/>
              <w:end w:w="90" w:type="dxa"/>
            </w:tcMar>
          </w:tcPr>
          <w:p>
            <w:pPr>
              <w:spacing w:after="0" w:line="240" w:lineRule="auto"/>
            </w:pPr>
            <w:r>
              <w:rPr>
                <w:rFonts w:ascii="Arial" w:hAnsi="Arial"/>
                <w:sz w:val="16"/>
              </w:rPr>
              <w:t>0.92</w:t>
            </w:r>
          </w:p>
        </w:tc>
      </w:tr>
      <w:tr>
        <w:tc>
          <w:tcPr>
            <w:tcW w:type="dxa" w:w="2232"/>
            <w:vAlign w:val="center"/>
            <w:tcMar>
              <w:top w:w="80" w:type="dxa"/>
              <w:start w:w="90" w:type="dxa"/>
              <w:bottom w:w="80" w:type="dxa"/>
              <w:end w:w="90" w:type="dxa"/>
            </w:tcMar>
          </w:tcPr>
          <w:p>
            <w:pPr>
              <w:spacing w:after="0" w:line="240" w:lineRule="auto"/>
            </w:pPr>
            <w:r>
              <w:rPr>
                <w:rFonts w:ascii="Arial" w:hAnsi="Arial"/>
                <w:sz w:val="16"/>
              </w:rPr>
              <w:t>Greek Hero + CS50x</w:t>
            </w:r>
          </w:p>
        </w:tc>
        <w:tc>
          <w:tcPr>
            <w:tcW w:type="dxa" w:w="2232"/>
            <w:vAlign w:val="center"/>
            <w:tcMar>
              <w:top w:w="80" w:type="dxa"/>
              <w:start w:w="90" w:type="dxa"/>
              <w:bottom w:w="80" w:type="dxa"/>
              <w:end w:w="90" w:type="dxa"/>
            </w:tcMar>
          </w:tcPr>
          <w:p>
            <w:pPr>
              <w:spacing w:after="0" w:line="240" w:lineRule="auto"/>
            </w:pPr>
            <w:r>
              <w:rPr>
                <w:rFonts w:ascii="Arial" w:hAnsi="Arial"/>
                <w:sz w:val="16"/>
              </w:rPr>
              <w:t>Justice</w:t>
            </w:r>
          </w:p>
        </w:tc>
        <w:tc>
          <w:tcPr>
            <w:tcW w:type="dxa" w:w="1440"/>
            <w:vAlign w:val="center"/>
            <w:tcMar>
              <w:top w:w="80" w:type="dxa"/>
              <w:start w:w="90" w:type="dxa"/>
              <w:bottom w:w="80" w:type="dxa"/>
              <w:end w:w="90" w:type="dxa"/>
            </w:tcMar>
          </w:tcPr>
          <w:p>
            <w:pPr>
              <w:spacing w:after="0" w:line="240" w:lineRule="auto"/>
            </w:pPr>
            <w:r>
              <w:rPr>
                <w:rFonts w:ascii="Arial" w:hAnsi="Arial"/>
                <w:sz w:val="16"/>
              </w:rPr>
              <w:t>0.0616</w:t>
            </w:r>
          </w:p>
        </w:tc>
        <w:tc>
          <w:tcPr>
            <w:tcW w:type="dxa" w:w="1656"/>
            <w:vAlign w:val="center"/>
            <w:tcMar>
              <w:top w:w="80" w:type="dxa"/>
              <w:start w:w="90" w:type="dxa"/>
              <w:bottom w:w="80" w:type="dxa"/>
              <w:end w:w="90" w:type="dxa"/>
            </w:tcMar>
          </w:tcPr>
          <w:p>
            <w:pPr>
              <w:spacing w:after="0" w:line="240" w:lineRule="auto"/>
            </w:pPr>
            <w:r>
              <w:rPr>
                <w:rFonts w:ascii="Arial" w:hAnsi="Arial"/>
                <w:sz w:val="16"/>
              </w:rPr>
              <w:t>45.24%</w:t>
            </w:r>
          </w:p>
        </w:tc>
        <w:tc>
          <w:tcPr>
            <w:tcW w:type="dxa" w:w="1368"/>
            <w:vAlign w:val="center"/>
            <w:tcMar>
              <w:top w:w="80" w:type="dxa"/>
              <w:start w:w="90" w:type="dxa"/>
              <w:bottom w:w="80" w:type="dxa"/>
              <w:end w:w="90" w:type="dxa"/>
            </w:tcMar>
          </w:tcPr>
          <w:p>
            <w:pPr>
              <w:spacing w:after="0" w:line="240" w:lineRule="auto"/>
            </w:pPr>
            <w:r>
              <w:rPr>
                <w:rFonts w:ascii="Arial" w:hAnsi="Arial"/>
                <w:sz w:val="16"/>
              </w:rPr>
              <w:t>0.78</w:t>
            </w:r>
          </w:p>
        </w:tc>
      </w:tr>
      <w:tr>
        <w:tc>
          <w:tcPr>
            <w:tcW w:type="dxa" w:w="2232"/>
            <w:vAlign w:val="center"/>
            <w:tcMar>
              <w:top w:w="80" w:type="dxa"/>
              <w:start w:w="90" w:type="dxa"/>
              <w:bottom w:w="80" w:type="dxa"/>
              <w:end w:w="90" w:type="dxa"/>
            </w:tcMar>
          </w:tcPr>
          <w:p>
            <w:pPr>
              <w:spacing w:after="0" w:line="240" w:lineRule="auto"/>
            </w:pPr>
            <w:r>
              <w:rPr>
                <w:rFonts w:ascii="Arial" w:hAnsi="Arial"/>
                <w:sz w:val="16"/>
              </w:rPr>
              <w:t>Justice</w:t>
            </w:r>
          </w:p>
        </w:tc>
        <w:tc>
          <w:tcPr>
            <w:tcW w:type="dxa" w:w="2232"/>
            <w:vAlign w:val="center"/>
            <w:tcMar>
              <w:top w:w="80" w:type="dxa"/>
              <w:start w:w="90" w:type="dxa"/>
              <w:bottom w:w="80" w:type="dxa"/>
              <w:end w:w="90" w:type="dxa"/>
            </w:tcMar>
          </w:tcPr>
          <w:p>
            <w:pPr>
              <w:spacing w:after="0" w:line="240" w:lineRule="auto"/>
            </w:pPr>
            <w:r>
              <w:rPr>
                <w:rFonts w:ascii="Arial" w:hAnsi="Arial"/>
                <w:sz w:val="16"/>
              </w:rPr>
              <w:t>Greek Hero</w:t>
            </w:r>
          </w:p>
        </w:tc>
        <w:tc>
          <w:tcPr>
            <w:tcW w:type="dxa" w:w="1440"/>
            <w:vAlign w:val="center"/>
            <w:tcMar>
              <w:top w:w="80" w:type="dxa"/>
              <w:start w:w="90" w:type="dxa"/>
              <w:bottom w:w="80" w:type="dxa"/>
              <w:end w:w="90" w:type="dxa"/>
            </w:tcMar>
          </w:tcPr>
          <w:p>
            <w:pPr>
              <w:spacing w:after="0" w:line="240" w:lineRule="auto"/>
            </w:pPr>
            <w:r>
              <w:rPr>
                <w:rFonts w:ascii="Arial" w:hAnsi="Arial"/>
                <w:sz w:val="16"/>
              </w:rPr>
              <w:t>0.2609</w:t>
            </w:r>
          </w:p>
        </w:tc>
        <w:tc>
          <w:tcPr>
            <w:tcW w:type="dxa" w:w="1656"/>
            <w:vAlign w:val="center"/>
            <w:tcMar>
              <w:top w:w="80" w:type="dxa"/>
              <w:start w:w="90" w:type="dxa"/>
              <w:bottom w:w="80" w:type="dxa"/>
              <w:end w:w="90" w:type="dxa"/>
            </w:tcMar>
          </w:tcPr>
          <w:p>
            <w:pPr>
              <w:spacing w:after="0" w:line="240" w:lineRule="auto"/>
            </w:pPr>
            <w:r>
              <w:rPr>
                <w:rFonts w:ascii="Arial" w:hAnsi="Arial"/>
                <w:sz w:val="16"/>
              </w:rPr>
              <w:t>45.11%</w:t>
            </w:r>
          </w:p>
        </w:tc>
        <w:tc>
          <w:tcPr>
            <w:tcW w:type="dxa" w:w="1368"/>
            <w:vAlign w:val="center"/>
            <w:tcMar>
              <w:top w:w="80" w:type="dxa"/>
              <w:start w:w="90" w:type="dxa"/>
              <w:bottom w:w="80" w:type="dxa"/>
              <w:end w:w="90" w:type="dxa"/>
            </w:tcMar>
          </w:tcPr>
          <w:p>
            <w:pPr>
              <w:spacing w:after="0" w:line="240" w:lineRule="auto"/>
            </w:pPr>
            <w:r>
              <w:rPr>
                <w:rFonts w:ascii="Arial" w:hAnsi="Arial"/>
                <w:sz w:val="16"/>
              </w:rPr>
              <w:t>1.16</w:t>
            </w:r>
          </w:p>
        </w:tc>
      </w:tr>
    </w:tbl>
    <w:p>
      <w:pPr>
        <w:spacing w:after="20"/>
      </w:pPr>
    </w:p>
    <w:p>
      <w:pPr>
        <w:widowControl/>
      </w:pPr>
      <w:r>
        <w:t>The first two examples have lift above 1, so the suggested courses occur with those baskets more often than their baseline rates. The other examples have lift below 1. They satisfy the report’s confidence threshold, but they are weaker choices if the goal is to recommend courses with positive association. This is why the interface displays lift along with confidence.</w:t>
      </w:r>
    </w:p>
    <w:p>
      <w:pPr>
        <w:pStyle w:val="Heading2"/>
      </w:pPr>
      <w:r>
        <w:t>Manual Review of Ten Rules</w:t>
      </w:r>
    </w:p>
    <w:p>
      <w:pPr>
        <w:widowControl/>
      </w:pPr>
      <w:r>
        <w:t>The rules below were reviewed using their metrics and course context. A rule can have a high confidence and still provide weak evidence when its lift is below 1.</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1656"/>
        <w:gridCol w:w="1872"/>
        <w:gridCol w:w="3384"/>
      </w:tblGrid>
      <w:tr>
        <w:trPr>
          <w:tblHeader w:val="true"/>
        </w:trPr>
        <w:tc>
          <w:tcPr>
            <w:tcW w:type="dxa" w:w="3312"/>
            <w:vAlign w:val="center"/>
            <w:shd w:fill="E8EDF2"/>
            <w:tcMar>
              <w:top w:w="80" w:type="dxa"/>
              <w:start w:w="90" w:type="dxa"/>
              <w:bottom w:w="80" w:type="dxa"/>
              <w:end w:w="90" w:type="dxa"/>
            </w:tcMar>
          </w:tcPr>
          <w:p>
            <w:pPr>
              <w:spacing w:after="0"/>
            </w:pPr>
            <w:r>
              <w:rPr>
                <w:rFonts w:ascii="Arial" w:hAnsi="Arial"/>
                <w:b/>
                <w:sz w:val="15"/>
              </w:rPr>
              <w:t>Rule</w:t>
            </w:r>
          </w:p>
        </w:tc>
        <w:tc>
          <w:tcPr>
            <w:tcW w:type="dxa" w:w="1656"/>
            <w:vAlign w:val="center"/>
            <w:shd w:fill="E8EDF2"/>
            <w:tcMar>
              <w:top w:w="80" w:type="dxa"/>
              <w:start w:w="90" w:type="dxa"/>
              <w:bottom w:w="80" w:type="dxa"/>
              <w:end w:w="90" w:type="dxa"/>
            </w:tcMar>
          </w:tcPr>
          <w:p>
            <w:pPr>
              <w:spacing w:after="0"/>
            </w:pPr>
            <w:r>
              <w:rPr>
                <w:rFonts w:ascii="Arial" w:hAnsi="Arial"/>
                <w:b/>
                <w:sz w:val="15"/>
              </w:rPr>
              <w:t>Confidence / lift</w:t>
            </w:r>
          </w:p>
        </w:tc>
        <w:tc>
          <w:tcPr>
            <w:tcW w:type="dxa" w:w="1872"/>
            <w:vAlign w:val="center"/>
            <w:shd w:fill="E8EDF2"/>
            <w:tcMar>
              <w:top w:w="80" w:type="dxa"/>
              <w:start w:w="90" w:type="dxa"/>
              <w:bottom w:w="80" w:type="dxa"/>
              <w:end w:w="90" w:type="dxa"/>
            </w:tcMar>
          </w:tcPr>
          <w:p>
            <w:pPr>
              <w:spacing w:after="0"/>
            </w:pPr>
            <w:r>
              <w:rPr>
                <w:rFonts w:ascii="Arial" w:hAnsi="Arial"/>
                <w:b/>
                <w:sz w:val="15"/>
              </w:rPr>
              <w:t>Category</w:t>
            </w:r>
          </w:p>
        </w:tc>
        <w:tc>
          <w:tcPr>
            <w:tcW w:type="dxa" w:w="3384"/>
            <w:vAlign w:val="center"/>
            <w:shd w:fill="E8EDF2"/>
            <w:tcMar>
              <w:top w:w="80" w:type="dxa"/>
              <w:start w:w="90" w:type="dxa"/>
              <w:bottom w:w="80" w:type="dxa"/>
              <w:end w:w="90" w:type="dxa"/>
            </w:tcMar>
          </w:tcPr>
          <w:p>
            <w:pPr>
              <w:spacing w:after="0"/>
            </w:pPr>
            <w:r>
              <w:rPr>
                <w:rFonts w:ascii="Arial" w:hAnsi="Arial"/>
                <w:b/>
                <w:sz w:val="15"/>
              </w:rPr>
              <w:t>Reason</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Greek Hero → Justice</w:t>
            </w:r>
          </w:p>
        </w:tc>
        <w:tc>
          <w:tcPr>
            <w:tcW w:type="dxa" w:w="1656"/>
            <w:vAlign w:val="center"/>
            <w:tcMar>
              <w:top w:w="80" w:type="dxa"/>
              <w:start w:w="90" w:type="dxa"/>
              <w:bottom w:w="80" w:type="dxa"/>
              <w:end w:w="90" w:type="dxa"/>
            </w:tcMar>
          </w:tcPr>
          <w:p>
            <w:pPr>
              <w:spacing w:after="0" w:line="240" w:lineRule="auto"/>
            </w:pPr>
            <w:r>
              <w:rPr>
                <w:rFonts w:ascii="Arial" w:hAnsi="Arial"/>
                <w:sz w:val="15"/>
              </w:rPr>
              <w:t>66.9% / 1.16</w:t>
            </w:r>
          </w:p>
        </w:tc>
        <w:tc>
          <w:tcPr>
            <w:tcW w:type="dxa" w:w="1872"/>
            <w:vAlign w:val="center"/>
            <w:tcMar>
              <w:top w:w="80" w:type="dxa"/>
              <w:start w:w="90" w:type="dxa"/>
              <w:bottom w:w="80" w:type="dxa"/>
              <w:end w:w="90" w:type="dxa"/>
            </w:tcMar>
          </w:tcPr>
          <w:p>
            <w:pPr>
              <w:spacing w:after="0" w:line="240" w:lineRule="auto"/>
            </w:pPr>
            <w:r>
              <w:rPr>
                <w:rFonts w:ascii="Arial" w:hAnsi="Arial"/>
                <w:sz w:val="15"/>
              </w:rPr>
              <w:t>Useful</w:t>
            </w:r>
          </w:p>
        </w:tc>
        <w:tc>
          <w:tcPr>
            <w:tcW w:type="dxa" w:w="3384"/>
            <w:vAlign w:val="center"/>
            <w:tcMar>
              <w:top w:w="80" w:type="dxa"/>
              <w:start w:w="90" w:type="dxa"/>
              <w:bottom w:w="80" w:type="dxa"/>
              <w:end w:w="90" w:type="dxa"/>
            </w:tcMar>
          </w:tcPr>
          <w:p>
            <w:pPr>
              <w:spacing w:after="0" w:line="240" w:lineRule="auto"/>
            </w:pPr>
            <w:r>
              <w:rPr>
                <w:rFonts w:ascii="Arial" w:hAnsi="Arial"/>
                <w:sz w:val="15"/>
              </w:rPr>
              <w:t>The rule has lift above 1 and a clear connection between the two courses.</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Justice → Greek Hero</w:t>
            </w:r>
          </w:p>
        </w:tc>
        <w:tc>
          <w:tcPr>
            <w:tcW w:type="dxa" w:w="1656"/>
            <w:vAlign w:val="center"/>
            <w:tcMar>
              <w:top w:w="80" w:type="dxa"/>
              <w:start w:w="90" w:type="dxa"/>
              <w:bottom w:w="80" w:type="dxa"/>
              <w:end w:w="90" w:type="dxa"/>
            </w:tcMar>
          </w:tcPr>
          <w:p>
            <w:pPr>
              <w:spacing w:after="0" w:line="240" w:lineRule="auto"/>
            </w:pPr>
            <w:r>
              <w:rPr>
                <w:rFonts w:ascii="Arial" w:hAnsi="Arial"/>
                <w:sz w:val="15"/>
              </w:rPr>
              <w:t>45.1% / 1.16</w:t>
            </w:r>
          </w:p>
        </w:tc>
        <w:tc>
          <w:tcPr>
            <w:tcW w:type="dxa" w:w="1872"/>
            <w:vAlign w:val="center"/>
            <w:tcMar>
              <w:top w:w="80" w:type="dxa"/>
              <w:start w:w="90" w:type="dxa"/>
              <w:bottom w:w="80" w:type="dxa"/>
              <w:end w:w="90" w:type="dxa"/>
            </w:tcMar>
          </w:tcPr>
          <w:p>
            <w:pPr>
              <w:spacing w:after="0" w:line="240" w:lineRule="auto"/>
            </w:pPr>
            <w:r>
              <w:rPr>
                <w:rFonts w:ascii="Arial" w:hAnsi="Arial"/>
                <w:sz w:val="15"/>
              </w:rPr>
              <w:t>Useful</w:t>
            </w:r>
          </w:p>
        </w:tc>
        <w:tc>
          <w:tcPr>
            <w:tcW w:type="dxa" w:w="3384"/>
            <w:vAlign w:val="center"/>
            <w:tcMar>
              <w:top w:w="80" w:type="dxa"/>
              <w:start w:w="90" w:type="dxa"/>
              <w:bottom w:w="80" w:type="dxa"/>
              <w:end w:w="90" w:type="dxa"/>
            </w:tcMar>
          </w:tcPr>
          <w:p>
            <w:pPr>
              <w:spacing w:after="0" w:line="240" w:lineRule="auto"/>
            </w:pPr>
            <w:r>
              <w:rPr>
                <w:rFonts w:ascii="Arial" w:hAnsi="Arial"/>
                <w:sz w:val="15"/>
              </w:rPr>
              <w:t>The reverse rule also has lift above 1, though its confidence is lower.</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Health in Numbers → CS50x</w:t>
            </w:r>
          </w:p>
        </w:tc>
        <w:tc>
          <w:tcPr>
            <w:tcW w:type="dxa" w:w="1656"/>
            <w:vAlign w:val="center"/>
            <w:tcMar>
              <w:top w:w="80" w:type="dxa"/>
              <w:start w:w="90" w:type="dxa"/>
              <w:bottom w:w="80" w:type="dxa"/>
              <w:end w:w="90" w:type="dxa"/>
            </w:tcMar>
          </w:tcPr>
          <w:p>
            <w:pPr>
              <w:spacing w:after="0" w:line="240" w:lineRule="auto"/>
            </w:pPr>
            <w:r>
              <w:rPr>
                <w:rFonts w:ascii="Arial" w:hAnsi="Arial"/>
                <w:sz w:val="15"/>
              </w:rPr>
              <w:t>54.7% / 1.10</w:t>
            </w:r>
          </w:p>
        </w:tc>
        <w:tc>
          <w:tcPr>
            <w:tcW w:type="dxa" w:w="1872"/>
            <w:vAlign w:val="center"/>
            <w:tcMar>
              <w:top w:w="80" w:type="dxa"/>
              <w:start w:w="90" w:type="dxa"/>
              <w:bottom w:w="80" w:type="dxa"/>
              <w:end w:w="90" w:type="dxa"/>
            </w:tcMar>
          </w:tcPr>
          <w:p>
            <w:pPr>
              <w:spacing w:after="0" w:line="240" w:lineRule="auto"/>
            </w:pPr>
            <w:r>
              <w:rPr>
                <w:rFonts w:ascii="Arial" w:hAnsi="Arial"/>
                <w:sz w:val="15"/>
              </w:rPr>
              <w:t>Useful</w:t>
            </w:r>
          </w:p>
        </w:tc>
        <w:tc>
          <w:tcPr>
            <w:tcW w:type="dxa" w:w="3384"/>
            <w:vAlign w:val="center"/>
            <w:tcMar>
              <w:top w:w="80" w:type="dxa"/>
              <w:start w:w="90" w:type="dxa"/>
              <w:bottom w:w="80" w:type="dxa"/>
              <w:end w:w="90" w:type="dxa"/>
            </w:tcMar>
          </w:tcPr>
          <w:p>
            <w:pPr>
              <w:spacing w:after="0" w:line="240" w:lineRule="auto"/>
            </w:pPr>
            <w:r>
              <w:rPr>
                <w:rFonts w:ascii="Arial" w:hAnsi="Arial"/>
                <w:sz w:val="15"/>
              </w:rPr>
              <w:t>The association is slightly above the CS50x baseline rate.</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Environmental Health → Justice</w:t>
            </w:r>
          </w:p>
        </w:tc>
        <w:tc>
          <w:tcPr>
            <w:tcW w:type="dxa" w:w="1656"/>
            <w:vAlign w:val="center"/>
            <w:tcMar>
              <w:top w:w="80" w:type="dxa"/>
              <w:start w:w="90" w:type="dxa"/>
              <w:bottom w:w="80" w:type="dxa"/>
              <w:end w:w="90" w:type="dxa"/>
            </w:tcMar>
          </w:tcPr>
          <w:p>
            <w:pPr>
              <w:spacing w:after="0" w:line="240" w:lineRule="auto"/>
            </w:pPr>
            <w:r>
              <w:rPr>
                <w:rFonts w:ascii="Arial" w:hAnsi="Arial"/>
                <w:sz w:val="15"/>
              </w:rPr>
              <w:t>53.5% / 0.92</w:t>
            </w:r>
          </w:p>
        </w:tc>
        <w:tc>
          <w:tcPr>
            <w:tcW w:type="dxa" w:w="1872"/>
            <w:vAlign w:val="center"/>
            <w:tcMar>
              <w:top w:w="80" w:type="dxa"/>
              <w:start w:w="90" w:type="dxa"/>
              <w:bottom w:w="80" w:type="dxa"/>
              <w:end w:w="90" w:type="dxa"/>
            </w:tcMar>
          </w:tcPr>
          <w:p>
            <w:pPr>
              <w:spacing w:after="0" w:line="240" w:lineRule="auto"/>
            </w:pPr>
            <w:r>
              <w:rPr>
                <w:rFonts w:ascii="Arial" w:hAnsi="Arial"/>
                <w:sz w:val="15"/>
              </w:rPr>
              <w:t>Weak / uncertain</w:t>
            </w:r>
          </w:p>
        </w:tc>
        <w:tc>
          <w:tcPr>
            <w:tcW w:type="dxa" w:w="3384"/>
            <w:vAlign w:val="center"/>
            <w:tcMar>
              <w:top w:w="80" w:type="dxa"/>
              <w:start w:w="90" w:type="dxa"/>
              <w:bottom w:w="80" w:type="dxa"/>
              <w:end w:w="90" w:type="dxa"/>
            </w:tcMar>
          </w:tcPr>
          <w:p>
            <w:pPr>
              <w:spacing w:after="0" w:line="240" w:lineRule="auto"/>
            </w:pPr>
            <w:r>
              <w:rPr>
                <w:rFonts w:ascii="Arial" w:hAnsi="Arial"/>
                <w:sz w:val="15"/>
              </w:rPr>
              <w:t>Justice is less common in these baskets than its baseline rate.</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Justice → CS50x</w:t>
            </w:r>
          </w:p>
        </w:tc>
        <w:tc>
          <w:tcPr>
            <w:tcW w:type="dxa" w:w="1656"/>
            <w:vAlign w:val="center"/>
            <w:tcMar>
              <w:top w:w="80" w:type="dxa"/>
              <w:start w:w="90" w:type="dxa"/>
              <w:bottom w:w="80" w:type="dxa"/>
              <w:end w:w="90" w:type="dxa"/>
            </w:tcMar>
          </w:tcPr>
          <w:p>
            <w:pPr>
              <w:spacing w:after="0" w:line="240" w:lineRule="auto"/>
            </w:pPr>
            <w:r>
              <w:rPr>
                <w:rFonts w:ascii="Arial" w:hAnsi="Arial"/>
                <w:sz w:val="15"/>
              </w:rPr>
              <w:t>37.6% / 0.76</w:t>
            </w:r>
          </w:p>
        </w:tc>
        <w:tc>
          <w:tcPr>
            <w:tcW w:type="dxa" w:w="1872"/>
            <w:vAlign w:val="center"/>
            <w:tcMar>
              <w:top w:w="80" w:type="dxa"/>
              <w:start w:w="90" w:type="dxa"/>
              <w:bottom w:w="80" w:type="dxa"/>
              <w:end w:w="90" w:type="dxa"/>
            </w:tcMar>
          </w:tcPr>
          <w:p>
            <w:pPr>
              <w:spacing w:after="0" w:line="240" w:lineRule="auto"/>
            </w:pPr>
            <w:r>
              <w:rPr>
                <w:rFonts w:ascii="Arial" w:hAnsi="Arial"/>
                <w:sz w:val="15"/>
              </w:rPr>
              <w:t>Obvious / trivial</w:t>
            </w:r>
          </w:p>
        </w:tc>
        <w:tc>
          <w:tcPr>
            <w:tcW w:type="dxa" w:w="3384"/>
            <w:vAlign w:val="center"/>
            <w:tcMar>
              <w:top w:w="80" w:type="dxa"/>
              <w:start w:w="90" w:type="dxa"/>
              <w:bottom w:w="80" w:type="dxa"/>
              <w:end w:w="90" w:type="dxa"/>
            </w:tcMar>
          </w:tcPr>
          <w:p>
            <w:pPr>
              <w:spacing w:after="0" w:line="240" w:lineRule="auto"/>
            </w:pPr>
            <w:r>
              <w:rPr>
                <w:rFonts w:ascii="Arial" w:hAnsi="Arial"/>
                <w:sz w:val="15"/>
              </w:rPr>
              <w:t>CS50x is popular overall; lift does not show a positive association.</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Greek Hero → CS50x</w:t>
            </w:r>
          </w:p>
        </w:tc>
        <w:tc>
          <w:tcPr>
            <w:tcW w:type="dxa" w:w="1656"/>
            <w:vAlign w:val="center"/>
            <w:tcMar>
              <w:top w:w="80" w:type="dxa"/>
              <w:start w:w="90" w:type="dxa"/>
              <w:bottom w:w="80" w:type="dxa"/>
              <w:end w:w="90" w:type="dxa"/>
            </w:tcMar>
          </w:tcPr>
          <w:p>
            <w:pPr>
              <w:spacing w:after="0" w:line="240" w:lineRule="auto"/>
            </w:pPr>
            <w:r>
              <w:rPr>
                <w:rFonts w:ascii="Arial" w:hAnsi="Arial"/>
                <w:sz w:val="15"/>
              </w:rPr>
              <w:t>34.9% / 0.70</w:t>
            </w:r>
          </w:p>
        </w:tc>
        <w:tc>
          <w:tcPr>
            <w:tcW w:type="dxa" w:w="1872"/>
            <w:vAlign w:val="center"/>
            <w:tcMar>
              <w:top w:w="80" w:type="dxa"/>
              <w:start w:w="90" w:type="dxa"/>
              <w:bottom w:w="80" w:type="dxa"/>
              <w:end w:w="90" w:type="dxa"/>
            </w:tcMar>
          </w:tcPr>
          <w:p>
            <w:pPr>
              <w:spacing w:after="0" w:line="240" w:lineRule="auto"/>
            </w:pPr>
            <w:r>
              <w:rPr>
                <w:rFonts w:ascii="Arial" w:hAnsi="Arial"/>
                <w:sz w:val="15"/>
              </w:rPr>
              <w:t>Obvious / trivial</w:t>
            </w:r>
          </w:p>
        </w:tc>
        <w:tc>
          <w:tcPr>
            <w:tcW w:type="dxa" w:w="3384"/>
            <w:vAlign w:val="center"/>
            <w:tcMar>
              <w:top w:w="80" w:type="dxa"/>
              <w:start w:w="90" w:type="dxa"/>
              <w:bottom w:w="80" w:type="dxa"/>
              <w:end w:w="90" w:type="dxa"/>
            </w:tcMar>
          </w:tcPr>
          <w:p>
            <w:pPr>
              <w:spacing w:after="0" w:line="240" w:lineRule="auto"/>
            </w:pPr>
            <w:r>
              <w:rPr>
                <w:rFonts w:ascii="Arial" w:hAnsi="Arial"/>
                <w:sz w:val="15"/>
              </w:rPr>
              <w:t>The confidence is not explained by a higher-than-baseline association.</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Health in Numbers → Environmental Health</w:t>
            </w:r>
          </w:p>
        </w:tc>
        <w:tc>
          <w:tcPr>
            <w:tcW w:type="dxa" w:w="1656"/>
            <w:vAlign w:val="center"/>
            <w:tcMar>
              <w:top w:w="80" w:type="dxa"/>
              <w:start w:w="90" w:type="dxa"/>
              <w:bottom w:w="80" w:type="dxa"/>
              <w:end w:w="90" w:type="dxa"/>
            </w:tcMar>
          </w:tcPr>
          <w:p>
            <w:pPr>
              <w:spacing w:after="0" w:line="240" w:lineRule="auto"/>
            </w:pPr>
            <w:r>
              <w:rPr>
                <w:rFonts w:ascii="Arial" w:hAnsi="Arial"/>
                <w:sz w:val="15"/>
              </w:rPr>
              <w:t>40.8% / 0.90</w:t>
            </w:r>
          </w:p>
        </w:tc>
        <w:tc>
          <w:tcPr>
            <w:tcW w:type="dxa" w:w="1872"/>
            <w:vAlign w:val="center"/>
            <w:tcMar>
              <w:top w:w="80" w:type="dxa"/>
              <w:start w:w="90" w:type="dxa"/>
              <w:bottom w:w="80" w:type="dxa"/>
              <w:end w:w="90" w:type="dxa"/>
            </w:tcMar>
          </w:tcPr>
          <w:p>
            <w:pPr>
              <w:spacing w:after="0" w:line="240" w:lineRule="auto"/>
            </w:pPr>
            <w:r>
              <w:rPr>
                <w:rFonts w:ascii="Arial" w:hAnsi="Arial"/>
                <w:sz w:val="15"/>
              </w:rPr>
              <w:t>Weak / uncertain</w:t>
            </w:r>
          </w:p>
        </w:tc>
        <w:tc>
          <w:tcPr>
            <w:tcW w:type="dxa" w:w="3384"/>
            <w:vAlign w:val="center"/>
            <w:tcMar>
              <w:top w:w="80" w:type="dxa"/>
              <w:start w:w="90" w:type="dxa"/>
              <w:bottom w:w="80" w:type="dxa"/>
              <w:end w:w="90" w:type="dxa"/>
            </w:tcMar>
          </w:tcPr>
          <w:p>
            <w:pPr>
              <w:spacing w:after="0" w:line="240" w:lineRule="auto"/>
            </w:pPr>
            <w:r>
              <w:rPr>
                <w:rFonts w:ascii="Arial" w:hAnsi="Arial"/>
                <w:sz w:val="15"/>
              </w:rPr>
              <w:t>The lift is below 1, so the pair is less common than the baseline suggests.</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Environmental Health → Health in Numbers</w:t>
            </w:r>
          </w:p>
        </w:tc>
        <w:tc>
          <w:tcPr>
            <w:tcW w:type="dxa" w:w="1656"/>
            <w:vAlign w:val="center"/>
            <w:tcMar>
              <w:top w:w="80" w:type="dxa"/>
              <w:start w:w="90" w:type="dxa"/>
              <w:bottom w:w="80" w:type="dxa"/>
              <w:end w:w="90" w:type="dxa"/>
            </w:tcMar>
          </w:tcPr>
          <w:p>
            <w:pPr>
              <w:spacing w:after="0" w:line="240" w:lineRule="auto"/>
            </w:pPr>
            <w:r>
              <w:rPr>
                <w:rFonts w:ascii="Arial" w:hAnsi="Arial"/>
                <w:sz w:val="15"/>
              </w:rPr>
              <w:t>26.3% / 0.90</w:t>
            </w:r>
          </w:p>
        </w:tc>
        <w:tc>
          <w:tcPr>
            <w:tcW w:type="dxa" w:w="1872"/>
            <w:vAlign w:val="center"/>
            <w:tcMar>
              <w:top w:w="80" w:type="dxa"/>
              <w:start w:w="90" w:type="dxa"/>
              <w:bottom w:w="80" w:type="dxa"/>
              <w:end w:w="90" w:type="dxa"/>
            </w:tcMar>
          </w:tcPr>
          <w:p>
            <w:pPr>
              <w:spacing w:after="0" w:line="240" w:lineRule="auto"/>
            </w:pPr>
            <w:r>
              <w:rPr>
                <w:rFonts w:ascii="Arial" w:hAnsi="Arial"/>
                <w:sz w:val="15"/>
              </w:rPr>
              <w:t>Weak / uncertain</w:t>
            </w:r>
          </w:p>
        </w:tc>
        <w:tc>
          <w:tcPr>
            <w:tcW w:type="dxa" w:w="3384"/>
            <w:vAlign w:val="center"/>
            <w:tcMar>
              <w:top w:w="80" w:type="dxa"/>
              <w:start w:w="90" w:type="dxa"/>
              <w:bottom w:w="80" w:type="dxa"/>
              <w:end w:w="90" w:type="dxa"/>
            </w:tcMar>
          </w:tcPr>
          <w:p>
            <w:pPr>
              <w:spacing w:after="0" w:line="240" w:lineRule="auto"/>
            </w:pPr>
            <w:r>
              <w:rPr>
                <w:rFonts w:ascii="Arial" w:hAnsi="Arial"/>
                <w:sz w:val="15"/>
              </w:rPr>
              <w:t>The rule has low confidence and lift below 1.</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Greek Hero + CS50x → Justice</w:t>
            </w:r>
          </w:p>
        </w:tc>
        <w:tc>
          <w:tcPr>
            <w:tcW w:type="dxa" w:w="1656"/>
            <w:vAlign w:val="center"/>
            <w:tcMar>
              <w:top w:w="80" w:type="dxa"/>
              <w:start w:w="90" w:type="dxa"/>
              <w:bottom w:w="80" w:type="dxa"/>
              <w:end w:w="90" w:type="dxa"/>
            </w:tcMar>
          </w:tcPr>
          <w:p>
            <w:pPr>
              <w:spacing w:after="0" w:line="240" w:lineRule="auto"/>
            </w:pPr>
            <w:r>
              <w:rPr>
                <w:rFonts w:ascii="Arial" w:hAnsi="Arial"/>
                <w:sz w:val="15"/>
              </w:rPr>
              <w:t>45.2% / 0.78</w:t>
            </w:r>
          </w:p>
        </w:tc>
        <w:tc>
          <w:tcPr>
            <w:tcW w:type="dxa" w:w="1872"/>
            <w:vAlign w:val="center"/>
            <w:tcMar>
              <w:top w:w="80" w:type="dxa"/>
              <w:start w:w="90" w:type="dxa"/>
              <w:bottom w:w="80" w:type="dxa"/>
              <w:end w:w="90" w:type="dxa"/>
            </w:tcMar>
          </w:tcPr>
          <w:p>
            <w:pPr>
              <w:spacing w:after="0" w:line="240" w:lineRule="auto"/>
            </w:pPr>
            <w:r>
              <w:rPr>
                <w:rFonts w:ascii="Arial" w:hAnsi="Arial"/>
                <w:sz w:val="15"/>
              </w:rPr>
              <w:t>Weak / uncertain</w:t>
            </w:r>
          </w:p>
        </w:tc>
        <w:tc>
          <w:tcPr>
            <w:tcW w:type="dxa" w:w="3384"/>
            <w:vAlign w:val="center"/>
            <w:tcMar>
              <w:top w:w="80" w:type="dxa"/>
              <w:start w:w="90" w:type="dxa"/>
              <w:bottom w:w="80" w:type="dxa"/>
              <w:end w:w="90" w:type="dxa"/>
            </w:tcMar>
          </w:tcPr>
          <w:p>
            <w:pPr>
              <w:spacing w:after="0" w:line="240" w:lineRule="auto"/>
            </w:pPr>
            <w:r>
              <w:rPr>
                <w:rFonts w:ascii="Arial" w:hAnsi="Arial"/>
                <w:sz w:val="15"/>
              </w:rPr>
              <w:t>The combination is interesting, but the lift is below 1.</w:t>
            </w:r>
          </w:p>
        </w:tc>
      </w:tr>
      <w:tr>
        <w:tc>
          <w:tcPr>
            <w:tcW w:type="dxa" w:w="3312"/>
            <w:vAlign w:val="center"/>
            <w:tcMar>
              <w:top w:w="80" w:type="dxa"/>
              <w:start w:w="90" w:type="dxa"/>
              <w:bottom w:w="80" w:type="dxa"/>
              <w:end w:w="90" w:type="dxa"/>
            </w:tcMar>
          </w:tcPr>
          <w:p>
            <w:pPr>
              <w:spacing w:after="0" w:line="240" w:lineRule="auto"/>
            </w:pPr>
            <w:r>
              <w:rPr>
                <w:rFonts w:ascii="Arial" w:hAnsi="Arial"/>
                <w:sz w:val="15"/>
              </w:rPr>
              <w:t>Greek Hero + Justice → CS50x</w:t>
            </w:r>
          </w:p>
        </w:tc>
        <w:tc>
          <w:tcPr>
            <w:tcW w:type="dxa" w:w="1656"/>
            <w:vAlign w:val="center"/>
            <w:tcMar>
              <w:top w:w="80" w:type="dxa"/>
              <w:start w:w="90" w:type="dxa"/>
              <w:bottom w:w="80" w:type="dxa"/>
              <w:end w:w="90" w:type="dxa"/>
            </w:tcMar>
          </w:tcPr>
          <w:p>
            <w:pPr>
              <w:spacing w:after="0" w:line="240" w:lineRule="auto"/>
            </w:pPr>
            <w:r>
              <w:rPr>
                <w:rFonts w:ascii="Arial" w:hAnsi="Arial"/>
                <w:sz w:val="15"/>
              </w:rPr>
              <w:t>23.6% / 0.48</w:t>
            </w:r>
          </w:p>
        </w:tc>
        <w:tc>
          <w:tcPr>
            <w:tcW w:type="dxa" w:w="1872"/>
            <w:vAlign w:val="center"/>
            <w:tcMar>
              <w:top w:w="80" w:type="dxa"/>
              <w:start w:w="90" w:type="dxa"/>
              <w:bottom w:w="80" w:type="dxa"/>
              <w:end w:w="90" w:type="dxa"/>
            </w:tcMar>
          </w:tcPr>
          <w:p>
            <w:pPr>
              <w:spacing w:after="0" w:line="240" w:lineRule="auto"/>
            </w:pPr>
            <w:r>
              <w:rPr>
                <w:rFonts w:ascii="Arial" w:hAnsi="Arial"/>
                <w:sz w:val="15"/>
              </w:rPr>
              <w:t>Weak / uncertain</w:t>
            </w:r>
          </w:p>
        </w:tc>
        <w:tc>
          <w:tcPr>
            <w:tcW w:type="dxa" w:w="3384"/>
            <w:vAlign w:val="center"/>
            <w:tcMar>
              <w:top w:w="80" w:type="dxa"/>
              <w:start w:w="90" w:type="dxa"/>
              <w:bottom w:w="80" w:type="dxa"/>
              <w:end w:w="90" w:type="dxa"/>
            </w:tcMar>
          </w:tcPr>
          <w:p>
            <w:pPr>
              <w:spacing w:after="0" w:line="240" w:lineRule="auto"/>
            </w:pPr>
            <w:r>
              <w:rPr>
                <w:rFonts w:ascii="Arial" w:hAnsi="Arial"/>
                <w:sz w:val="15"/>
              </w:rPr>
              <w:t>The rule has low confidence and a low lift.</w:t>
            </w:r>
          </w:p>
        </w:tc>
      </w:tr>
    </w:tbl>
    <w:p>
      <w:pPr>
        <w:spacing w:after="20"/>
      </w:pPr>
    </w:p>
    <w:p>
      <w:pPr>
        <w:pStyle w:val="Heading1"/>
      </w:pPr>
      <w:r>
        <w:t>10 Limitations</w:t>
      </w:r>
    </w:p>
    <w:p>
      <w:pPr>
        <w:pStyle w:val="ListBullet"/>
        <w:spacing w:after="60"/>
      </w:pPr>
      <w:r>
        <w:t>Apriori treats a basket as an unordered set. It does not show which course a learner took first or whether one course is a prerequisite for another.</w:t>
      </w:r>
    </w:p>
    <w:p>
      <w:pPr>
        <w:pStyle w:val="ListBullet"/>
        <w:spacing w:after="60"/>
      </w:pPr>
      <w:r>
        <w:t>The dataset covers a small course set from 2012–2013. Its patterns may not describe current courses or learners on other platforms.</w:t>
      </w:r>
    </w:p>
    <w:p>
      <w:pPr>
        <w:pStyle w:val="ListBullet"/>
        <w:spacing w:after="60"/>
      </w:pPr>
      <w:r>
        <w:t>Popular courses can appear in many rules. Lift helps identify this, but users still need to consider the course context before acting on a recommendation.</w:t>
      </w:r>
    </w:p>
    <w:p>
      <w:pPr>
        <w:pStyle w:val="ListBullet"/>
        <w:spacing w:after="60"/>
      </w:pPr>
      <w:r>
        <w:t>A new course has no enrollment history, so Apriori cannot recommend it until it appears in enough baskets.</w:t>
      </w:r>
    </w:p>
    <w:p>
      <w:pPr>
        <w:pStyle w:val="ListBullet"/>
        <w:spacing w:after="60"/>
      </w:pPr>
      <w:r>
        <w:t>The data records enrollment, not learning outcomes. It cannot show whether a recommendation improves completion or student performance.</w:t>
      </w:r>
    </w:p>
    <w:p>
      <w:pPr>
        <w:pStyle w:val="Heading1"/>
      </w:pPr>
      <w:r>
        <w:t>11 Summary</w:t>
      </w:r>
    </w:p>
    <w:p>
      <w:pPr>
        <w:widowControl/>
      </w:pPr>
      <w:r>
        <w:t>CourseCompass turns learner enrollments into baskets, mines frequent itemsets with Apriori, and uses association rules to suggest courses. The interface shows the evidence for each suggestion and lets users explore different thresholds. The results are useful for examining co-enrollment, but rules with lift below 1 should not be described as strong positive associations.</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sz w:val="16"/>
      </w:rPr>
      <w:t xml:space="preserve">CourseCompass  |  Technical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CourseCompass Technical Report</dc:title>
  <dc:subject>Association rule mining for course recommendations</dc:subject>
  <dc:creator>CourseCompass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