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calibrated confidence.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calibrated confidence,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Within the literature reviewed here, we find no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[44].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[46];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confidence, and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Evaluation Design</w:t>
      </w:r>
    </w:p>
    <w:p>
      <w:pPr>
        <w:jc w:val="both"/>
      </w:pPr>
      <w:r>
        <w:t>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gaps that, within the 2025–2026 literature reviewed for this study, remain insufficiently addressed: retrieval grounded in the patient's own timeline, evaluation that scores longitudinal tracking on de-identified real-world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[46]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Because unverifiable success in this domain cannot be told apart from plausible error, we consider this the property clinical agentic AI needs most.</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arXiv preprint arXiv:2504.20547, 2025, doi: 10.48550/arXiv.2504.20547.</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