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 [Department], [University] · Supervisor: Dr. Fawad Nasim · [email]</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in combination: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agent interoperability protocols (MCP, A2A);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Emerging work grounds models in the longitudinal record for prediction and summarization, but there the record is input to be compressed, not timestamp-addressable evidence coupled to each recommendation the system makes.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Across this RAG line, the direction of grounding has not varied: external knowledge is the corpus and the patient is the query.</w:t>
      </w:r>
    </w:p>
    <w:p>
      <w:pPr>
        <w:jc w:val="both"/>
      </w:pPr>
      <w:r>
        <w:t>A newer line of work has begun to treat the longitudinal record itself as the substrate, and it deserves separate attention. CliCARE compiles a patient's cancer EHR into a temporal knowledge graph and aligns it with guideline knowledge to generate recommendations, evaluated on MIMIC-IV among other data [44]. Traj-CoA and its successor TrajOnco process multi-year records with chains of summarizing agents whose distilled timelines feed cancer risk prediction [45], [46]. TIMER benchmarks and instruction-tunes temporal reasoning grounded to segments of real longitudinal records [47], and RGAR iteratively refines retrieval between the EHR context attached to a question and external knowledge [48]. These systems establish that longitudinal grounding is both feasible and valuable. They also sharpen, rather than close, the opening this work occupies: in each, the patient record serves prediction, summarization, or question answering as input to be compressed or aligned, not as timestamp-addressable evidence coupled to individual recommendations; none verifies a recommendation against the evidence retrieved for it; none measures the faithfulness of an audit trail; and their evaluations score endpoint accuracy rather than sustained tracking of one admission. What remains unoccupied, within the literature reviewed for this study, is the integration this paper proposes and instruments: timestamp-aware retrieval from the patient timeline, coupled to recommendation-level verification and a measured audit trail, evaluated longitudinally on de-identified real-world ICU records.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[49].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[50], and adversarial evidence that multi-agent topology determines how far a compromised agent's influence spreads [51].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[52]: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 Table 1 summarizes, per component, what is designed, what is implemented, and what has been evaluated, so that the boundary between the completed pilot (Section 5) and the planned full evaluation (Section 3.6) is explicit.</w:t>
      </w:r>
    </w:p>
    <w:p>
      <w:r>
        <w:rPr>
          <w:b/>
          <w:sz w:val="18"/>
        </w:rPr>
        <w:t>TABLE. Component status: designed, implemented, and evaluated.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Component</w:t>
            </w:r>
          </w:p>
        </w:tc>
        <w:tc>
          <w:tcPr>
            <w:tcW w:type="dxa" w:w="2160"/>
          </w:tcPr>
          <w:p>
            <w:r>
              <w:rPr>
                <w:b/>
                <w:sz w:val="18"/>
              </w:rPr>
              <w:t>Designed</w:t>
            </w:r>
          </w:p>
        </w:tc>
        <w:tc>
          <w:tcPr>
            <w:tcW w:type="dxa" w:w="2160"/>
          </w:tcPr>
          <w:p>
            <w:r>
              <w:rPr>
                <w:b/>
                <w:sz w:val="18"/>
              </w:rPr>
              <w:t>Implemented</w:t>
            </w:r>
          </w:p>
        </w:tc>
        <w:tc>
          <w:tcPr>
            <w:tcW w:type="dxa" w:w="2160"/>
          </w:tcPr>
          <w:p>
            <w:r>
              <w:rPr>
                <w:b/>
                <w:sz w:val="18"/>
              </w:rPr>
              <w:t>Evaluated</w:t>
            </w:r>
          </w:p>
        </w:tc>
      </w:tr>
      <w:tr>
        <w:tc>
          <w:tcPr>
            <w:tcW w:type="dxa" w:w="2160"/>
          </w:tcPr>
          <w:p>
            <w:r>
              <w:rPr>
                <w:sz w:val="18"/>
              </w:rPr>
              <w:t>Patient-timeline memory (construction, management, retrieval)</w:t>
            </w:r>
          </w:p>
        </w:tc>
        <w:tc>
          <w:tcPr>
            <w:tcW w:type="dxa" w:w="2160"/>
          </w:tcPr>
          <w:p>
            <w:r>
              <w:rPr>
                <w:sz w:val="18"/>
              </w:rPr>
              <w:t>Yes</w:t>
            </w:r>
          </w:p>
        </w:tc>
        <w:tc>
          <w:tcPr>
            <w:tcW w:type="dxa" w:w="2160"/>
          </w:tcPr>
          <w:p>
            <w:r>
              <w:rPr>
                <w:sz w:val="18"/>
              </w:rPr>
              <w:t>Yes (non-LLM)</w:t>
            </w:r>
          </w:p>
        </w:tc>
        <w:tc>
          <w:tcPr>
            <w:tcW w:type="dxa" w:w="2160"/>
          </w:tcPr>
          <w:p>
            <w:r>
              <w:rPr>
                <w:sz w:val="18"/>
              </w:rPr>
              <w:t>Pilot (Section 5)</w:t>
            </w:r>
          </w:p>
        </w:tc>
      </w:tr>
      <w:tr>
        <w:tc>
          <w:tcPr>
            <w:tcW w:type="dxa" w:w="2160"/>
          </w:tcPr>
          <w:p>
            <w:r>
              <w:rPr>
                <w:sz w:val="18"/>
              </w:rPr>
              <w:t>Timestamp-aware retrieval</w:t>
            </w:r>
          </w:p>
        </w:tc>
        <w:tc>
          <w:tcPr>
            <w:tcW w:type="dxa" w:w="2160"/>
          </w:tcPr>
          <w:p>
            <w:r>
              <w:rPr>
                <w:sz w:val="18"/>
              </w:rPr>
              <w:t>Yes</w:t>
            </w:r>
          </w:p>
        </w:tc>
        <w:tc>
          <w:tcPr>
            <w:tcW w:type="dxa" w:w="2160"/>
          </w:tcPr>
          <w:p>
            <w:r>
              <w:rPr>
                <w:sz w:val="18"/>
              </w:rPr>
              <w:t>Yes</w:t>
            </w:r>
          </w:p>
        </w:tc>
        <w:tc>
          <w:tcPr>
            <w:tcW w:type="dxa" w:w="2160"/>
          </w:tcPr>
          <w:p>
            <w:r>
              <w:rPr>
                <w:sz w:val="18"/>
              </w:rPr>
              <w:t>Pilot: latency, no future data</w:t>
            </w:r>
          </w:p>
        </w:tc>
      </w:tr>
      <w:tr>
        <w:tc>
          <w:tcPr>
            <w:tcW w:type="dxa" w:w="2160"/>
          </w:tcPr>
          <w:p>
            <w:r>
              <w:rPr>
                <w:sz w:val="18"/>
              </w:rPr>
              <w:t>Early-warning baseline</w:t>
            </w:r>
          </w:p>
        </w:tc>
        <w:tc>
          <w:tcPr>
            <w:tcW w:type="dxa" w:w="2160"/>
          </w:tcPr>
          <w:p>
            <w:r>
              <w:rPr>
                <w:sz w:val="18"/>
              </w:rPr>
              <w:t>Yes</w:t>
            </w:r>
          </w:p>
        </w:tc>
        <w:tc>
          <w:tcPr>
            <w:tcW w:type="dxa" w:w="2160"/>
          </w:tcPr>
          <w:p>
            <w:r>
              <w:rPr>
                <w:sz w:val="18"/>
              </w:rPr>
              <w:t>Yes</w:t>
            </w:r>
          </w:p>
        </w:tc>
        <w:tc>
          <w:tcPr>
            <w:tcW w:type="dxa" w:w="2160"/>
          </w:tcPr>
          <w:p>
            <w:r>
              <w:rPr>
                <w:sz w:val="18"/>
              </w:rPr>
              <w:t>Pilot: AUROC with proxy labels</w:t>
            </w:r>
          </w:p>
        </w:tc>
      </w:tr>
      <w:tr>
        <w:tc>
          <w:tcPr>
            <w:tcW w:type="dxa" w:w="2160"/>
          </w:tcPr>
          <w:p>
            <w:r>
              <w:rPr>
                <w:sz w:val="18"/>
              </w:rPr>
              <w:t>Verification gate (rule-based form)</w:t>
            </w:r>
          </w:p>
        </w:tc>
        <w:tc>
          <w:tcPr>
            <w:tcW w:type="dxa" w:w="2160"/>
          </w:tcPr>
          <w:p>
            <w:r>
              <w:rPr>
                <w:sz w:val="18"/>
              </w:rPr>
              <w:t>Yes</w:t>
            </w:r>
          </w:p>
        </w:tc>
        <w:tc>
          <w:tcPr>
            <w:tcW w:type="dxa" w:w="2160"/>
          </w:tcPr>
          <w:p>
            <w:r>
              <w:rPr>
                <w:sz w:val="18"/>
              </w:rPr>
              <w:t>Yes</w:t>
            </w:r>
          </w:p>
        </w:tc>
        <w:tc>
          <w:tcPr>
            <w:tcW w:type="dxa" w:w="2160"/>
          </w:tcPr>
          <w:p>
            <w:r>
              <w:rPr>
                <w:sz w:val="18"/>
              </w:rPr>
              <w:t>Pilot: operating curve</w:t>
            </w:r>
          </w:p>
        </w:tc>
      </w:tr>
      <w:tr>
        <w:tc>
          <w:tcPr>
            <w:tcW w:type="dxa" w:w="2160"/>
          </w:tcPr>
          <w:p>
            <w:r>
              <w:rPr>
                <w:sz w:val="18"/>
              </w:rPr>
              <w:t>Audit trail with measured resolvability</w:t>
            </w:r>
          </w:p>
        </w:tc>
        <w:tc>
          <w:tcPr>
            <w:tcW w:type="dxa" w:w="2160"/>
          </w:tcPr>
          <w:p>
            <w:r>
              <w:rPr>
                <w:sz w:val="18"/>
              </w:rPr>
              <w:t>Yes</w:t>
            </w:r>
          </w:p>
        </w:tc>
        <w:tc>
          <w:tcPr>
            <w:tcW w:type="dxa" w:w="2160"/>
          </w:tcPr>
          <w:p>
            <w:r>
              <w:rPr>
                <w:sz w:val="18"/>
              </w:rPr>
              <w:t>Yes</w:t>
            </w:r>
          </w:p>
        </w:tc>
        <w:tc>
          <w:tcPr>
            <w:tcW w:type="dxa" w:w="2160"/>
          </w:tcPr>
          <w:p>
            <w:r>
              <w:rPr>
                <w:sz w:val="18"/>
              </w:rPr>
              <w:t>Pilot: 183/183 references</w:t>
            </w:r>
          </w:p>
        </w:tc>
      </w:tr>
      <w:tr>
        <w:tc>
          <w:tcPr>
            <w:tcW w:type="dxa" w:w="2160"/>
          </w:tcPr>
          <w:p>
            <w:r>
              <w:rPr>
                <w:sz w:val="18"/>
              </w:rPr>
              <w:t>Seven LLM agents and coordinator</w:t>
            </w:r>
          </w:p>
        </w:tc>
        <w:tc>
          <w:tcPr>
            <w:tcW w:type="dxa" w:w="2160"/>
          </w:tcPr>
          <w:p>
            <w:r>
              <w:rPr>
                <w:sz w:val="18"/>
              </w:rPr>
              <w:t>Yes</w:t>
            </w:r>
          </w:p>
        </w:tc>
        <w:tc>
          <w:tcPr>
            <w:tcW w:type="dxa" w:w="2160"/>
          </w:tcPr>
          <w:p>
            <w:r>
              <w:rPr>
                <w:sz w:val="18"/>
              </w:rPr>
              <w:t>Scaffold only</w:t>
            </w:r>
          </w:p>
        </w:tc>
        <w:tc>
          <w:tcPr>
            <w:tcW w:type="dxa" w:w="2160"/>
          </w:tcPr>
          <w:p>
            <w:r>
              <w:rPr>
                <w:sz w:val="18"/>
              </w:rPr>
              <w:t>Planned (Section 3.6)</w:t>
            </w:r>
          </w:p>
        </w:tc>
      </w:tr>
      <w:tr>
        <w:tc>
          <w:tcPr>
            <w:tcW w:type="dxa" w:w="2160"/>
          </w:tcPr>
          <w:p>
            <w:r>
              <w:rPr>
                <w:sz w:val="18"/>
              </w:rPr>
              <w:t>Guideline and literature RAG</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Calibrated confidence estimation</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Human-in-the-loop review protocol</w:t>
            </w:r>
          </w:p>
        </w:tc>
        <w:tc>
          <w:tcPr>
            <w:tcW w:type="dxa" w:w="2160"/>
          </w:tcPr>
          <w:p>
            <w:r>
              <w:rPr>
                <w:sz w:val="18"/>
              </w:rPr>
              <w:t>Yes</w:t>
            </w:r>
          </w:p>
        </w:tc>
        <w:tc>
          <w:tcPr>
            <w:tcW w:type="dxa" w:w="2160"/>
          </w:tcPr>
          <w:p>
            <w:r>
              <w:rPr>
                <w:sz w:val="18"/>
              </w:rPr>
              <w:t>UI prototype</w:t>
            </w:r>
          </w:p>
        </w:tc>
        <w:tc>
          <w:tcPr>
            <w:tcW w:type="dxa" w:w="2160"/>
          </w:tcPr>
          <w:p>
            <w:r>
              <w:rPr>
                <w:sz w:val="18"/>
              </w:rPr>
              <w:t>Planned (Section 3.6)</w:t>
            </w:r>
          </w:p>
        </w:tc>
      </w:tr>
      <w:tr>
        <w:tc>
          <w:tcPr>
            <w:tcW w:type="dxa" w:w="2160"/>
          </w:tcPr>
          <w:p>
            <w:r>
              <w:rPr>
                <w:sz w:val="18"/>
              </w:rPr>
              <w:t>Longitudinal evaluation on full MIMIC-IV</w:t>
            </w:r>
          </w:p>
        </w:tc>
        <w:tc>
          <w:tcPr>
            <w:tcW w:type="dxa" w:w="2160"/>
          </w:tcPr>
          <w:p>
            <w:r>
              <w:rPr>
                <w:sz w:val="18"/>
              </w:rPr>
              <w:t>Yes</w:t>
            </w:r>
          </w:p>
        </w:tc>
        <w:tc>
          <w:tcPr>
            <w:tcW w:type="dxa" w:w="2160"/>
          </w:tcPr>
          <w:p>
            <w:r>
              <w:rPr>
                <w:sz w:val="18"/>
              </w:rPr>
              <w:t>No</w:t>
            </w:r>
          </w:p>
        </w:tc>
        <w:tc>
          <w:tcPr>
            <w:tcW w:type="dxa" w:w="2160"/>
          </w:tcPr>
          <w:p>
            <w:r>
              <w:rPr>
                <w:sz w:val="18"/>
              </w:rPr>
              <w:t>Planned (Section 3.6)</w:t>
            </w:r>
          </w:p>
        </w:tc>
      </w:tr>
    </w:tbl>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This subsection describes designed, not demonstrated, behavior: as Table 1 records, the seven agents exist only as an implementation scaffold (typed interfaces, message schemas, and placeholder reasoning stubs), and no LLM-based reasoning ran in the pilot of Section 5, whose intelligence resided entirely in a logistic-regression baseline and a rule-based gate. In the full system, a coordinator agent will delegate to seven specialized agents (monitoring, planner, diagnosis, risk prediction, treatment recommendation, explanation, and verification), each of which will use ReAct-style reasoning internally [6]. Coordination will follow a hub-and-spoke topology: all inter-agent messages will pass through the coordinator, a choice motivated by adversarial evidence that multi-agent topology governs how far a compromised agent's influence spreads, with open shared-communication designs proving most vulnerable to contamination [51]; routing every message through one auditable point will also serve the audit-trail requirement of Section 3.4. Tool access will use the Model Context Protocol (MCP), and inter-agent exchange will follow Agent-to-Agent (A2A)-style conventions, the two interoperability protocols named in the index terms [30], keeping the prototype composable with hospital tooling. External tools will follow the validated-tool principle of RiskAgent and TxAgent: calculations and lookups will be delegated to auditable components rather than generated [1], [2].</w:t>
      </w:r>
    </w:p>
    <w:p>
      <w:pPr>
        <w:pStyle w:val="Heading2"/>
      </w:pPr>
      <w:r>
        <w:t>3.4 Verification Gate and Audit Trail</w:t>
      </w:r>
    </w:p>
    <w:p>
      <w:pPr>
        <w:jc w:val="both"/>
      </w:pPr>
      <w:r>
        <w:t>The verification agent is the framework's distinguishing safety component; only its rule-based form has been implemented and exercised (Section 5), and the LLM-based form described here is designed, not built. In the full system, every candidate recommendation will be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will accompany the recommendation to the clinician [17], [53]. Recommendations failing any check will be blocked and returned with the failure reason. Every check will write to an evidence-linked audit trail. Whether that trail accurately reflects the evidence the system actually used will be treated as a measured property rather than an assumed one, using entailment-based spot audits [54]. The confidence value attached to each recommendation will be calibrated post hoc on a held-out calibration split (temperature scaling, with isotonic regression as a fallback for non-monotone miscalibration) and its quality will be evaluated by expected calibration error and reliability diagrams [53]; no output of the current pilot is calibrated. This combination is designed to align with emerging regulatory expectations for unconfined non-deterministic clinical software: guardrails, moderation, retrieval grounding, and inspectability [18], [19].</w:t>
      </w:r>
    </w:p>
    <w:p>
      <w:pPr>
        <w:pStyle w:val="Heading2"/>
      </w:pPr>
      <w:r>
        <w:t>3.5 Human-in-the-Loop Protocol</w:t>
      </w:r>
    </w:p>
    <w:p>
      <w:pPr>
        <w:jc w:val="both"/>
      </w:pPr>
      <w:r>
        <w:t>In the full system, clinicians will receive only verified recommendations, each with linked evidence, a calibrated confidence estimate, and an explanation. Review will be structured rather than free-form: approve, modify, or reject, with reasons captured into memory. The choice reflects meta-analytic evidence that unstructured clinician–LLM collaboration produces gains too uncertain to build on [20]. Rejections and modifications will feed the monitoring loop as supervision signals.</w:t>
      </w:r>
    </w:p>
    <w:p>
      <w:pPr>
        <w:pStyle w:val="Heading2"/>
      </w:pPr>
      <w:r>
        <w:t>3.6 Planned Evaluation Design</w:t>
      </w:r>
    </w:p>
    <w:p>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full evaluation uses MIMIC-IV [13] cohorts (sepsis and deterioration use cases; Sepsis-3 labels [55], [56]) and scores the system on longitudinal tracking, not one-shot prediction. Clinical ground truth is defined concretely per use case: in-hospital mortality from discharge disposition, sepsis onset time under the Sepsis-3 criteria applied to the recorded observations [55], and, for treatment recommendations, concordance with the interventions documented in the record, adjudicated by clinician review where the record is ambiguous. The primary metrics are defined as follows. (1) Decision quality: discrimination (AUROC) and calibration of predicted risk against these labels, compared with revisited MIMIC-IV baselines [22]. (2) Grounding rate: of the atomic claims extracted from a recommendation, the fraction entailed by at least one retrieved patient-evidence item, following RAG-evaluation practice [54]. (3) Verification-gate effectiveness: among recommendations independently judged ungrounded, the fraction the gate blocks (catch rate) at a fixed clinician-review budget. (4) Audit-trail faithfulness: the fraction of logged evidence references that both re-resolve to the source record and match the value the system actually used, under human spot audit of a random sample sized to bound the faithfulness estimate within ±5 percentage points at 95% confidence, assuming the maximum-variance baseline p = 0.5 (approximately 385 references, or the full trail when smaller). Adjudication is strictly binary: a reference that is partially correct, for example resolving to the right table but the wrong row or to a superseded value, counts as unfaithful. (5) Recommendation quality: rubric-graded scores in the style of physician-rubric benchmarks [12], [21]. Ablations remove patient-timeline retrieval, the verification gate, and longitudinal memory in turn, isolating each claimed contribution. Statistical comparisons follow standard practice for correlated classifiers [57], [58] with false-discovery control [59].</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and longitudinal grounding itself is emerging in trajectory and guideline-alignment systems [44], [45], [47]. We do not claim any of these components. What we claim is their integration, and the instrumentation of that integration: timestamp-aware retrieval from the patient's own timeline coupled to recommendation-level verification, an audit trail whose faithfulness is measured rather than assumed, and evaluation that scores longitudinal tracking on de-identified real-world ICU records. Within the literature reviewed for this study, no system combines these, and none measures them together.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the design attaches a calibrated confidence estimate to every recommendation (planned, not implemented in the pilot; Table 1); adversarial findings that open shared communication channels are the most vulnerable multi-agent design [51]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beyond the safety consideration that Section 4.5 treats separately.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[54];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[49].</w:t>
      </w:r>
    </w:p>
    <w:p>
      <w:pPr>
        <w:pStyle w:val="Heading2"/>
      </w:pPr>
      <w:r>
        <w:t>4.5 Safety Consideration: The Gate's Sensitivity Floor</w:t>
      </w:r>
    </w:p>
    <w:p>
      <w:pPr>
        <w:jc w:val="both"/>
      </w:pPr>
      <w:r>
        <w:t>The pilot's most consequential finding for deployment is not the gate's specificity but its sensitivity floor, and it warrants treatment as a first-class safety issue rather than a footnote to the results. At the strictest informative threshold (m = 4) the rule-based gate blocked four of the seven true alerts, three of which carried no deterioration-relevant signal in the evidence window at all; a deployed system that suppressed more than half of the alerts preceding death would be clinically unacceptable, whatever its false-alert suppression. Three design consequences follow. The evidence window and signal threshold are safety parameters whose values clinical governance, not engineering, must set. Gate operating points must always be reported with sensitivity alongside false-alert suppression, as the pilot's operating curve does, so the trade-off is chosen deliberately rather than inherited from a default. And suppression must never be silent: in this framework blocked alerts remain visible and overridable in a dedicated queue rather than being discarded, so the gate defers, rather than replaces, clinical judgment on the alerts it declines to forward. The full evaluation will report sensitivity at every operating point, and we regard any deployment decision that has not confronted this floor explicitly as unsafe.</w:t>
      </w:r>
    </w:p>
    <w:p>
      <w:pPr>
        <w:pStyle w:val="Heading2"/>
      </w:pPr>
      <w:r>
        <w:t>4.6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[50].</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We define a *true alert* as an alert raised for a stay whose hospital admission ended in in-hospital death (7 alerts) and a *false alert* as one raised for a patient discharged alive (21 alerts). In-hospital mortality is a proxy endpoint chosen because it is unambiguous in the demo tables, not a claim that every deteriorating patient dies; much of monitoring's clinical value lies in non-fatal events such as escalation of care, fluid management, or antibiotic titration, which a mortality proxy cannot see. The planned full evaluation therefore replaces this proxy with Sepsis-3 onset and intervention-concordance labels (Section 3.6). Leakage was controlled at three points: features were computed only from events time-stamped within the first 24 h of the ICU stay, while the mortality label derives from the discharge disposition recorded at the end of the admission; prior admissions entered the timeline only if discharged strictly before the current admission; and imputation and standardization were fit inside each cross-validation training fold via a pipeline, never on the full cohort.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This figure measures the retrieval substrate alone: in the full system, each recommendation will additionally incur multiple LLM inference calls, so total response time will be dominated by agentic reasoning, not retrieval, and will be measured separately in the planned evaluation. The baseline reached a cross-validated AUROC of 0.641 (95% bootstrap CI 0.478–0.792). Because the interval crosses 0.5, the baseline demonstrates no statistically significant discrimination at this sample size, and we draw no decision-support performance conclusion from it whatsoever. Its only function in the pilot is to generate a realistic, imperfect alert stream against which the gate's behavior can be observed.</w:t>
      </w:r>
    </w:p>
    <w:p>
      <w:pPr>
        <w:jc w:val="both"/>
      </w:pPr>
      <w:r>
        <w:t>The gate produced the pilot's most instructive result, with an essential scoping caveat: everything the gate demonstrates here is demonstrated on a stream of alerts, not on a stream of validated predictions, since the baseline generating those alerts has no established predictive validity.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within this stream,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carries no reliability claim: what the exercise benchmarks is the metric and its measurement machinery, not the system, and the metric earns its place because it becomes non-trivial once a non-deterministic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jc w:val="both"/>
      </w:pPr>
      <w:r>
        <w:t>The relation between the pilot gate and the framework's verification agent deserves explicit statement. The pilot gate is a deliberately simple heuristic instantiation of the verification interface: it consumes the same retrieved-evidence set, emits the same pass-or-block decision, and logs the same evidence references that the LLM-based agent of Section 3.4 will. What changes in the full system is the decision rule, from counting distinct deterioration signals to claim-level entailment against the retrieved evidence. Whether the preferential suppression of false alerts observed here transfers to the entailment-based form is therefore an explicit hypothesis for the full evaluation, not an assumption this pilot licenses.</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requirement that the benchmark, safety, and regulatory literature cited throughout names but does not yet report measured together in one system.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We therefore consider measurable verification and traceability essential properties for evaluating clinical agentic AI.</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Ethics Statement</w:t>
      </w:r>
    </w:p>
    <w:p>
      <w:r>
        <w:t>This study uses only the MIMIC-IV Clinical Database Demo v2.2, a fully de-identified, openly licensed public dataset distributed by PhysioNet that requires no credentialing and involves no interaction with patients or clinicians; no additional ethics approval was required for its use. The planned full evaluation will use the credentialed MIMIC-IV database under the PhysioNet Credentialed Health Data Use Agreement and completed human subjects research training. The system described is an academic proof-of-concept evaluated on de-identified and synthetic data only; it is not a medical device and is not intended for clinical use, and any output it produces requires review by a qualified licensed clinician.</w:t>
      </w:r>
    </w:p>
    <w:p>
      <w:pPr>
        <w:pStyle w:val="Heading1"/>
      </w:pPr>
      <w:r>
        <w:t>Data Availability</w:t>
      </w:r>
    </w:p>
    <w:p>
      <w:r>
        <w:t>The MIMIC-IV Clinical Database Demo v2.2 is publicly available from PhysioNet. The pilot implementation (timeline construction, timestamp-aware retrieval, early-warning baseline, and verification gate) and the aggregate pilot metrics reported in Section 5 are available in the project repository; no patient-level data is redistributed. The full MIMIC-IV database is available to credentialed researchers via PhysioNet.</w:t>
      </w:r>
    </w:p>
    <w:p>
      <w:pPr>
        <w:pStyle w:val="Heading1"/>
      </w:pPr>
      <w:r>
        <w:t>Funding</w:t>
      </w:r>
    </w:p>
    <w:p>
      <w:r>
        <w:t>The authors received no specific funding for this work.</w:t>
      </w:r>
    </w:p>
    <w:p>
      <w:pPr>
        <w:pStyle w:val="Heading1"/>
      </w:pPr>
      <w:r>
        <w:t>Competing Interests</w:t>
      </w:r>
    </w:p>
    <w:p>
      <w:r>
        <w:t>The authors declare no competing interests.</w:t>
      </w:r>
    </w:p>
    <w:p>
      <w:pPr>
        <w:pStyle w:val="Heading1"/>
      </w:pPr>
      <w:r>
        <w:t>Author Contributions</w:t>
      </w:r>
    </w:p>
    <w:p>
      <w:r>
        <w:t>A.G. designed the framework, implemented the pilot study and platform prototype, and wrote the manuscript. F.N. supervised the research and reviewed the manuscript.</w:t>
      </w:r>
    </w:p>
    <w:p>
      <w:pPr>
        <w:pStyle w:val="Heading1"/>
      </w:pPr>
      <w:r>
        <w:t>AI-Assistance Disclosure</w:t>
      </w:r>
    </w:p>
    <w:p>
      <w:r>
        <w:t>Large language model tools were used, under the authors' direction, to assist with literature search, drafting, and editing of this manuscript and with the implementation of the pilot software. The authors reviewed and verified all content, citations, analyses, and results, and take full responsibility for the manuscript.</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Küttler,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Proceedings of the First Workshop on Patient-Oriented Language Processing (CL4Health) @ LREC-COLING 2024, 2024.</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D. Li, J. Liang, W. Li, et al., "CliCARE: Grounding Large Language Models in Clinical Guidelines for Decision Support over Longitudinal Cancer Electronic Health Records," Proceedings of the AAAI Conference on Artificial Intelligence, vol. 40, no. 37, pp. 31554--31562, 2026, doi: 10.1609/aaai.v40i37.40421.</w:t>
      </w:r>
    </w:p>
    <w:p>
      <w:pPr>
        <w:spacing w:after="80"/>
      </w:pPr>
      <w:r>
        <w:rPr>
          <w:sz w:val="20"/>
        </w:rPr>
        <w:t>[45] S. Zeng, Y. Fu, S. Zhou, et al., "Traj-CoA: Patient Trajectory Modeling via Chain-of-Agents for Lung Cancer Risk Prediction," arXiv preprint arXiv:2510.10454, 2025, doi: 10.48550/arXiv.2510.10454.</w:t>
      </w:r>
    </w:p>
    <w:p>
      <w:pPr>
        <w:spacing w:after="80"/>
      </w:pPr>
      <w:r>
        <w:rPr>
          <w:sz w:val="20"/>
        </w:rPr>
        <w:t>[46] S. Zeng, Y. W. Kim, W. Lau, et al., "TrajOnco: A Multi-Agent Framework for Temporal Reasoning over Longitudinal EHR for Multi-Cancer Early Detection," arXiv preprint arXiv:2604.10386, 2026, doi: 10.48550/arXiv.2604.10386.</w:t>
      </w:r>
    </w:p>
    <w:p>
      <w:pPr>
        <w:spacing w:after="80"/>
      </w:pPr>
      <w:r>
        <w:rPr>
          <w:sz w:val="20"/>
        </w:rPr>
        <w:t>[47] H. Cui, A. Unell, B. Chen, et al., "TIMER: Temporal Instruction Modeling and Evaluation for Longitudinal Clinical Records," npj Digital Medicine, vol. 8, pp. 577, 2025, doi: 10.1038/s41746-025-01965-9.</w:t>
      </w:r>
    </w:p>
    <w:p>
      <w:pPr>
        <w:spacing w:after="80"/>
      </w:pPr>
      <w:r>
        <w:rPr>
          <w:sz w:val="20"/>
        </w:rPr>
        <w:t>[48] S. Liang, L. Zhang, H. Zhu, et al., "RGAR: Recurrence Generation-augmented Retrieval for Factual-aware Medical Question Answering," Findings of the Association for Computational Linguistics: EMNLP 2025, pp. 4006--4033, 2025, doi: 10.18653/v1/2025.findings-emnlp.214.</w:t>
      </w:r>
    </w:p>
    <w:p>
      <w:pPr>
        <w:spacing w:after="80"/>
      </w:pPr>
      <w:r>
        <w:rPr>
          <w:sz w:val="20"/>
        </w:rPr>
        <w:t>[49] A. Yehudai, L. Eden, A. Li, et al., "Survey on Evaluation of LLM-based Agents," Findings of the Association for Computational Linguistics: ACL 2026, pp. 26690--26714, 2026, doi: 10.18653/v1/2026.findings-acl.1330.</w:t>
      </w:r>
    </w:p>
    <w:p>
      <w:pPr>
        <w:spacing w:after="80"/>
      </w:pPr>
      <w:r>
        <w:rPr>
          <w:sz w:val="20"/>
        </w:rPr>
        <w:t>[50]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[51] K. Chen, T. Zhen, H. Wang, et al., "MedSentry: Understanding and Mitigating Safety Risks in Medical LLM Multi-Agent Systems," arXiv preprint arXiv:2505.20824, 2025, doi: 10.48550/arXiv.2505.20824.</w:t>
      </w:r>
    </w:p>
    <w:p>
      <w:pPr>
        <w:spacing w:after="80"/>
      </w:pPr>
      <w:r>
        <w:rPr>
          <w:sz w:val="20"/>
        </w:rPr>
        <w:t>[52] A. R. Hevner, S. T. March, J. Park, S. Ram, "Design Science in Information Systems Research," MIS Quarterly, vol. 28, no. 1, pp. 75--105, 2004, doi: 10.2307/25148625.</w:t>
      </w:r>
    </w:p>
    <w:p>
      <w:pPr>
        <w:spacing w:after="80"/>
      </w:pPr>
      <w:r>
        <w:rPr>
          <w:sz w:val="20"/>
        </w:rPr>
        <w:t>[53] C. Guo, G. Pleiss, Y. Sun, K. Q. Weinberger, "On Calibration of Modern Neural Networks," Proceedings of the 34th International Conference on Machine Learning (ICML), 2017.</w:t>
      </w:r>
    </w:p>
    <w:p>
      <w:pPr>
        <w:spacing w:after="80"/>
      </w:pPr>
      <w:r>
        <w:rPr>
          <w:sz w:val="20"/>
        </w:rPr>
        <w:t>[54]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[55]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[56] J. Vincent, R. Moreno, J. Takala, S. Willatts, A. De Mendonça, H. Bruining, C. K. Reinhart, P. M. Suter, L. G. Thijs, "The SOFA (Sepsis-related Organ Failure Assessment) score to describe organ dysfunction/failure," Intensive Care Medicine, vol. 22, no. 7, pp. 707--710, 1996, doi: 10.1007/BF01709751.</w:t>
      </w:r>
    </w:p>
    <w:p>
      <w:pPr>
        <w:spacing w:after="80"/>
      </w:pPr>
      <w:r>
        <w:rPr>
          <w:sz w:val="20"/>
        </w:rPr>
        <w:t>[57] E. R. DeLong, D. M. DeLong, D. L. Clarke-Pearson, "Comparing the Areas Under Two or More Correlated Receiver Operating Characteristic Curves: A Nonparametric Approach," Biometrics, vol. 44, no. 3, pp. 837--845, 1988, doi: 10.2307/2531595.</w:t>
      </w:r>
    </w:p>
    <w:p>
      <w:pPr>
        <w:spacing w:after="80"/>
      </w:pPr>
      <w:r>
        <w:rPr>
          <w:sz w:val="20"/>
        </w:rPr>
        <w:t>[58] T. G. Dietterich, "Approximate Statistical Tests for Comparing Supervised Classification Learning Algorithms," Neural Computation, vol. 10, no. 7, pp. 1895--1923, 1998, doi: 10.1162/089976698300017197.</w:t>
      </w:r>
    </w:p>
    <w:p>
      <w:pPr>
        <w:spacing w:after="80"/>
      </w:pPr>
      <w:r>
        <w:rPr>
          <w:sz w:val="20"/>
        </w:rPr>
        <w:t>[59] Y. Benjamini, Y. Hochberg, "Controlling the False Discovery Rate: A Practical and Powerful Approach to Multiple Testing," Journal of the Royal Statistical Society: Series B (Methodological), vol. 57, no. 1, pp. 289--300, 1995, doi: 10.1111/j.2517-6161.1995.tb02031.x.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