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(supervisor: Dr. Fawad Nasim) — author block TODO before submission</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The patient's own accumulated record, the very material a clinician reasons over, is not itself retrievable evidence in any published system we identified.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What has not varied across any of this work is the direction of grounding: external knowledge is the corpus and the patient is the query. A monitoring system needs the reverse as well, retrieval *from* the patient's accumulated record: yesterday's lactate trend, the previous admission, the medication that was stopped. Within the literature reviewed here, we find no system that treats the patient timeline as a retrieval corpus in its own right, and that omission defines the opening this work occupies.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[44].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[45], and adversarial evidence that multi-agent topology determines how far a compromised agent's influence spreads [46].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[47]: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w:t>
      </w:r>
    </w:p>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A coordinator agent delegates to seven specialized agents (monitoring, planner, diagnosis, risk prediction, treatment recommendation, explanation, and verification), each of which uses ReAct-style reasoning internally [6]. Coordination follows a hub-and-spoke topology. All inter-agent messages pass through the coordinator, a choice motivated by adversarial evidence that multi-agent topology governs how far a compromised agent's influence spreads, with open shared-communication designs proving most vulnerable to contamination [46]; routing every message through one auditable point also serves the audit-trail requirement of Section 3.4. Tool access uses MCP-style standardized interfaces and inter-agent exchange follows A2A-style conventions [30], which keeps the prototype composable with hospital tooling. External tools follow the validated-tool principle of RiskAgent and TxAgent: calculations and lookups are delegated to auditable components rather than generated [1], [2].</w:t>
      </w:r>
    </w:p>
    <w:p>
      <w:pPr>
        <w:pStyle w:val="Heading2"/>
      </w:pPr>
      <w:r>
        <w:t>3.4 Verification Gate and Audit Trail</w:t>
      </w:r>
    </w:p>
    <w:p>
      <w:pPr>
        <w:jc w:val="both"/>
      </w:pPr>
      <w:r>
        <w:t>The verification agent is the framework's distinguishing safety component. Every candidate recommendation is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accompanies the recommendation to the clinician [17], [48]. Recommendations failing any check are blocked and returned with the failure reason. Every check writes to an evidence-linked audit trail. Whether that trail accurately reflects the evidence the system actually used is treated as a measured property rather than an assumed one, using entailment-based spot audits [49]. This combination is designed to satisfy, and to demonstrate compliance with, emerging expectations for unconfined non-deterministic clinical software: guardrails, moderation, retrieval grounding, and inspectability [18], [19].</w:t>
      </w:r>
    </w:p>
    <w:p>
      <w:pPr>
        <w:pStyle w:val="Heading2"/>
      </w:pPr>
      <w:r>
        <w:t>3.5 Human-in-the-Loop Protocol</w:t>
      </w:r>
    </w:p>
    <w:p>
      <w:pPr>
        <w:jc w:val="both"/>
      </w:pPr>
      <w:r>
        <w:t>Clinicians receive only verified recommendations, each with linked evidence, a calibrated confidence estimate, and an explanation. Review is structured rather than free-form: approve, modify, or reject, with reasons captured into memory. The choice reflects meta-analytic evidence that unstructured clinician–LLM collaboration produces gains too uncertain to build on [20]. Rejections and modifications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evaluation uses MIMIC-IV [13] cohorts (sepsis and deterioration use cases; Sepsis-3 labels [50], [51]) and scores the system on longitudinal tracking, not one-shot prediction. Primary axes: (1) decision quality against clinical ground truth and revisited MIMIC-IV baselines [22]; (2) grounding rate, the fraction of recommendation claims entailed by retrieved patient evidence, following RAG-evaluation practice [49]; (3) verification-gate effectiveness, measured as the ungrounded-recommendation catch rate at fixed review budget; (4) audit-trail faithfulness under spot audit; and (5) rubric-graded recommendation quality in the style of physician-rubric benchmarks [12], [21]. Ablations remove patient-timeline retrieval, the verification gate, and longitudinal memory in turn, isolating each claimed contribution. Statistical comparisons follow standard practice for correlated classifiers [52], [53] with false-discovery control [54].</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We do not claim these components. We claim the three gaps that, within the 2025–2026 literature reviewed for this study, remain insufficiently addressed: retrieval grounded in the patient's own timeline, evaluation that scores longitudinal tracking on de-identified real-world ICU records, and a verification gate whose audit trail is itself measured.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every recommendation carries a calibrated confidence estimate; adversarial findings that open shared communication channels are the most vulnerable multi-agent design [46]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[49];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[44].</w:t>
      </w:r>
    </w:p>
    <w:p>
      <w:pPr>
        <w:pStyle w:val="Heading2"/>
      </w:pPr>
      <w:r>
        <w:t>4.5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[45].</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(7 in patients who died, 21 in patients who survived).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The baseline reached a cross-validated AUROC of 0.641 (95% bootstrap CI 0.478–0.792), an interval that crosses chance, as expected at this sample size. Its role is to supply a realistic alert stream, not predictive skill.</w:t>
      </w:r>
    </w:p>
    <w:p>
      <w:pPr>
        <w:jc w:val="both"/>
      </w:pPr>
      <w:r>
        <w:t>The gate produced the pilot's most instructive result.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the metric exists precisely because it becomes non-trivial once an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specific absence documented in the benchmark, safety, and regulatory literature cited throughout.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Because unverifiable success in this domain cannot be told apart from plausible error, we consider this the property clinical agentic AI needs most.</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K\"uttler,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arXiv preprint arXiv:2504.20547, 2025, doi: 10.48550/arXiv.2504.20547.</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A. Yehudai, L. Eden, A. Li, et al., "Survey on Evaluation of LLM-based Agents," Findings of the Association for Computational Linguistics: ACL 2026, pp. 26690--26714, 2026, doi: 10.18653/v1/2026.findings-acl.1330.</w:t>
      </w:r>
    </w:p>
    <w:p>
      <w:pPr>
        <w:spacing w:after="80"/>
      </w:pPr>
      <w:r>
        <w:rPr>
          <w:sz w:val="20"/>
        </w:rPr>
        <w:t>[45]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[46] K. Chen, T. Zhen, H. Wang, et al., "MedSentry: Understanding and Mitigating Safety Risks in Medical LLM Multi-Agent Systems," arXiv preprint arXiv:2505.20824, 2025, doi: 10.48550/arXiv.2505.20824.</w:t>
      </w:r>
    </w:p>
    <w:p>
      <w:pPr>
        <w:spacing w:after="80"/>
      </w:pPr>
      <w:r>
        <w:rPr>
          <w:sz w:val="20"/>
        </w:rPr>
        <w:t>[47] A. R. Hevner, S. T. March, J. Park, S. Ram, "Design Science in Information Systems Research," MIS Quarterly, vol. 28, no. 1, pp. 75--105, 2004, doi: 10.2307/25148625.</w:t>
      </w:r>
    </w:p>
    <w:p>
      <w:pPr>
        <w:spacing w:after="80"/>
      </w:pPr>
      <w:r>
        <w:rPr>
          <w:sz w:val="20"/>
        </w:rPr>
        <w:t>[48] C. Guo, G. Pleiss, Y. Sun, K. Q. Weinberger, "On Calibration of Modern Neural Networks," Proceedings of the 34th International Conference on Machine Learning (ICML), 2017.</w:t>
      </w:r>
    </w:p>
    <w:p>
      <w:pPr>
        <w:spacing w:after="80"/>
      </w:pPr>
      <w:r>
        <w:rPr>
          <w:sz w:val="20"/>
        </w:rPr>
        <w:t>[49]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[50]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[51] , "The SOFA (Sepsis-related Organ Failure Assessment) score to describe organ dysfunction/failure," Intensive Care Medicine, vol. 22, no. 7, pp. 707--710, 1996, doi: 10.1007/BF01709751.</w:t>
      </w:r>
    </w:p>
    <w:p>
      <w:pPr>
        <w:spacing w:after="80"/>
      </w:pPr>
      <w:r>
        <w:rPr>
          <w:sz w:val="20"/>
        </w:rPr>
        <w:t>[52] E. R. DeLong, D. M. DeLong, D. L. Clarke-Pearson, "Comparing the Areas Under Two or More Correlated Receiver Operating Characteristic Curves: A Nonparametric Approach," Biometrics, vol. 44, no. 3, pp. 837--845, 1988, doi: 10.2307/2531595.</w:t>
      </w:r>
    </w:p>
    <w:p>
      <w:pPr>
        <w:spacing w:after="80"/>
      </w:pPr>
      <w:r>
        <w:rPr>
          <w:sz w:val="20"/>
        </w:rPr>
        <w:t>[53] T. G. Dietterich, "Approximate Statistical Tests for Comparing Supervised Classification Learning Algorithms," Neural Computation, vol. 10, no. 7, pp. 1895--1923, 1998, doi: 10.1162/089976698300017197.</w:t>
      </w:r>
    </w:p>
    <w:p>
      <w:pPr>
        <w:spacing w:after="80"/>
      </w:pPr>
      <w:r>
        <w:rPr>
          <w:sz w:val="20"/>
        </w:rPr>
        <w:t>[54] Y. Benjamini, Y. Hochberg, "Controlling the False Discovery Rate: A Practical and Powerful Approach to Multiple Testing," Journal of the Royal Statistical Society: Series B (Methodological), vol. 57, no. 1, pp. 289--300, 1995, doi: 10.1111/j.2517-6161.1995.tb02031.x.</w:t>
      </w:r>
    </w:p>
    <w:p>
      <w:r>
        <w:rPr>
          <w:i/>
          <w:sz w:val="18"/>
        </w:rPr>
        <w:t>Research prototype disclosure: the system described is an academic proof-of-concept evaluated on de-identified and synthetic data only; it is not a medical device and is not intended for clinical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