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480" w:after="480"/>
        <w:jc w:val="center"/>
        <w:rPr/>
      </w:pPr>
      <w:r>
        <w:rPr>
          <w:rFonts w:cs="Times New Roman"/>
          <w:b w:val="false"/>
          <w:i w:val="false"/>
          <w:sz w:val="32"/>
        </w:rPr>
        <w:t>An Agentic AI Framework for Intelligent Patient Monitoring and Clinical Decision Support</w:t>
      </w:r>
    </w:p>
    <w:p>
      <w:pPr>
        <w:pStyle w:val="Normal"/>
        <w:spacing w:before="0" w:after="480"/>
        <w:jc w:val="center"/>
        <w:rPr/>
      </w:pPr>
      <w:r>
        <w:rPr/>
        <w:drawing>
          <wp:inline distT="0" distB="0" distL="0" distR="0">
            <wp:extent cx="1800225" cy="2674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800225" cy="2674620"/>
                    </a:xfrm>
                    <a:prstGeom prst="rect">
                      <a:avLst/>
                    </a:prstGeom>
                    <a:noFill/>
                  </pic:spPr>
                </pic:pic>
              </a:graphicData>
            </a:graphic>
          </wp:inline>
        </w:drawing>
      </w:r>
    </w:p>
    <w:p>
      <w:pPr>
        <w:pStyle w:val="Normal"/>
        <w:spacing w:lineRule="auto" w:line="360" w:before="0" w:after="0"/>
        <w:jc w:val="center"/>
        <w:rPr/>
      </w:pPr>
      <w:r>
        <w:rPr>
          <w:rFonts w:cs="Times New Roman"/>
          <w:b w:val="false"/>
          <w:i w:val="false"/>
          <w:sz w:val="24"/>
        </w:rPr>
        <w:t>A Thesis submitted in partial fulfillment</w:t>
      </w:r>
    </w:p>
    <w:p>
      <w:pPr>
        <w:pStyle w:val="Normal"/>
        <w:spacing w:lineRule="auto" w:line="360" w:before="0" w:after="240"/>
        <w:jc w:val="center"/>
        <w:rPr/>
      </w:pPr>
      <w:r>
        <w:rPr>
          <w:rFonts w:cs="Times New Roman"/>
          <w:b w:val="false"/>
          <w:i w:val="false"/>
          <w:sz w:val="24"/>
        </w:rPr>
        <w:t>of the requirements for the degree of</w:t>
      </w:r>
    </w:p>
    <w:p>
      <w:pPr>
        <w:pStyle w:val="Normal"/>
        <w:spacing w:lineRule="auto" w:line="360" w:before="0" w:after="0"/>
        <w:jc w:val="center"/>
        <w:rPr/>
      </w:pPr>
      <w:r>
        <w:rPr>
          <w:rFonts w:cs="Times New Roman"/>
          <w:b w:val="false"/>
          <w:i w:val="false"/>
          <w:sz w:val="28"/>
        </w:rPr>
        <w:t>MASTER OF SCIENCE</w:t>
      </w:r>
    </w:p>
    <w:p>
      <w:pPr>
        <w:pStyle w:val="Normal"/>
        <w:spacing w:lineRule="auto" w:line="360" w:before="0" w:after="0"/>
        <w:jc w:val="center"/>
        <w:rPr/>
      </w:pPr>
      <w:r>
        <w:rPr>
          <w:rFonts w:cs="Times New Roman"/>
          <w:b w:val="false"/>
          <w:i w:val="false"/>
          <w:sz w:val="28"/>
        </w:rPr>
        <w:t>IN</w:t>
      </w:r>
    </w:p>
    <w:p>
      <w:pPr>
        <w:pStyle w:val="Normal"/>
        <w:spacing w:lineRule="auto" w:line="360" w:before="0" w:after="360"/>
        <w:jc w:val="center"/>
        <w:rPr/>
      </w:pPr>
      <w:r>
        <w:rPr>
          <w:rFonts w:cs="Times New Roman"/>
          <w:b w:val="false"/>
          <w:i w:val="false"/>
          <w:sz w:val="28"/>
        </w:rPr>
        <w:t>ARTIFICIAL INTELLIGENCE</w:t>
      </w:r>
    </w:p>
    <w:p>
      <w:pPr>
        <w:pStyle w:val="Normal"/>
        <w:spacing w:lineRule="auto" w:line="360" w:before="0" w:after="0"/>
        <w:jc w:val="center"/>
        <w:rPr/>
      </w:pPr>
      <w:r>
        <w:rPr>
          <w:rFonts w:cs="Times New Roman"/>
          <w:b w:val="false"/>
          <w:i w:val="false"/>
          <w:sz w:val="24"/>
        </w:rPr>
        <w:t>Submitted By</w:t>
      </w:r>
    </w:p>
    <w:p>
      <w:pPr>
        <w:pStyle w:val="Normal"/>
        <w:spacing w:lineRule="auto" w:line="360" w:before="0" w:after="0"/>
        <w:jc w:val="center"/>
        <w:rPr/>
      </w:pPr>
      <w:r>
        <w:rPr>
          <w:rFonts w:cs="Times New Roman"/>
          <w:b w:val="false"/>
          <w:i w:val="false"/>
          <w:sz w:val="28"/>
        </w:rPr>
        <w:t>Adeel Gill</w:t>
      </w:r>
    </w:p>
    <w:p>
      <w:pPr>
        <w:pStyle w:val="Normal"/>
        <w:spacing w:lineRule="auto" w:line="360" w:before="0" w:after="0"/>
        <w:jc w:val="center"/>
        <w:rPr/>
      </w:pPr>
      <w:r>
        <w:rPr>
          <w:rFonts w:cs="Times New Roman"/>
          <w:b w:val="false"/>
          <w:i w:val="false"/>
          <w:sz w:val="28"/>
        </w:rPr>
        <w:t>SU92-MSAIW-S25-011</w:t>
      </w:r>
    </w:p>
    <w:p>
      <w:pPr>
        <w:pStyle w:val="Normal"/>
        <w:spacing w:lineRule="auto" w:line="360" w:before="0" w:after="360"/>
        <w:jc w:val="center"/>
        <w:rPr/>
      </w:pPr>
      <w:r>
        <w:rPr>
          <w:rFonts w:cs="Times New Roman"/>
          <w:b w:val="false"/>
          <w:i w:val="false"/>
          <w:sz w:val="24"/>
        </w:rPr>
        <w:t>Session: 2025-2026</w:t>
      </w:r>
    </w:p>
    <w:p>
      <w:pPr>
        <w:pStyle w:val="Normal"/>
        <w:spacing w:lineRule="auto" w:line="360" w:before="0" w:after="0"/>
        <w:jc w:val="center"/>
        <w:rPr/>
      </w:pPr>
      <w:r>
        <w:rPr>
          <w:rFonts w:cs="Times New Roman"/>
          <w:b w:val="false"/>
          <w:i w:val="false"/>
          <w:sz w:val="24"/>
        </w:rPr>
        <w:t>Supervised By</w:t>
      </w:r>
    </w:p>
    <w:p>
      <w:pPr>
        <w:pStyle w:val="Normal"/>
        <w:spacing w:lineRule="auto" w:line="360" w:before="0" w:after="480"/>
        <w:jc w:val="center"/>
        <w:rPr/>
      </w:pPr>
      <w:r>
        <w:rPr>
          <w:rFonts w:cs="Times New Roman"/>
          <w:b w:val="false"/>
          <w:i w:val="false"/>
          <w:sz w:val="28"/>
        </w:rPr>
        <w:t>Dr. Fawad Nasim</w:t>
      </w:r>
    </w:p>
    <w:p>
      <w:pPr>
        <w:pStyle w:val="Normal"/>
        <w:spacing w:lineRule="auto" w:line="360" w:before="0" w:after="0"/>
        <w:jc w:val="center"/>
        <w:rPr/>
      </w:pPr>
      <w:r>
        <w:rPr>
          <w:rFonts w:cs="Times New Roman"/>
          <w:b w:val="false"/>
          <w:i w:val="false"/>
          <w:sz w:val="28"/>
        </w:rPr>
        <w:t>DEPARTMENT OF COMPUTER SCIENCE</w:t>
      </w:r>
    </w:p>
    <w:p>
      <w:pPr>
        <w:pStyle w:val="Normal"/>
        <w:spacing w:lineRule="auto" w:line="360" w:before="0" w:after="0"/>
        <w:jc w:val="center"/>
        <w:rPr/>
      </w:pPr>
      <w:r>
        <w:rPr>
          <w:rFonts w:cs="Times New Roman"/>
          <w:b w:val="false"/>
          <w:i w:val="false"/>
          <w:sz w:val="28"/>
        </w:rPr>
        <w:t>FACULTY OF COMPUTER SCIENCE AND INFORMATION TECHNOLOGY</w:t>
      </w:r>
    </w:p>
    <w:p>
      <w:pPr>
        <w:pStyle w:val="Normal"/>
        <w:spacing w:lineRule="auto" w:line="360" w:before="0" w:after="200"/>
        <w:jc w:val="center"/>
        <w:rPr/>
        <w:sectPr>
          <w:footerReference w:type="even" r:id="rId3"/>
          <w:footerReference w:type="default" r:id="rId4"/>
          <w:footerReference w:type="first" r:id="rId5"/>
          <w:type w:val="nextPage"/>
          <w:pgSz w:w="11906" w:h="16838"/>
          <w:pgMar w:left="1800" w:right="1440" w:gutter="0" w:header="0" w:top="1440" w:footer="720" w:bottom="1440"/>
          <w:pgNumType w:start="1" w:fmt="upperRoman"/>
          <w:formProt w:val="false"/>
          <w:textDirection w:val="lrTb"/>
          <w:docGrid w:type="default" w:linePitch="360" w:charSpace="0"/>
        </w:sectPr>
      </w:pPr>
      <w:r>
        <w:rPr>
          <w:rFonts w:cs="Times New Roman"/>
          <w:b w:val="false"/>
          <w:i w:val="false"/>
          <w:sz w:val="28"/>
        </w:rPr>
        <w:t>THE SUPERIOR UNIVERSITY, LAHORE</w:t>
      </w:r>
    </w:p>
    <w:p>
      <w:pPr>
        <w:pStyle w:val="Normal"/>
        <w:numPr>
          <w:ilvl w:val="0"/>
          <w:numId w:val="0"/>
        </w:numPr>
        <w:spacing w:lineRule="auto" w:line="360" w:before="0" w:after="360"/>
        <w:jc w:val="center"/>
        <w:outlineLvl w:val="0"/>
        <w:rPr/>
      </w:pPr>
      <w:bookmarkStart w:id="0" w:name="__RefHeading___Toc408_2726808859"/>
      <w:bookmarkEnd w:id="0"/>
      <w:r>
        <w:rPr>
          <w:rFonts w:cs="Times New Roman"/>
          <w:b/>
          <w:i w:val="false"/>
          <w:sz w:val="32"/>
        </w:rPr>
        <w:t>AUTHOR'S DECLARATION</w:t>
      </w:r>
    </w:p>
    <w:p>
      <w:pPr>
        <w:pStyle w:val="Normal"/>
        <w:spacing w:lineRule="auto" w:line="360" w:before="0" w:after="120"/>
        <w:jc w:val="both"/>
        <w:rPr/>
      </w:pPr>
      <w:r>
        <w:rPr>
          <w:rFonts w:cs="Times New Roman"/>
          <w:b w:val="false"/>
          <w:i w:val="false"/>
          <w:sz w:val="24"/>
        </w:rPr>
        <w:t>I, Adeel Gill, a student of “MS Artificial Intelligence” at the “Faculty Of Computer Science And Information Technology”, The Superior University, Lahore, hereby declare that this thesis titled, “An Agentic AI Framework for Intelligent Patient Monitoring and Clinical Decision Support” is my own research work and has not been submitted, published, or printed elsewhere in Pakistan or abroad. Additionally, I will not use this thesis to obtain any degree other than the one stated above.</w:t>
      </w:r>
    </w:p>
    <w:p>
      <w:pPr>
        <w:pStyle w:val="Normal"/>
        <w:spacing w:lineRule="auto" w:line="360" w:before="0" w:after="120"/>
        <w:jc w:val="both"/>
        <w:rPr/>
      </w:pPr>
      <w:r>
        <w:rPr>
          <w:rFonts w:cs="Times New Roman"/>
          <w:b w:val="false"/>
          <w:i w:val="false"/>
          <w:sz w:val="24"/>
        </w:rPr>
        <w:t>I fully understand that if my statement is found to be incorrect at any stage, including after the award of the degree, the university has the right to revoke my MS/M.Phil degree.</w:t>
      </w:r>
    </w:p>
    <w:p>
      <w:pPr>
        <w:pStyle w:val="Normal"/>
        <w:spacing w:lineRule="auto" w:line="360" w:before="0" w:after="0"/>
        <w:jc w:val="both"/>
        <w:rPr/>
      </w:pPr>
      <w:r>
        <w:rPr/>
      </w:r>
    </w:p>
    <w:p>
      <w:pPr>
        <w:pStyle w:val="Normal"/>
        <w:spacing w:lineRule="auto" w:line="360" w:before="0" w:after="0"/>
        <w:jc w:val="both"/>
        <w:rPr/>
      </w:pPr>
      <w:r>
        <w:rPr/>
      </w:r>
    </w:p>
    <w:p>
      <w:pPr>
        <w:pStyle w:val="Normal"/>
        <w:spacing w:lineRule="auto" w:line="360" w:before="0" w:after="120"/>
        <w:jc w:val="left"/>
        <w:rPr/>
      </w:pPr>
      <w:r>
        <w:rPr>
          <w:rFonts w:cs="Times New Roman"/>
          <w:b w:val="false"/>
          <w:i w:val="false"/>
          <w:sz w:val="24"/>
        </w:rPr>
        <w:t>Signature of Student: ____________________________</w:t>
      </w:r>
    </w:p>
    <w:p>
      <w:pPr>
        <w:pStyle w:val="Normal"/>
        <w:spacing w:lineRule="auto" w:line="360" w:before="0" w:after="120"/>
        <w:jc w:val="left"/>
        <w:rPr/>
      </w:pPr>
      <w:r>
        <w:rPr>
          <w:rFonts w:cs="Times New Roman"/>
          <w:b w:val="false"/>
          <w:i w:val="false"/>
          <w:sz w:val="24"/>
        </w:rPr>
        <w:t>Name of Student:      Adeel Gill ____________________________</w:t>
      </w:r>
    </w:p>
    <w:p>
      <w:pPr>
        <w:pStyle w:val="Normal"/>
        <w:spacing w:lineRule="auto" w:line="360" w:before="0" w:after="120"/>
        <w:jc w:val="left"/>
        <w:rPr/>
      </w:pPr>
      <w:r>
        <w:rPr>
          <w:rFonts w:cs="Times New Roman"/>
          <w:b w:val="false"/>
          <w:i w:val="false"/>
          <w:sz w:val="24"/>
        </w:rPr>
        <w:t>Roll Number:          SU92-MSAIW-S25-011 ____________________________</w:t>
      </w:r>
    </w:p>
    <w:p>
      <w:pPr>
        <w:pStyle w:val="Normal"/>
        <w:spacing w:lineRule="auto" w:line="360" w:before="0" w:after="120"/>
        <w:jc w:val="left"/>
        <w:rPr/>
      </w:pPr>
      <w:r>
        <w:rPr>
          <w:rFonts w:cs="Times New Roman"/>
          <w:b w:val="false"/>
          <w:i w:val="false"/>
          <w:sz w:val="24"/>
        </w:rPr>
        <w:t>Date: ____________________________</w:t>
      </w:r>
    </w:p>
    <w:p>
      <w:pPr>
        <w:pStyle w:val="Normal"/>
        <w:rPr/>
      </w:pPr>
      <w:r>
        <w:rPr/>
      </w:r>
      <w:r>
        <w:br w:type="page"/>
      </w:r>
    </w:p>
    <w:p>
      <w:pPr>
        <w:pStyle w:val="Normal"/>
        <w:numPr>
          <w:ilvl w:val="0"/>
          <w:numId w:val="0"/>
        </w:numPr>
        <w:spacing w:lineRule="auto" w:line="360" w:before="0" w:after="360"/>
        <w:jc w:val="center"/>
        <w:outlineLvl w:val="0"/>
        <w:rPr/>
      </w:pPr>
      <w:bookmarkStart w:id="1" w:name="__RefHeading___Toc410_2726808859"/>
      <w:bookmarkEnd w:id="1"/>
      <w:r>
        <w:rPr>
          <w:rFonts w:cs="Times New Roman"/>
          <w:b/>
          <w:i w:val="false"/>
          <w:sz w:val="32"/>
        </w:rPr>
        <w:t>PLAGIARISM UNDERTAKING</w:t>
      </w:r>
    </w:p>
    <w:p>
      <w:pPr>
        <w:pStyle w:val="Normal"/>
        <w:spacing w:lineRule="auto" w:line="360" w:before="0" w:after="120"/>
        <w:jc w:val="both"/>
        <w:rPr/>
      </w:pPr>
      <w:r>
        <w:rPr>
          <w:rFonts w:cs="Times New Roman"/>
          <w:b w:val="false"/>
          <w:i w:val="false"/>
          <w:sz w:val="24"/>
        </w:rPr>
        <w:t>I solemnly declare that the research work presented in this thesis titled, “An Agentic AI Framework for Intelligent Patient Monitoring and Clinical Decision Support” is solely my research work, and that the entire thesis has been completed by me, with no significant contribution from any other person or institution. Any small contribution, wherever taken, has been duly acknowledged.</w:t>
      </w:r>
    </w:p>
    <w:p>
      <w:pPr>
        <w:pStyle w:val="Normal"/>
        <w:spacing w:lineRule="auto" w:line="360" w:before="0" w:after="120"/>
        <w:jc w:val="both"/>
        <w:rPr/>
      </w:pPr>
      <w:r>
        <w:rPr>
          <w:rFonts w:cs="Times New Roman"/>
          <w:b w:val="false"/>
          <w:i w:val="false"/>
          <w:sz w:val="24"/>
        </w:rPr>
        <w:t>I understand the zero-tolerance policy of the HEC and Superior University, Lahore, towards plagiarism. Therefore, I, as the author of the above-titled thesis, declare that no portion of my thesis has been plagiarized and that all material used from other sources has been properly acknowledged, cited, and referenced.</w:t>
      </w:r>
    </w:p>
    <w:p>
      <w:pPr>
        <w:pStyle w:val="Normal"/>
        <w:spacing w:lineRule="auto" w:line="360" w:before="0" w:after="120"/>
        <w:jc w:val="both"/>
        <w:rPr/>
      </w:pPr>
      <w:r>
        <w:rPr>
          <w:rFonts w:cs="Times New Roman"/>
          <w:b w:val="false"/>
          <w:i w:val="false"/>
          <w:sz w:val="24"/>
        </w:rPr>
        <w:t>I undertake that if I am found guilty of any formal plagiarism in the above titled thesis, even after the award of the MS/M.Phil degree, the University reserves the right to revoke my degree, and that HEC and the University have the right to publish my name on the HEC/University website for submitting a plagiarized thesis.</w:t>
      </w:r>
    </w:p>
    <w:p>
      <w:pPr>
        <w:pStyle w:val="Normal"/>
        <w:spacing w:lineRule="auto" w:line="360" w:before="0" w:after="0"/>
        <w:jc w:val="both"/>
        <w:rPr/>
      </w:pPr>
      <w:r>
        <w:rPr/>
      </w:r>
    </w:p>
    <w:p>
      <w:pPr>
        <w:pStyle w:val="Normal"/>
        <w:spacing w:lineRule="auto" w:line="360" w:before="0" w:after="120"/>
        <w:jc w:val="left"/>
        <w:rPr/>
      </w:pPr>
      <w:r>
        <w:rPr>
          <w:rFonts w:cs="Times New Roman"/>
          <w:b w:val="false"/>
          <w:i w:val="false"/>
          <w:sz w:val="24"/>
        </w:rPr>
        <w:t>Signature of Student: ____________________________</w:t>
      </w:r>
    </w:p>
    <w:p>
      <w:pPr>
        <w:pStyle w:val="Normal"/>
        <w:spacing w:lineRule="auto" w:line="360" w:before="0" w:after="120"/>
        <w:jc w:val="left"/>
        <w:rPr/>
      </w:pPr>
      <w:r>
        <w:rPr>
          <w:rFonts w:cs="Times New Roman"/>
          <w:b w:val="false"/>
          <w:i w:val="false"/>
          <w:sz w:val="24"/>
        </w:rPr>
        <w:t>Name of Student:      Adeel Gill ____________________________</w:t>
      </w:r>
    </w:p>
    <w:p>
      <w:pPr>
        <w:pStyle w:val="Normal"/>
        <w:spacing w:lineRule="auto" w:line="360" w:before="0" w:after="0"/>
        <w:jc w:val="both"/>
        <w:rPr/>
      </w:pPr>
      <w:r>
        <w:rPr/>
      </w:r>
    </w:p>
    <w:p>
      <w:pPr>
        <w:pStyle w:val="Normal"/>
        <w:spacing w:lineRule="auto" w:line="360" w:before="0" w:after="120"/>
        <w:jc w:val="left"/>
        <w:rPr/>
      </w:pPr>
      <w:r>
        <w:rPr>
          <w:rFonts w:cs="Times New Roman"/>
          <w:b w:val="false"/>
          <w:i w:val="false"/>
          <w:sz w:val="24"/>
        </w:rPr>
        <w:t>Signature Supervisor: ____________________________</w:t>
      </w:r>
    </w:p>
    <w:p>
      <w:pPr>
        <w:pStyle w:val="Normal"/>
        <w:spacing w:lineRule="auto" w:line="360" w:before="0" w:after="120"/>
        <w:jc w:val="left"/>
        <w:rPr/>
      </w:pPr>
      <w:r>
        <w:rPr>
          <w:rFonts w:cs="Times New Roman"/>
          <w:b w:val="false"/>
          <w:i w:val="false"/>
          <w:sz w:val="24"/>
        </w:rPr>
        <w:t>Supervisor Name:      Dr. Fawad Nasim ____________________________</w:t>
      </w:r>
    </w:p>
    <w:p>
      <w:pPr>
        <w:pStyle w:val="Normal"/>
        <w:rPr/>
      </w:pPr>
      <w:r>
        <w:rPr/>
      </w:r>
      <w:r>
        <w:br w:type="page"/>
      </w:r>
    </w:p>
    <w:p>
      <w:pPr>
        <w:pStyle w:val="Normal"/>
        <w:numPr>
          <w:ilvl w:val="0"/>
          <w:numId w:val="0"/>
        </w:numPr>
        <w:spacing w:lineRule="auto" w:line="360" w:before="0" w:after="360"/>
        <w:jc w:val="center"/>
        <w:outlineLvl w:val="0"/>
        <w:rPr/>
      </w:pPr>
      <w:bookmarkStart w:id="2" w:name="__RefHeading___Toc412_2726808859"/>
      <w:bookmarkEnd w:id="2"/>
      <w:r>
        <w:rPr>
          <w:rFonts w:cs="Times New Roman"/>
          <w:b/>
          <w:i w:val="false"/>
          <w:sz w:val="32"/>
        </w:rPr>
        <w:t>CERTIFICATE OF RESEARCH COMPLETION</w:t>
      </w:r>
    </w:p>
    <w:p>
      <w:pPr>
        <w:pStyle w:val="Normal"/>
        <w:spacing w:lineRule="auto" w:line="360" w:before="0" w:after="120"/>
        <w:jc w:val="both"/>
        <w:rPr/>
      </w:pPr>
      <w:r>
        <w:rPr>
          <w:rFonts w:cs="Times New Roman"/>
          <w:b w:val="false"/>
          <w:i w:val="false"/>
          <w:sz w:val="24"/>
        </w:rPr>
        <w:t>It is certified that this thesis titled, “An Agentic AI Framework for Intelligent Patient Monitoring and Clinical Decision Support”, submitted by Adeel Gill, Roll No. SU92-MSAIW-S25-011, for the MS/M.Phil “Artificial Intelligence” at the “Faculty Of Computer Science And Information Technology”, Superior University, is an original research work and contains satisfactory material to be eligible for evaluation by the Examiner(s) for the award of the above-stated degree.</w:t>
      </w:r>
    </w:p>
    <w:p>
      <w:pPr>
        <w:pStyle w:val="Normal"/>
        <w:spacing w:lineRule="auto" w:line="360" w:before="0" w:after="120"/>
        <w:jc w:val="both"/>
        <w:rPr/>
      </w:pPr>
      <w:r>
        <w:rPr>
          <w:rFonts w:cs="Times New Roman"/>
          <w:b w:val="false"/>
          <w:i w:val="false"/>
          <w:sz w:val="24"/>
        </w:rPr>
        <w:t>No part of this dissertation has been submitted anywhere else for any other degree.</w:t>
      </w:r>
    </w:p>
    <w:p>
      <w:pPr>
        <w:pStyle w:val="Normal"/>
        <w:spacing w:lineRule="auto" w:line="360" w:before="0" w:after="0"/>
        <w:jc w:val="both"/>
        <w:rPr/>
      </w:pPr>
      <w:r>
        <w:rPr/>
      </w:r>
    </w:p>
    <w:p>
      <w:pPr>
        <w:pStyle w:val="Normal"/>
        <w:spacing w:lineRule="auto" w:line="360" w:before="0" w:after="120"/>
        <w:jc w:val="left"/>
        <w:rPr/>
      </w:pPr>
      <w:r>
        <w:rPr>
          <w:rFonts w:cs="Times New Roman"/>
          <w:b w:val="false"/>
          <w:i w:val="false"/>
          <w:sz w:val="24"/>
        </w:rPr>
        <w:t>Supervisor's Signature: ____________________________</w:t>
      </w:r>
    </w:p>
    <w:p>
      <w:pPr>
        <w:pStyle w:val="Normal"/>
        <w:spacing w:lineRule="auto" w:line="360" w:before="0" w:after="120"/>
        <w:jc w:val="left"/>
        <w:rPr/>
      </w:pPr>
      <w:r>
        <w:rPr>
          <w:rFonts w:cs="Times New Roman"/>
          <w:b w:val="false"/>
          <w:i w:val="false"/>
          <w:sz w:val="24"/>
        </w:rPr>
        <w:t>Supervisor's Name:     Dr. Fawad Nasim ____________________________</w:t>
      </w:r>
    </w:p>
    <w:p>
      <w:pPr>
        <w:pStyle w:val="Normal"/>
        <w:spacing w:lineRule="auto" w:line="360" w:before="0" w:after="120"/>
        <w:jc w:val="both"/>
        <w:rPr/>
      </w:pPr>
      <w:r>
        <w:rPr>
          <w:rFonts w:cs="Times New Roman"/>
          <w:b w:val="false"/>
          <w:i w:val="false"/>
          <w:sz w:val="24"/>
        </w:rPr>
        <w:t>Designation:</w:t>
      </w:r>
    </w:p>
    <w:p>
      <w:pPr>
        <w:pStyle w:val="Normal"/>
        <w:spacing w:lineRule="auto" w:line="360" w:before="0" w:after="0"/>
        <w:jc w:val="both"/>
        <w:rPr/>
      </w:pPr>
      <w:r>
        <w:rPr/>
      </w:r>
    </w:p>
    <w:p>
      <w:pPr>
        <w:pStyle w:val="Normal"/>
        <w:spacing w:lineRule="auto" w:line="360" w:before="0" w:after="120"/>
        <w:jc w:val="left"/>
        <w:rPr/>
      </w:pPr>
      <w:r>
        <w:rPr>
          <w:rFonts w:cs="Times New Roman"/>
          <w:b w:val="false"/>
          <w:i w:val="false"/>
          <w:sz w:val="24"/>
        </w:rPr>
        <w:t>Co-Supervisor's Signature: ____________________________</w:t>
      </w:r>
    </w:p>
    <w:p>
      <w:pPr>
        <w:pStyle w:val="Normal"/>
        <w:spacing w:lineRule="auto" w:line="360" w:before="0" w:after="120"/>
        <w:jc w:val="left"/>
        <w:rPr/>
      </w:pPr>
      <w:r>
        <w:rPr>
          <w:rFonts w:cs="Times New Roman"/>
          <w:b w:val="false"/>
          <w:i w:val="false"/>
          <w:sz w:val="24"/>
        </w:rPr>
        <w:t>Co-Supervisor's Name: ____________________________</w:t>
      </w:r>
    </w:p>
    <w:p>
      <w:pPr>
        <w:pStyle w:val="Normal"/>
        <w:spacing w:lineRule="auto" w:line="360" w:before="0" w:after="120"/>
        <w:jc w:val="both"/>
        <w:rPr/>
      </w:pPr>
      <w:r>
        <w:rPr>
          <w:rFonts w:cs="Times New Roman"/>
          <w:b w:val="false"/>
          <w:i w:val="false"/>
          <w:sz w:val="24"/>
        </w:rPr>
        <w:t>Designation:</w:t>
      </w:r>
    </w:p>
    <w:p>
      <w:pPr>
        <w:pStyle w:val="Normal"/>
        <w:rPr/>
      </w:pPr>
      <w:r>
        <w:rPr/>
      </w:r>
      <w:r>
        <w:br w:type="page"/>
      </w:r>
    </w:p>
    <w:p>
      <w:pPr>
        <w:pStyle w:val="Normal"/>
        <w:numPr>
          <w:ilvl w:val="0"/>
          <w:numId w:val="0"/>
        </w:numPr>
        <w:spacing w:lineRule="auto" w:line="360" w:before="0" w:after="360"/>
        <w:jc w:val="center"/>
        <w:outlineLvl w:val="0"/>
        <w:rPr/>
      </w:pPr>
      <w:bookmarkStart w:id="3" w:name="__RefHeading___Toc414_2726808859"/>
      <w:bookmarkEnd w:id="3"/>
      <w:r>
        <w:rPr>
          <w:rFonts w:cs="Times New Roman"/>
          <w:b/>
          <w:i w:val="false"/>
          <w:sz w:val="32"/>
        </w:rPr>
        <w:t>CERTIFICATE OF APPROVAL</w:t>
      </w:r>
    </w:p>
    <w:p>
      <w:pPr>
        <w:pStyle w:val="Normal"/>
        <w:spacing w:lineRule="auto" w:line="360" w:before="0" w:after="120"/>
        <w:jc w:val="both"/>
        <w:rPr/>
      </w:pPr>
      <w:r>
        <w:rPr>
          <w:rFonts w:cs="Times New Roman"/>
          <w:b w:val="false"/>
          <w:i w:val="false"/>
          <w:sz w:val="24"/>
        </w:rPr>
        <w:t>It is certified that the research work contained in this thesis, titled “An Agentic AI Framework for Intelligent Patient Monitoring and Clinical Decision Support”, was conducted by Adeel Gill under the supervision of Dr. Fawad Nasim and is adequate for the award of “Master Of Science in Artificial Intelligence”.</w:t>
      </w:r>
    </w:p>
    <w:p>
      <w:pPr>
        <w:pStyle w:val="Normal"/>
        <w:spacing w:lineRule="auto" w:line="360" w:before="0" w:after="120"/>
        <w:jc w:val="both"/>
        <w:rPr/>
      </w:pPr>
      <w:r>
        <w:rPr>
          <w:rFonts w:cs="Times New Roman"/>
          <w:b w:val="false"/>
          <w:i w:val="false"/>
          <w:sz w:val="24"/>
        </w:rPr>
        <w:t>No part of this thesis has been submitted anywhere else to any other degree. This thesis is submitted to the “Faculty Of Computer Science And Information Technology”, The Superior University, Lahore, in partial fulfillment of the requirements for the degree.</w:t>
      </w:r>
    </w:p>
    <w:p>
      <w:pPr>
        <w:pStyle w:val="Normal"/>
        <w:spacing w:lineRule="auto" w:line="360" w:before="0" w:after="0"/>
        <w:jc w:val="both"/>
        <w:rPr/>
      </w:pPr>
      <w:r>
        <w:rPr/>
      </w:r>
    </w:p>
    <w:p>
      <w:pPr>
        <w:pStyle w:val="Normal"/>
        <w:spacing w:lineRule="auto" w:line="360" w:before="0" w:after="120"/>
        <w:jc w:val="both"/>
        <w:rPr/>
      </w:pPr>
      <w:r>
        <w:rPr>
          <w:rFonts w:cs="Times New Roman"/>
          <w:b w:val="false"/>
          <w:i w:val="false"/>
          <w:sz w:val="24"/>
        </w:rPr>
        <w:t>Student Name: Adeel Gill     Signature: ____________________</w:t>
      </w:r>
    </w:p>
    <w:p>
      <w:pPr>
        <w:pStyle w:val="Normal"/>
        <w:spacing w:lineRule="auto" w:line="360" w:before="0" w:after="120"/>
        <w:jc w:val="both"/>
        <w:rPr/>
      </w:pPr>
      <w:r>
        <w:rPr>
          <w:rFonts w:cs="Times New Roman"/>
          <w:b/>
          <w:i w:val="false"/>
          <w:sz w:val="24"/>
        </w:rPr>
        <w:t>Examination Committee:</w:t>
      </w:r>
    </w:p>
    <w:p>
      <w:pPr>
        <w:pStyle w:val="Normal"/>
        <w:spacing w:lineRule="auto" w:line="360" w:before="0" w:after="120"/>
        <w:jc w:val="both"/>
        <w:rPr/>
      </w:pPr>
      <w:r>
        <w:rPr>
          <w:rFonts w:cs="Times New Roman"/>
          <w:b w:val="false"/>
          <w:i w:val="false"/>
          <w:sz w:val="24"/>
        </w:rPr>
        <w:t>a) Session Chair:     Signature: ____________________</w:t>
      </w:r>
    </w:p>
    <w:p>
      <w:pPr>
        <w:pStyle w:val="Normal"/>
        <w:spacing w:lineRule="auto" w:line="360" w:before="0" w:after="120"/>
        <w:jc w:val="both"/>
        <w:rPr/>
      </w:pPr>
      <w:r>
        <w:rPr>
          <w:rFonts w:cs="Times New Roman"/>
          <w:b w:val="false"/>
          <w:i w:val="false"/>
          <w:sz w:val="24"/>
        </w:rPr>
        <w:t>b) External Examiner (Name / Designation / University):     Signature: ____________________</w:t>
      </w:r>
    </w:p>
    <w:p>
      <w:pPr>
        <w:pStyle w:val="Normal"/>
        <w:spacing w:lineRule="auto" w:line="360" w:before="0" w:after="120"/>
        <w:jc w:val="both"/>
        <w:rPr/>
      </w:pPr>
      <w:r>
        <w:rPr>
          <w:rFonts w:cs="Times New Roman"/>
          <w:b w:val="false"/>
          <w:i w:val="false"/>
          <w:sz w:val="24"/>
        </w:rPr>
        <w:t>c) Internal Examiner (Name / Designation / University):     Signature: ____________________</w:t>
      </w:r>
    </w:p>
    <w:p>
      <w:pPr>
        <w:pStyle w:val="Normal"/>
        <w:spacing w:lineRule="auto" w:line="360" w:before="0" w:after="120"/>
        <w:jc w:val="both"/>
        <w:rPr/>
      </w:pPr>
      <w:r>
        <w:rPr>
          <w:rFonts w:cs="Times New Roman"/>
          <w:b w:val="false"/>
          <w:i w:val="false"/>
          <w:sz w:val="24"/>
        </w:rPr>
        <w:t>d) Supervisor:     Signature: ____________________</w:t>
      </w:r>
    </w:p>
    <w:p>
      <w:pPr>
        <w:pStyle w:val="Normal"/>
        <w:spacing w:lineRule="auto" w:line="360" w:before="0" w:after="120"/>
        <w:jc w:val="both"/>
        <w:rPr/>
      </w:pPr>
      <w:r>
        <w:rPr>
          <w:rFonts w:cs="Times New Roman"/>
          <w:b w:val="false"/>
          <w:i w:val="false"/>
          <w:sz w:val="24"/>
        </w:rPr>
        <w:t>e) Head of Department:     Signature: ____________________</w:t>
      </w:r>
    </w:p>
    <w:p>
      <w:pPr>
        <w:pStyle w:val="Normal"/>
        <w:spacing w:lineRule="auto" w:line="360" w:before="0" w:after="120"/>
        <w:jc w:val="both"/>
        <w:rPr/>
      </w:pPr>
      <w:r>
        <w:rPr>
          <w:rFonts w:cs="Times New Roman"/>
          <w:b w:val="false"/>
          <w:i w:val="false"/>
          <w:sz w:val="24"/>
        </w:rPr>
        <w:t>f) Dean:     Signature: ____________________</w:t>
      </w:r>
    </w:p>
    <w:p>
      <w:pPr>
        <w:pStyle w:val="Normal"/>
        <w:spacing w:lineRule="auto" w:line="360" w:before="0" w:after="120"/>
        <w:jc w:val="both"/>
        <w:rPr/>
      </w:pPr>
      <w:r>
        <w:rPr>
          <w:rFonts w:cs="Times New Roman"/>
          <w:b w:val="false"/>
          <w:i w:val="false"/>
          <w:sz w:val="24"/>
        </w:rPr>
        <w:t>g) COE:     Signature: ____________________</w:t>
      </w:r>
    </w:p>
    <w:p>
      <w:pPr>
        <w:pStyle w:val="Normal"/>
        <w:rPr/>
      </w:pPr>
      <w:r>
        <w:rPr/>
      </w:r>
      <w:r>
        <w:br w:type="page"/>
      </w:r>
    </w:p>
    <w:p>
      <w:pPr>
        <w:pStyle w:val="Normal"/>
        <w:numPr>
          <w:ilvl w:val="0"/>
          <w:numId w:val="0"/>
        </w:numPr>
        <w:spacing w:lineRule="auto" w:line="360" w:before="0" w:after="360"/>
        <w:jc w:val="center"/>
        <w:outlineLvl w:val="0"/>
        <w:rPr/>
      </w:pPr>
      <w:bookmarkStart w:id="4" w:name="__RefHeading___Toc416_2726808859"/>
      <w:bookmarkEnd w:id="4"/>
      <w:r>
        <w:rPr>
          <w:rFonts w:cs="Times New Roman"/>
          <w:b/>
          <w:i w:val="false"/>
          <w:sz w:val="32"/>
        </w:rPr>
        <w:t>DEDICATION</w:t>
      </w:r>
    </w:p>
    <w:p>
      <w:pPr>
        <w:pStyle w:val="Normal"/>
        <w:spacing w:lineRule="auto" w:line="360" w:before="0" w:after="120"/>
        <w:jc w:val="center"/>
        <w:rPr/>
      </w:pPr>
      <w:r>
        <w:rPr>
          <w:rFonts w:cs="Times New Roman"/>
          <w:b w:val="false"/>
          <w:i/>
          <w:sz w:val="24"/>
        </w:rPr>
        <w:t>To my parents and family.</w:t>
      </w:r>
    </w:p>
    <w:p>
      <w:pPr>
        <w:pStyle w:val="Normal"/>
        <w:rPr/>
      </w:pPr>
      <w:r>
        <w:rPr/>
      </w:r>
      <w:r>
        <w:br w:type="page"/>
      </w:r>
    </w:p>
    <w:p>
      <w:pPr>
        <w:pStyle w:val="Normal"/>
        <w:numPr>
          <w:ilvl w:val="0"/>
          <w:numId w:val="0"/>
        </w:numPr>
        <w:spacing w:lineRule="auto" w:line="360" w:before="0" w:after="360"/>
        <w:jc w:val="center"/>
        <w:outlineLvl w:val="0"/>
        <w:rPr/>
      </w:pPr>
      <w:bookmarkStart w:id="5" w:name="__RefHeading___Toc418_2726808859"/>
      <w:bookmarkEnd w:id="5"/>
      <w:r>
        <w:rPr>
          <w:rFonts w:cs="Times New Roman"/>
          <w:b/>
          <w:i w:val="false"/>
          <w:sz w:val="32"/>
        </w:rPr>
        <w:t>ACKNOWLEDGEMENTS</w:t>
      </w:r>
    </w:p>
    <w:p>
      <w:pPr>
        <w:pStyle w:val="Normal"/>
        <w:spacing w:lineRule="auto" w:line="360" w:before="0" w:after="120"/>
        <w:jc w:val="both"/>
        <w:rPr/>
      </w:pPr>
      <w:r>
        <w:rPr>
          <w:rFonts w:cs="Times New Roman"/>
          <w:b w:val="false"/>
          <w:i w:val="false"/>
          <w:sz w:val="24"/>
        </w:rPr>
        <w:t>I am deeply grateful to my supervisor, Dr. Fawad Nasim, for the invaluable guidance, encouragement, and continuous support provided throughout this research, which shaped both the direction and the rigor of this work.</w:t>
      </w:r>
    </w:p>
    <w:p>
      <w:pPr>
        <w:pStyle w:val="Normal"/>
        <w:spacing w:lineRule="auto" w:line="360" w:before="0" w:after="120"/>
        <w:jc w:val="both"/>
        <w:rPr/>
      </w:pPr>
      <w:r>
        <w:rPr>
          <w:rFonts w:cs="Times New Roman"/>
          <w:b w:val="false"/>
          <w:i w:val="false"/>
          <w:sz w:val="24"/>
        </w:rPr>
        <w:t>I also thank the faculty and staff of the Department of Computer Science, The Superior University, Lahore, for the academic environment and resources that made this study possible. Finally, I thank my family for their patience and unwavering support throughout my studies.</w:t>
      </w:r>
    </w:p>
    <w:p>
      <w:pPr>
        <w:pStyle w:val="Normal"/>
        <w:rPr/>
      </w:pPr>
      <w:r>
        <w:rPr/>
      </w:r>
      <w:r>
        <w:br w:type="page"/>
      </w:r>
    </w:p>
    <w:p>
      <w:pPr>
        <w:pStyle w:val="Normal"/>
        <w:spacing w:lineRule="auto" w:line="360" w:before="0" w:after="360"/>
        <w:jc w:val="center"/>
        <w:rPr/>
      </w:pPr>
      <w:r>
        <w:rPr>
          <w:rFonts w:cs="Times New Roman"/>
          <w:b/>
          <w:i w:val="false"/>
          <w:sz w:val="32"/>
        </w:rPr>
        <w:t>TABLE OF CONTENTS</w:t>
      </w:r>
    </w:p>
    <w:sdt>
      <w:sdtPr>
        <w:docPartObj>
          <w:docPartGallery w:val="Table of Contents"/>
          <w:docPartUnique w:val="true"/>
        </w:docPartObj>
      </w:sdtPr>
      <w:sdtContent>
        <w:p>
          <w:pPr>
            <w:pStyle w:val="TOC1"/>
            <w:tabs>
              <w:tab w:val="clear" w:pos="8666"/>
              <w:tab w:val="right" w:pos="8665" w:leader="dot"/>
            </w:tabs>
            <w:rPr/>
          </w:pPr>
          <w:r>
            <w:fldChar w:fldCharType="begin"/>
          </w:r>
          <w:r>
            <w:rPr>
              <w:rStyle w:val="IndexLink"/>
              <w:i w:val="false"/>
              <w:webHidden/>
            </w:rPr>
            <w:instrText xml:space="preserve"> TOC \z \o "1-3" \u \h</w:instrText>
          </w:r>
          <w:r>
            <w:rPr>
              <w:rStyle w:val="IndexLink"/>
              <w:i w:val="false"/>
              <w:webHidden/>
            </w:rPr>
            <w:fldChar w:fldCharType="separate"/>
          </w:r>
          <w:hyperlink w:anchor="__RefHeading___Toc408_2726808859" w:tooltip="AUTHOR'S DECLARATION">
            <w:r>
              <w:rPr>
                <w:rStyle w:val="IndexLink"/>
                <w:i w:val="false"/>
                <w:webHidden/>
              </w:rPr>
              <w:t>AUTHOR'S DECLARATION</w:t>
            </w:r>
            <w:r>
              <w:rPr>
                <w:rStyle w:val="IndexLink"/>
              </w:rPr>
              <w:tab/>
              <w:t>I</w:t>
            </w:r>
          </w:hyperlink>
        </w:p>
        <w:p>
          <w:pPr>
            <w:pStyle w:val="TOC1"/>
            <w:tabs>
              <w:tab w:val="clear" w:pos="8666"/>
              <w:tab w:val="right" w:pos="8665" w:leader="dot"/>
            </w:tabs>
            <w:rPr/>
          </w:pPr>
          <w:hyperlink w:anchor="__RefHeading___Toc410_2726808859" w:tooltip="PLAGIARISM UNDERTAKING">
            <w:r>
              <w:rPr>
                <w:rStyle w:val="IndexLink"/>
                <w:i w:val="false"/>
                <w:webHidden/>
              </w:rPr>
              <w:t>PLAGIARISM UNDERTAKING</w:t>
            </w:r>
            <w:r>
              <w:rPr>
                <w:rStyle w:val="IndexLink"/>
              </w:rPr>
              <w:tab/>
              <w:t>II</w:t>
            </w:r>
          </w:hyperlink>
        </w:p>
        <w:p>
          <w:pPr>
            <w:pStyle w:val="TOC1"/>
            <w:tabs>
              <w:tab w:val="clear" w:pos="8666"/>
              <w:tab w:val="right" w:pos="8665" w:leader="dot"/>
            </w:tabs>
            <w:rPr/>
          </w:pPr>
          <w:hyperlink w:anchor="__RefHeading___Toc412_2726808859" w:tooltip="CERTIFICATE OF RESEARCH COMPLETION">
            <w:r>
              <w:rPr>
                <w:rStyle w:val="IndexLink"/>
                <w:i w:val="false"/>
                <w:webHidden/>
              </w:rPr>
              <w:t>CERTIFICATE OF RESEARCH COMPLETION</w:t>
            </w:r>
            <w:r>
              <w:rPr>
                <w:rStyle w:val="IndexLink"/>
              </w:rPr>
              <w:tab/>
              <w:t>III</w:t>
            </w:r>
          </w:hyperlink>
        </w:p>
        <w:p>
          <w:pPr>
            <w:pStyle w:val="TOC1"/>
            <w:tabs>
              <w:tab w:val="clear" w:pos="8666"/>
              <w:tab w:val="right" w:pos="8665" w:leader="dot"/>
            </w:tabs>
            <w:rPr/>
          </w:pPr>
          <w:hyperlink w:anchor="__RefHeading___Toc414_2726808859" w:tooltip="CERTIFICATE OF APPROVAL">
            <w:r>
              <w:rPr>
                <w:rStyle w:val="IndexLink"/>
                <w:i w:val="false"/>
                <w:webHidden/>
              </w:rPr>
              <w:t>CERTIFICATE OF APPROVAL</w:t>
            </w:r>
            <w:r>
              <w:rPr>
                <w:rStyle w:val="IndexLink"/>
              </w:rPr>
              <w:tab/>
              <w:t>IV</w:t>
            </w:r>
          </w:hyperlink>
        </w:p>
        <w:p>
          <w:pPr>
            <w:pStyle w:val="TOC1"/>
            <w:tabs>
              <w:tab w:val="clear" w:pos="8666"/>
              <w:tab w:val="right" w:pos="8665" w:leader="dot"/>
            </w:tabs>
            <w:rPr/>
          </w:pPr>
          <w:hyperlink w:anchor="__RefHeading___Toc416_2726808859" w:tooltip="DEDICATION">
            <w:r>
              <w:rPr>
                <w:rStyle w:val="IndexLink"/>
                <w:i w:val="false"/>
                <w:webHidden/>
              </w:rPr>
              <w:t>DEDICATION</w:t>
            </w:r>
            <w:r>
              <w:rPr>
                <w:rStyle w:val="IndexLink"/>
              </w:rPr>
              <w:tab/>
              <w:t>V</w:t>
            </w:r>
          </w:hyperlink>
        </w:p>
        <w:p>
          <w:pPr>
            <w:pStyle w:val="TOC1"/>
            <w:tabs>
              <w:tab w:val="clear" w:pos="8666"/>
              <w:tab w:val="right" w:pos="8665" w:leader="dot"/>
            </w:tabs>
            <w:rPr/>
          </w:pPr>
          <w:hyperlink w:anchor="__RefHeading___Toc418_2726808859" w:tooltip="ACKNOWLEDGEMENTS">
            <w:r>
              <w:rPr>
                <w:rStyle w:val="IndexLink"/>
                <w:i w:val="false"/>
                <w:webHidden/>
              </w:rPr>
              <w:t>ACKNOWLEDGEMENTS</w:t>
            </w:r>
            <w:r>
              <w:rPr>
                <w:rStyle w:val="IndexLink"/>
              </w:rPr>
              <w:tab/>
              <w:t>VI</w:t>
            </w:r>
          </w:hyperlink>
        </w:p>
        <w:p>
          <w:pPr>
            <w:pStyle w:val="TOC1"/>
            <w:tabs>
              <w:tab w:val="clear" w:pos="8666"/>
              <w:tab w:val="right" w:pos="8665" w:leader="dot"/>
            </w:tabs>
            <w:rPr/>
          </w:pPr>
          <w:hyperlink w:anchor="__RefHeading___Toc420_2726808859" w:tooltip="LIST OF FIGURES">
            <w:r>
              <w:rPr>
                <w:rStyle w:val="IndexLink"/>
                <w:i w:val="false"/>
                <w:webHidden/>
              </w:rPr>
              <w:t>LIST OF FIGURES</w:t>
            </w:r>
            <w:r>
              <w:rPr>
                <w:rStyle w:val="IndexLink"/>
              </w:rPr>
              <w:tab/>
              <w:t>X</w:t>
            </w:r>
          </w:hyperlink>
        </w:p>
        <w:p>
          <w:pPr>
            <w:pStyle w:val="TOC1"/>
            <w:tabs>
              <w:tab w:val="clear" w:pos="8666"/>
              <w:tab w:val="right" w:pos="8665" w:leader="dot"/>
            </w:tabs>
            <w:rPr/>
          </w:pPr>
          <w:hyperlink w:anchor="__RefHeading___Toc422_2726808859" w:tooltip="LIST OF TABLES">
            <w:r>
              <w:rPr>
                <w:rStyle w:val="IndexLink"/>
                <w:i w:val="false"/>
                <w:webHidden/>
              </w:rPr>
              <w:t>LIST OF TABLES</w:t>
            </w:r>
            <w:r>
              <w:rPr>
                <w:rStyle w:val="IndexLink"/>
              </w:rPr>
              <w:tab/>
              <w:t>XI</w:t>
            </w:r>
          </w:hyperlink>
        </w:p>
        <w:p>
          <w:pPr>
            <w:pStyle w:val="TOC1"/>
            <w:tabs>
              <w:tab w:val="clear" w:pos="8666"/>
              <w:tab w:val="right" w:pos="8665" w:leader="dot"/>
            </w:tabs>
            <w:rPr/>
          </w:pPr>
          <w:hyperlink w:anchor="__RefHeading___Toc424_2726808859" w:tooltip="LIST OF ABBREVIATIONS AND ACRONYMS">
            <w:r>
              <w:rPr>
                <w:rStyle w:val="IndexLink"/>
                <w:i w:val="false"/>
                <w:webHidden/>
              </w:rPr>
              <w:t>LIST OF ABBREVIATIONS AND ACRONYMS</w:t>
            </w:r>
            <w:r>
              <w:rPr>
                <w:rStyle w:val="IndexLink"/>
              </w:rPr>
              <w:tab/>
              <w:t>XII</w:t>
            </w:r>
          </w:hyperlink>
        </w:p>
        <w:p>
          <w:pPr>
            <w:pStyle w:val="TOC1"/>
            <w:tabs>
              <w:tab w:val="clear" w:pos="8666"/>
              <w:tab w:val="right" w:pos="8665" w:leader="dot"/>
            </w:tabs>
            <w:rPr/>
          </w:pPr>
          <w:hyperlink w:anchor="__RefHeading___Toc426_2726808859" w:tooltip="ABSTRACT">
            <w:r>
              <w:rPr>
                <w:rStyle w:val="IndexLink"/>
                <w:i w:val="false"/>
                <w:webHidden/>
              </w:rPr>
              <w:t>ABSTRACT</w:t>
            </w:r>
            <w:r>
              <w:rPr>
                <w:rStyle w:val="IndexLink"/>
              </w:rPr>
              <w:tab/>
              <w:t>1</w:t>
            </w:r>
          </w:hyperlink>
        </w:p>
        <w:p>
          <w:pPr>
            <w:pStyle w:val="TOC1"/>
            <w:tabs>
              <w:tab w:val="clear" w:pos="8666"/>
              <w:tab w:val="right" w:pos="8665" w:leader="dot"/>
            </w:tabs>
            <w:rPr/>
          </w:pPr>
          <w:hyperlink w:anchor="__RefHeading___Toc428_2726808859" w:tooltip="CHAPTER ONE">
            <w:r>
              <w:rPr>
                <w:rStyle w:val="IndexLink"/>
                <w:i w:val="false"/>
                <w:webHidden/>
              </w:rPr>
              <w:t>CHAPTER ONE</w:t>
            </w:r>
            <w:r>
              <w:rPr>
                <w:rStyle w:val="IndexLink"/>
              </w:rPr>
              <w:tab/>
              <w:t>2</w:t>
            </w:r>
          </w:hyperlink>
        </w:p>
        <w:p>
          <w:pPr>
            <w:pStyle w:val="TOC2"/>
            <w:tabs>
              <w:tab w:val="clear" w:pos="8383"/>
              <w:tab w:val="right" w:pos="8665" w:leader="dot"/>
            </w:tabs>
            <w:rPr/>
          </w:pPr>
          <w:hyperlink w:anchor="__RefHeading___Toc430_2726808859" w:tooltip="1.1 Background">
            <w:r>
              <w:rPr>
                <w:rStyle w:val="IndexLink"/>
                <w:i w:val="false"/>
                <w:webHidden/>
              </w:rPr>
              <w:t>1.1 Background</w:t>
            </w:r>
            <w:r>
              <w:rPr>
                <w:rStyle w:val="IndexLink"/>
              </w:rPr>
              <w:tab/>
              <w:t>2</w:t>
            </w:r>
          </w:hyperlink>
        </w:p>
        <w:p>
          <w:pPr>
            <w:pStyle w:val="TOC2"/>
            <w:tabs>
              <w:tab w:val="clear" w:pos="8383"/>
              <w:tab w:val="right" w:pos="8665" w:leader="dot"/>
            </w:tabs>
            <w:rPr/>
          </w:pPr>
          <w:hyperlink w:anchor="__RefHeading___Toc432_2726808859" w:tooltip="1.2 Problem Statement">
            <w:r>
              <w:rPr>
                <w:rStyle w:val="IndexLink"/>
                <w:i w:val="false"/>
                <w:webHidden/>
              </w:rPr>
              <w:t>1.2 Problem Statement</w:t>
            </w:r>
            <w:r>
              <w:rPr>
                <w:rStyle w:val="IndexLink"/>
              </w:rPr>
              <w:tab/>
              <w:t>3</w:t>
            </w:r>
          </w:hyperlink>
        </w:p>
        <w:p>
          <w:pPr>
            <w:pStyle w:val="TOC2"/>
            <w:tabs>
              <w:tab w:val="clear" w:pos="8383"/>
              <w:tab w:val="right" w:pos="8665" w:leader="dot"/>
            </w:tabs>
            <w:rPr/>
          </w:pPr>
          <w:hyperlink w:anchor="__RefHeading___Toc434_2726808859" w:tooltip="1.3 Research Objectives">
            <w:r>
              <w:rPr>
                <w:rStyle w:val="IndexLink"/>
                <w:i w:val="false"/>
                <w:webHidden/>
              </w:rPr>
              <w:t>1.3 Research Objectives</w:t>
            </w:r>
            <w:r>
              <w:rPr>
                <w:rStyle w:val="IndexLink"/>
              </w:rPr>
              <w:tab/>
              <w:t>4</w:t>
            </w:r>
          </w:hyperlink>
        </w:p>
        <w:p>
          <w:pPr>
            <w:pStyle w:val="TOC2"/>
            <w:tabs>
              <w:tab w:val="clear" w:pos="8383"/>
              <w:tab w:val="right" w:pos="8665" w:leader="dot"/>
            </w:tabs>
            <w:rPr/>
          </w:pPr>
          <w:hyperlink w:anchor="__RefHeading___Toc436_2726808859" w:tooltip="1.4 Research Questions">
            <w:r>
              <w:rPr>
                <w:rStyle w:val="IndexLink"/>
                <w:i w:val="false"/>
                <w:webHidden/>
              </w:rPr>
              <w:t>1.4 Research Questions</w:t>
            </w:r>
            <w:r>
              <w:rPr>
                <w:rStyle w:val="IndexLink"/>
              </w:rPr>
              <w:tab/>
              <w:t>5</w:t>
            </w:r>
          </w:hyperlink>
        </w:p>
        <w:p>
          <w:pPr>
            <w:pStyle w:val="TOC2"/>
            <w:tabs>
              <w:tab w:val="clear" w:pos="8383"/>
              <w:tab w:val="right" w:pos="8665" w:leader="dot"/>
            </w:tabs>
            <w:rPr/>
          </w:pPr>
          <w:hyperlink w:anchor="__RefHeading___Toc438_2726808859" w:tooltip="1.5 Scope of the Research">
            <w:r>
              <w:rPr>
                <w:rStyle w:val="IndexLink"/>
                <w:i w:val="false"/>
                <w:webHidden/>
              </w:rPr>
              <w:t>1.5 Scope of the Research</w:t>
            </w:r>
            <w:r>
              <w:rPr>
                <w:rStyle w:val="IndexLink"/>
              </w:rPr>
              <w:tab/>
              <w:t>6</w:t>
            </w:r>
          </w:hyperlink>
        </w:p>
        <w:p>
          <w:pPr>
            <w:pStyle w:val="TOC2"/>
            <w:tabs>
              <w:tab w:val="clear" w:pos="8383"/>
              <w:tab w:val="right" w:pos="8665" w:leader="dot"/>
            </w:tabs>
            <w:rPr/>
          </w:pPr>
          <w:hyperlink w:anchor="__RefHeading___Toc440_2726808859" w:tooltip="1.6 Significance of the Research">
            <w:r>
              <w:rPr>
                <w:rStyle w:val="IndexLink"/>
                <w:i w:val="false"/>
                <w:webHidden/>
              </w:rPr>
              <w:t>1.6 Significance of the Research</w:t>
            </w:r>
            <w:r>
              <w:rPr>
                <w:rStyle w:val="IndexLink"/>
              </w:rPr>
              <w:tab/>
              <w:t>6</w:t>
            </w:r>
          </w:hyperlink>
        </w:p>
        <w:p>
          <w:pPr>
            <w:pStyle w:val="TOC2"/>
            <w:tabs>
              <w:tab w:val="clear" w:pos="8383"/>
              <w:tab w:val="right" w:pos="8665" w:leader="dot"/>
            </w:tabs>
            <w:rPr/>
          </w:pPr>
          <w:hyperlink w:anchor="__RefHeading___Toc442_2726808859" w:tooltip="1.7 Research Methodology Overview">
            <w:r>
              <w:rPr>
                <w:rStyle w:val="IndexLink"/>
                <w:i w:val="false"/>
                <w:webHidden/>
              </w:rPr>
              <w:t>1.7 Research Methodology Overview</w:t>
            </w:r>
            <w:r>
              <w:rPr>
                <w:rStyle w:val="IndexLink"/>
              </w:rPr>
              <w:tab/>
              <w:t>7</w:t>
            </w:r>
          </w:hyperlink>
        </w:p>
        <w:p>
          <w:pPr>
            <w:pStyle w:val="TOC2"/>
            <w:tabs>
              <w:tab w:val="clear" w:pos="8383"/>
              <w:tab w:val="right" w:pos="8665" w:leader="dot"/>
            </w:tabs>
            <w:rPr/>
          </w:pPr>
          <w:hyperlink w:anchor="__RefHeading___Toc444_2726808859" w:tooltip="1.8 Thesis Organization">
            <w:r>
              <w:rPr>
                <w:rStyle w:val="IndexLink"/>
                <w:i w:val="false"/>
                <w:webHidden/>
              </w:rPr>
              <w:t>1.8 Thesis Organization</w:t>
            </w:r>
            <w:r>
              <w:rPr>
                <w:rStyle w:val="IndexLink"/>
              </w:rPr>
              <w:tab/>
              <w:t>7</w:t>
            </w:r>
          </w:hyperlink>
        </w:p>
        <w:p>
          <w:pPr>
            <w:pStyle w:val="TOC2"/>
            <w:tabs>
              <w:tab w:val="clear" w:pos="8383"/>
              <w:tab w:val="right" w:pos="8665" w:leader="dot"/>
            </w:tabs>
            <w:rPr/>
          </w:pPr>
          <w:hyperlink w:anchor="__RefHeading___Toc446_2726808859" w:tooltip="1.9 Chapter Summary">
            <w:r>
              <w:rPr>
                <w:rStyle w:val="IndexLink"/>
                <w:i w:val="false"/>
                <w:webHidden/>
              </w:rPr>
              <w:t>1.9 Chapter Summary</w:t>
            </w:r>
            <w:r>
              <w:rPr>
                <w:rStyle w:val="IndexLink"/>
              </w:rPr>
              <w:tab/>
              <w:t>8</w:t>
            </w:r>
          </w:hyperlink>
        </w:p>
        <w:p>
          <w:pPr>
            <w:pStyle w:val="TOC1"/>
            <w:tabs>
              <w:tab w:val="clear" w:pos="8666"/>
              <w:tab w:val="right" w:pos="8665" w:leader="dot"/>
            </w:tabs>
            <w:rPr/>
          </w:pPr>
          <w:hyperlink w:anchor="__RefHeading___Toc448_2726808859" w:tooltip="CHAPTER TWO">
            <w:r>
              <w:rPr>
                <w:rStyle w:val="IndexLink"/>
                <w:i w:val="false"/>
                <w:webHidden/>
              </w:rPr>
              <w:t>CHAPTER TWO</w:t>
            </w:r>
            <w:r>
              <w:rPr>
                <w:rStyle w:val="IndexLink"/>
              </w:rPr>
              <w:tab/>
              <w:t>9</w:t>
            </w:r>
          </w:hyperlink>
        </w:p>
        <w:p>
          <w:pPr>
            <w:pStyle w:val="TOC2"/>
            <w:tabs>
              <w:tab w:val="clear" w:pos="8383"/>
              <w:tab w:val="right" w:pos="8665" w:leader="dot"/>
            </w:tabs>
            <w:rPr/>
          </w:pPr>
          <w:hyperlink w:anchor="__RefHeading___Toc450_2726808859" w:tooltip="2.1 Introduction">
            <w:r>
              <w:rPr>
                <w:rStyle w:val="IndexLink"/>
                <w:i w:val="false"/>
                <w:webHidden/>
              </w:rPr>
              <w:t>2.1 Introduction</w:t>
            </w:r>
            <w:r>
              <w:rPr>
                <w:rStyle w:val="IndexLink"/>
              </w:rPr>
              <w:tab/>
              <w:t>9</w:t>
            </w:r>
          </w:hyperlink>
        </w:p>
        <w:p>
          <w:pPr>
            <w:pStyle w:val="TOC2"/>
            <w:tabs>
              <w:tab w:val="clear" w:pos="8383"/>
              <w:tab w:val="right" w:pos="8665" w:leader="dot"/>
            </w:tabs>
            <w:rPr/>
          </w:pPr>
          <w:hyperlink w:anchor="__RefHeading___Toc452_2726808859" w:tooltip="2.2 Large Language Models and LLM-Based Agents">
            <w:r>
              <w:rPr>
                <w:rStyle w:val="IndexLink"/>
                <w:i w:val="false"/>
                <w:webHidden/>
              </w:rPr>
              <w:t>2.2 Large Language Models and LLM-Based Agents</w:t>
            </w:r>
            <w:r>
              <w:rPr>
                <w:rStyle w:val="IndexLink"/>
              </w:rPr>
              <w:tab/>
              <w:t>10</w:t>
            </w:r>
          </w:hyperlink>
        </w:p>
        <w:p>
          <w:pPr>
            <w:pStyle w:val="TOC2"/>
            <w:tabs>
              <w:tab w:val="clear" w:pos="8383"/>
              <w:tab w:val="right" w:pos="8665" w:leader="dot"/>
            </w:tabs>
            <w:rPr/>
          </w:pPr>
          <w:hyperlink w:anchor="__RefHeading___Toc454_2726808859" w:tooltip="2.3 Agentic AI: Concepts and Evolution">
            <w:r>
              <w:rPr>
                <w:rStyle w:val="IndexLink"/>
                <w:i w:val="false"/>
                <w:webHidden/>
              </w:rPr>
              <w:t>2.3 Agentic AI: Concepts and Evolution</w:t>
            </w:r>
            <w:r>
              <w:rPr>
                <w:rStyle w:val="IndexLink"/>
              </w:rPr>
              <w:tab/>
              <w:t>12</w:t>
            </w:r>
          </w:hyperlink>
        </w:p>
        <w:p>
          <w:pPr>
            <w:pStyle w:val="TOC3"/>
            <w:tabs>
              <w:tab w:val="clear" w:pos="8099"/>
              <w:tab w:val="right" w:pos="8665" w:leader="dot"/>
            </w:tabs>
            <w:rPr/>
          </w:pPr>
          <w:hyperlink w:anchor="__RefHeading___Toc456_2726808859" w:tooltip="2.3.1 From Fluent Text to Goal-Directed Action">
            <w:r>
              <w:rPr>
                <w:rStyle w:val="IndexLink"/>
                <w:i w:val="false"/>
                <w:webHidden/>
              </w:rPr>
              <w:t>2.3.1 From Fluent Text to Goal-Directed Action</w:t>
            </w:r>
            <w:r>
              <w:rPr>
                <w:rStyle w:val="IndexLink"/>
              </w:rPr>
              <w:tab/>
              <w:t>12</w:t>
            </w:r>
          </w:hyperlink>
        </w:p>
        <w:p>
          <w:pPr>
            <w:pStyle w:val="TOC3"/>
            <w:tabs>
              <w:tab w:val="clear" w:pos="8099"/>
              <w:tab w:val="right" w:pos="8665" w:leader="dot"/>
            </w:tabs>
            <w:rPr/>
          </w:pPr>
          <w:hyperlink w:anchor="__RefHeading___Toc458_2726808859" w:tooltip="2.3.2 Evolution from Traditional AI to Agentic AI">
            <w:r>
              <w:rPr>
                <w:rStyle w:val="IndexLink"/>
                <w:i w:val="false"/>
                <w:webHidden/>
              </w:rPr>
              <w:t>2.3.2 Evolution from Traditional AI to Agentic AI</w:t>
            </w:r>
            <w:r>
              <w:rPr>
                <w:rStyle w:val="IndexLink"/>
              </w:rPr>
              <w:tab/>
              <w:t>12</w:t>
            </w:r>
          </w:hyperlink>
        </w:p>
        <w:p>
          <w:pPr>
            <w:pStyle w:val="TOC3"/>
            <w:tabs>
              <w:tab w:val="clear" w:pos="8099"/>
              <w:tab w:val="right" w:pos="8665" w:leader="dot"/>
            </w:tabs>
            <w:rPr/>
          </w:pPr>
          <w:hyperlink w:anchor="__RefHeading___Toc460_2726808859" w:tooltip="2.3.3 Characteristics of Agentic AI Systems">
            <w:r>
              <w:rPr>
                <w:rStyle w:val="IndexLink"/>
                <w:i w:val="false"/>
                <w:webHidden/>
              </w:rPr>
              <w:t>2.3.3 Characteristics of Agentic AI Systems</w:t>
            </w:r>
            <w:r>
              <w:rPr>
                <w:rStyle w:val="IndexLink"/>
              </w:rPr>
              <w:tab/>
              <w:t>13</w:t>
            </w:r>
          </w:hyperlink>
        </w:p>
        <w:p>
          <w:pPr>
            <w:pStyle w:val="TOC3"/>
            <w:tabs>
              <w:tab w:val="clear" w:pos="8099"/>
              <w:tab w:val="right" w:pos="8665" w:leader="dot"/>
            </w:tabs>
            <w:rPr/>
          </w:pPr>
          <w:hyperlink w:anchor="__RefHeading___Toc462_2726808859" w:tooltip="2.3.4 Agentic AI Architecture">
            <w:r>
              <w:rPr>
                <w:rStyle w:val="IndexLink"/>
                <w:i w:val="false"/>
                <w:webHidden/>
              </w:rPr>
              <w:t>2.3.4 Agentic AI Architecture</w:t>
            </w:r>
            <w:r>
              <w:rPr>
                <w:rStyle w:val="IndexLink"/>
              </w:rPr>
              <w:tab/>
              <w:t>14</w:t>
            </w:r>
          </w:hyperlink>
        </w:p>
        <w:p>
          <w:pPr>
            <w:pStyle w:val="TOC3"/>
            <w:tabs>
              <w:tab w:val="clear" w:pos="8099"/>
              <w:tab w:val="right" w:pos="8665" w:leader="dot"/>
            </w:tabs>
            <w:rPr/>
          </w:pPr>
          <w:hyperlink w:anchor="__RefHeading___Toc464_2726808859" w:tooltip="2.3.5 Agentic AI in Healthcare">
            <w:r>
              <w:rPr>
                <w:rStyle w:val="IndexLink"/>
                <w:i w:val="false"/>
                <w:webHidden/>
              </w:rPr>
              <w:t>2.3.5 Agentic AI in Healthcare</w:t>
            </w:r>
            <w:r>
              <w:rPr>
                <w:rStyle w:val="IndexLink"/>
              </w:rPr>
              <w:tab/>
              <w:t>15</w:t>
            </w:r>
          </w:hyperlink>
        </w:p>
        <w:p>
          <w:pPr>
            <w:pStyle w:val="TOC3"/>
            <w:tabs>
              <w:tab w:val="clear" w:pos="8099"/>
              <w:tab w:val="right" w:pos="8665" w:leader="dot"/>
            </w:tabs>
            <w:rPr/>
          </w:pPr>
          <w:hyperlink w:anchor="__RefHeading___Toc466_2726808859" w:tooltip="2.3.6 Challenges and Limitations of Agentic AI">
            <w:r>
              <w:rPr>
                <w:rStyle w:val="IndexLink"/>
                <w:i w:val="false"/>
                <w:webHidden/>
              </w:rPr>
              <w:t>2.3.6 Challenges and Limitations of Agentic AI</w:t>
            </w:r>
            <w:r>
              <w:rPr>
                <w:rStyle w:val="IndexLink"/>
              </w:rPr>
              <w:tab/>
              <w:t>15</w:t>
            </w:r>
          </w:hyperlink>
        </w:p>
        <w:p>
          <w:pPr>
            <w:pStyle w:val="TOC2"/>
            <w:tabs>
              <w:tab w:val="clear" w:pos="8383"/>
              <w:tab w:val="right" w:pos="8665" w:leader="dot"/>
            </w:tabs>
            <w:rPr/>
          </w:pPr>
          <w:hyperlink w:anchor="__RefHeading___Toc468_2726808859" w:tooltip="2.4 Agentic AI Frameworks">
            <w:r>
              <w:rPr>
                <w:rStyle w:val="IndexLink"/>
                <w:i w:val="false"/>
                <w:webHidden/>
              </w:rPr>
              <w:t>2.4 Agentic AI Frameworks</w:t>
            </w:r>
            <w:r>
              <w:rPr>
                <w:rStyle w:val="IndexLink"/>
              </w:rPr>
              <w:tab/>
              <w:t>16</w:t>
            </w:r>
          </w:hyperlink>
        </w:p>
        <w:p>
          <w:pPr>
            <w:pStyle w:val="TOC2"/>
            <w:tabs>
              <w:tab w:val="clear" w:pos="8383"/>
              <w:tab w:val="right" w:pos="8665" w:leader="dot"/>
            </w:tabs>
            <w:rPr/>
          </w:pPr>
          <w:hyperlink w:anchor="__RefHeading___Toc470_2726808859" w:tooltip="2.5 Taxonomy of LLM-Based Agents">
            <w:r>
              <w:rPr>
                <w:rStyle w:val="IndexLink"/>
                <w:i w:val="false"/>
                <w:webHidden/>
              </w:rPr>
              <w:t>2.5 Taxonomy of LLM-Based Agents</w:t>
            </w:r>
            <w:r>
              <w:rPr>
                <w:rStyle w:val="IndexLink"/>
              </w:rPr>
              <w:tab/>
              <w:t>18</w:t>
            </w:r>
          </w:hyperlink>
        </w:p>
        <w:p>
          <w:pPr>
            <w:pStyle w:val="TOC2"/>
            <w:tabs>
              <w:tab w:val="clear" w:pos="8383"/>
              <w:tab w:val="right" w:pos="8665" w:leader="dot"/>
            </w:tabs>
            <w:rPr/>
          </w:pPr>
          <w:hyperlink w:anchor="__RefHeading___Toc472_2726808859" w:tooltip="2.6 Artificial Intelligence in Healthcare">
            <w:r>
              <w:rPr>
                <w:rStyle w:val="IndexLink"/>
                <w:i w:val="false"/>
                <w:webHidden/>
              </w:rPr>
              <w:t>2.6 Artificial Intelligence in Healthcare</w:t>
            </w:r>
            <w:r>
              <w:rPr>
                <w:rStyle w:val="IndexLink"/>
              </w:rPr>
              <w:tab/>
              <w:t>20</w:t>
            </w:r>
          </w:hyperlink>
        </w:p>
        <w:p>
          <w:pPr>
            <w:pStyle w:val="TOC3"/>
            <w:tabs>
              <w:tab w:val="clear" w:pos="8099"/>
              <w:tab w:val="right" w:pos="8665" w:leader="dot"/>
            </w:tabs>
            <w:rPr/>
          </w:pPr>
          <w:hyperlink w:anchor="__RefHeading___Toc474_2726808859" w:tooltip="2.6.1 Evolution and Applications">
            <w:r>
              <w:rPr>
                <w:rStyle w:val="IndexLink"/>
                <w:i w:val="false"/>
                <w:webHidden/>
              </w:rPr>
              <w:t>2.6.1 Evolution and Applications</w:t>
            </w:r>
            <w:r>
              <w:rPr>
                <w:rStyle w:val="IndexLink"/>
              </w:rPr>
              <w:tab/>
              <w:t>20</w:t>
            </w:r>
          </w:hyperlink>
        </w:p>
        <w:p>
          <w:pPr>
            <w:pStyle w:val="TOC3"/>
            <w:tabs>
              <w:tab w:val="clear" w:pos="8099"/>
              <w:tab w:val="right" w:pos="8665" w:leader="dot"/>
            </w:tabs>
            <w:rPr/>
          </w:pPr>
          <w:hyperlink w:anchor="__RefHeading___Toc476_2726808859" w:tooltip="2.6.2 Large Language Models in Healthcare">
            <w:r>
              <w:rPr>
                <w:rStyle w:val="IndexLink"/>
                <w:i w:val="false"/>
                <w:webHidden/>
              </w:rPr>
              <w:t>2.6.2 Large Language Models in Healthcare</w:t>
            </w:r>
            <w:r>
              <w:rPr>
                <w:rStyle w:val="IndexLink"/>
              </w:rPr>
              <w:tab/>
              <w:t>21</w:t>
            </w:r>
          </w:hyperlink>
        </w:p>
        <w:p>
          <w:pPr>
            <w:pStyle w:val="TOC2"/>
            <w:tabs>
              <w:tab w:val="clear" w:pos="8383"/>
              <w:tab w:val="right" w:pos="8665" w:leader="dot"/>
            </w:tabs>
            <w:rPr/>
          </w:pPr>
          <w:hyperlink w:anchor="__RefHeading___Toc478_2726808859" w:tooltip="2.7 Clinical Decision Support">
            <w:r>
              <w:rPr>
                <w:rStyle w:val="IndexLink"/>
                <w:i w:val="false"/>
                <w:webHidden/>
              </w:rPr>
              <w:t>2.7 Clinical Decision Support</w:t>
            </w:r>
            <w:r>
              <w:rPr>
                <w:rStyle w:val="IndexLink"/>
              </w:rPr>
              <w:tab/>
              <w:t>22</w:t>
            </w:r>
          </w:hyperlink>
        </w:p>
        <w:p>
          <w:pPr>
            <w:pStyle w:val="TOC3"/>
            <w:tabs>
              <w:tab w:val="clear" w:pos="8099"/>
              <w:tab w:val="right" w:pos="8665" w:leader="dot"/>
            </w:tabs>
            <w:rPr/>
          </w:pPr>
          <w:hyperlink w:anchor="__RefHeading___Toc480_2726808859" w:tooltip="2.7.1 Evolution and Components">
            <w:r>
              <w:rPr>
                <w:rStyle w:val="IndexLink"/>
                <w:i w:val="false"/>
                <w:webHidden/>
              </w:rPr>
              <w:t>2.7.1 Evolution and Components</w:t>
            </w:r>
            <w:r>
              <w:rPr>
                <w:rStyle w:val="IndexLink"/>
              </w:rPr>
              <w:tab/>
              <w:t>22</w:t>
            </w:r>
          </w:hyperlink>
        </w:p>
        <w:p>
          <w:pPr>
            <w:pStyle w:val="TOC3"/>
            <w:tabs>
              <w:tab w:val="clear" w:pos="8099"/>
              <w:tab w:val="right" w:pos="8665" w:leader="dot"/>
            </w:tabs>
            <w:rPr/>
          </w:pPr>
          <w:hyperlink w:anchor="__RefHeading___Toc482_2726808859" w:tooltip="2.7.2 Limitations and the Role of Agentic AI">
            <w:r>
              <w:rPr>
                <w:rStyle w:val="IndexLink"/>
                <w:i w:val="false"/>
                <w:webHidden/>
              </w:rPr>
              <w:t>2.7.2 Limitations and the Role of Agentic AI</w:t>
            </w:r>
            <w:r>
              <w:rPr>
                <w:rStyle w:val="IndexLink"/>
              </w:rPr>
              <w:tab/>
              <w:t>23</w:t>
            </w:r>
          </w:hyperlink>
        </w:p>
        <w:p>
          <w:pPr>
            <w:pStyle w:val="TOC2"/>
            <w:tabs>
              <w:tab w:val="clear" w:pos="8383"/>
              <w:tab w:val="right" w:pos="8665" w:leader="dot"/>
            </w:tabs>
            <w:rPr/>
          </w:pPr>
          <w:hyperlink w:anchor="__RefHeading___Toc484_2726808859" w:tooltip="2.8 Retrieval-Augmented Generation in Healthcare">
            <w:r>
              <w:rPr>
                <w:rStyle w:val="IndexLink"/>
                <w:i w:val="false"/>
                <w:webHidden/>
              </w:rPr>
              <w:t>2.8 Retrieval-Augmented Generation in Healthcare</w:t>
            </w:r>
            <w:r>
              <w:rPr>
                <w:rStyle w:val="IndexLink"/>
              </w:rPr>
              <w:tab/>
              <w:t>24</w:t>
            </w:r>
          </w:hyperlink>
        </w:p>
        <w:p>
          <w:pPr>
            <w:pStyle w:val="TOC3"/>
            <w:tabs>
              <w:tab w:val="clear" w:pos="8099"/>
              <w:tab w:val="right" w:pos="8665" w:leader="dot"/>
            </w:tabs>
            <w:rPr/>
          </w:pPr>
          <w:hyperlink w:anchor="__RefHeading___Toc486_2726808859" w:tooltip="2.8.1 Concept and Importance">
            <w:r>
              <w:rPr>
                <w:rStyle w:val="IndexLink"/>
                <w:i w:val="false"/>
                <w:webHidden/>
              </w:rPr>
              <w:t>2.8.1 Concept and Importance</w:t>
            </w:r>
            <w:r>
              <w:rPr>
                <w:rStyle w:val="IndexLink"/>
              </w:rPr>
              <w:tab/>
              <w:t>25</w:t>
            </w:r>
          </w:hyperlink>
        </w:p>
        <w:p>
          <w:pPr>
            <w:pStyle w:val="TOC3"/>
            <w:tabs>
              <w:tab w:val="clear" w:pos="8099"/>
              <w:tab w:val="right" w:pos="8665" w:leader="dot"/>
            </w:tabs>
            <w:rPr/>
          </w:pPr>
          <w:hyperlink w:anchor="__RefHeading___Toc488_2726808859" w:tooltip="2.8.2 Retrieval in Agentic Systems and MedRAG">
            <w:r>
              <w:rPr>
                <w:rStyle w:val="IndexLink"/>
                <w:i w:val="false"/>
                <w:webHidden/>
              </w:rPr>
              <w:t>2.8.2 Retrieval in Agentic Systems and MedRAG</w:t>
            </w:r>
            <w:r>
              <w:rPr>
                <w:rStyle w:val="IndexLink"/>
              </w:rPr>
              <w:tab/>
              <w:t>26</w:t>
            </w:r>
          </w:hyperlink>
        </w:p>
        <w:p>
          <w:pPr>
            <w:pStyle w:val="TOC3"/>
            <w:tabs>
              <w:tab w:val="clear" w:pos="8099"/>
              <w:tab w:val="right" w:pos="8665" w:leader="dot"/>
            </w:tabs>
            <w:rPr/>
          </w:pPr>
          <w:hyperlink w:anchor="__RefHeading___Toc490_2726808859" w:tooltip="2.8.3 RAG with MIMIC-IV and Open Challenges">
            <w:r>
              <w:rPr>
                <w:rStyle w:val="IndexLink"/>
                <w:i w:val="false"/>
                <w:webHidden/>
              </w:rPr>
              <w:t>2.8.3 RAG with MIMIC-IV and Open Challenges</w:t>
            </w:r>
            <w:r>
              <w:rPr>
                <w:rStyle w:val="IndexLink"/>
              </w:rPr>
              <w:tab/>
              <w:t>26</w:t>
            </w:r>
          </w:hyperlink>
        </w:p>
        <w:p>
          <w:pPr>
            <w:pStyle w:val="TOC2"/>
            <w:tabs>
              <w:tab w:val="clear" w:pos="8383"/>
              <w:tab w:val="right" w:pos="8665" w:leader="dot"/>
            </w:tabs>
            <w:rPr/>
          </w:pPr>
          <w:hyperlink w:anchor="__RefHeading___Toc492_2726808859" w:tooltip="2.9 Trustworthy AI in Clinical Decision Support">
            <w:r>
              <w:rPr>
                <w:rStyle w:val="IndexLink"/>
                <w:i w:val="false"/>
                <w:webHidden/>
              </w:rPr>
              <w:t>2.9 Trustworthy AI in Clinical Decision Support</w:t>
            </w:r>
            <w:r>
              <w:rPr>
                <w:rStyle w:val="IndexLink"/>
              </w:rPr>
              <w:tab/>
              <w:t>27</w:t>
            </w:r>
          </w:hyperlink>
        </w:p>
        <w:p>
          <w:pPr>
            <w:pStyle w:val="TOC2"/>
            <w:tabs>
              <w:tab w:val="clear" w:pos="8383"/>
              <w:tab w:val="right" w:pos="8665" w:leader="dot"/>
            </w:tabs>
            <w:rPr/>
          </w:pPr>
          <w:hyperlink w:anchor="__RefHeading___Toc494_2726808859" w:tooltip="2.10 Research Gap Analysis">
            <w:r>
              <w:rPr>
                <w:rStyle w:val="IndexLink"/>
                <w:i w:val="false"/>
                <w:webHidden/>
              </w:rPr>
              <w:t>2.10 Research Gap Analysis</w:t>
            </w:r>
            <w:r>
              <w:rPr>
                <w:rStyle w:val="IndexLink"/>
              </w:rPr>
              <w:tab/>
              <w:t>30</w:t>
            </w:r>
          </w:hyperlink>
        </w:p>
        <w:p>
          <w:pPr>
            <w:pStyle w:val="TOC2"/>
            <w:tabs>
              <w:tab w:val="clear" w:pos="8383"/>
              <w:tab w:val="right" w:pos="8665" w:leader="dot"/>
            </w:tabs>
            <w:rPr/>
          </w:pPr>
          <w:hyperlink w:anchor="__RefHeading___Toc496_2726808859" w:tooltip="2.11 Chapter Summary">
            <w:r>
              <w:rPr>
                <w:rStyle w:val="IndexLink"/>
                <w:i w:val="false"/>
                <w:webHidden/>
              </w:rPr>
              <w:t>2.11 Chapter Summary</w:t>
            </w:r>
            <w:r>
              <w:rPr>
                <w:rStyle w:val="IndexLink"/>
              </w:rPr>
              <w:tab/>
              <w:t>32</w:t>
            </w:r>
          </w:hyperlink>
        </w:p>
        <w:p>
          <w:pPr>
            <w:pStyle w:val="TOC1"/>
            <w:tabs>
              <w:tab w:val="clear" w:pos="8666"/>
              <w:tab w:val="right" w:pos="8665" w:leader="dot"/>
            </w:tabs>
            <w:rPr/>
          </w:pPr>
          <w:hyperlink w:anchor="__RefHeading___Toc498_2726808859" w:tooltip="REFERENCES">
            <w:r>
              <w:rPr>
                <w:rStyle w:val="IndexLink"/>
                <w:i w:val="false"/>
                <w:webHidden/>
              </w:rPr>
              <w:t>REFERENCES</w:t>
            </w:r>
            <w:r>
              <w:rPr>
                <w:rStyle w:val="IndexLink"/>
              </w:rPr>
              <w:tab/>
              <w:t>34</w:t>
            </w:r>
          </w:hyperlink>
          <w:r>
            <w:rPr>
              <w:rStyle w:val="IndexLink"/>
            </w:rPr>
            <w:fldChar w:fldCharType="end"/>
          </w:r>
        </w:p>
      </w:sdtContent>
    </w:sdt>
    <w:p>
      <w:pPr>
        <w:pStyle w:val="Normal"/>
        <w:rPr/>
      </w:pPr>
      <w:r>
        <w:rPr/>
      </w:r>
      <w:r>
        <w:br w:type="page"/>
      </w:r>
    </w:p>
    <w:p>
      <w:pPr>
        <w:pStyle w:val="Normal"/>
        <w:numPr>
          <w:ilvl w:val="0"/>
          <w:numId w:val="0"/>
        </w:numPr>
        <w:spacing w:lineRule="auto" w:line="360" w:before="0" w:after="360"/>
        <w:jc w:val="center"/>
        <w:outlineLvl w:val="0"/>
        <w:rPr/>
      </w:pPr>
      <w:bookmarkStart w:id="6" w:name="__RefHeading___Toc420_2726808859"/>
      <w:bookmarkEnd w:id="6"/>
      <w:r>
        <w:rPr>
          <w:rFonts w:cs="Times New Roman"/>
          <w:b/>
          <w:i w:val="false"/>
          <w:sz w:val="32"/>
        </w:rPr>
        <w:t>LIST OF FIGURES</w:t>
      </w:r>
    </w:p>
    <w:p>
      <w:pPr>
        <w:pStyle w:val="BodyText"/>
        <w:rPr/>
      </w:pPr>
      <w:r>
        <w:fldChar w:fldCharType="begin"/>
      </w:r>
      <w:r>
        <w:rPr/>
        <w:instrText xml:space="preserve"> TOC \c "Figure" \h </w:instrText>
      </w:r>
      <w:r>
        <w:rPr/>
        <w:fldChar w:fldCharType="separate"/>
      </w:r>
      <w:r>
        <w:rPr/>
      </w:r>
      <w:r>
        <w:rPr/>
        <w:fldChar w:fldCharType="end"/>
      </w:r>
    </w:p>
    <w:p>
      <w:pPr>
        <w:pStyle w:val="Normal"/>
        <w:rPr/>
      </w:pPr>
      <w:r>
        <w:rPr/>
      </w:r>
      <w:r>
        <w:br w:type="page"/>
      </w:r>
    </w:p>
    <w:p>
      <w:pPr>
        <w:pStyle w:val="Normal"/>
        <w:numPr>
          <w:ilvl w:val="0"/>
          <w:numId w:val="0"/>
        </w:numPr>
        <w:spacing w:lineRule="auto" w:line="360" w:before="0" w:after="360"/>
        <w:jc w:val="center"/>
        <w:outlineLvl w:val="0"/>
        <w:rPr/>
      </w:pPr>
      <w:bookmarkStart w:id="7" w:name="__RefHeading___Toc422_2726808859"/>
      <w:bookmarkEnd w:id="7"/>
      <w:r>
        <w:rPr>
          <w:rFonts w:cs="Times New Roman"/>
          <w:b/>
          <w:i w:val="false"/>
          <w:sz w:val="32"/>
        </w:rPr>
        <w:t>LIST OF TABLES</w:t>
      </w:r>
    </w:p>
    <w:p>
      <w:pPr>
        <w:pStyle w:val="BodyText"/>
        <w:rPr/>
      </w:pPr>
      <w:r>
        <w:fldChar w:fldCharType="begin"/>
      </w:r>
      <w:r>
        <w:rPr/>
        <w:instrText xml:space="preserve"> TOC \c "Table" \h </w:instrText>
      </w:r>
      <w:r>
        <w:rPr/>
        <w:fldChar w:fldCharType="separate"/>
      </w:r>
      <w:r>
        <w:rPr/>
      </w:r>
      <w:r>
        <w:rPr/>
        <w:fldChar w:fldCharType="end"/>
      </w:r>
    </w:p>
    <w:p>
      <w:pPr>
        <w:pStyle w:val="Normal"/>
        <w:rPr/>
      </w:pPr>
      <w:r>
        <w:rPr/>
      </w:r>
      <w:r>
        <w:br w:type="page"/>
      </w:r>
    </w:p>
    <w:p>
      <w:pPr>
        <w:pStyle w:val="Normal"/>
        <w:numPr>
          <w:ilvl w:val="0"/>
          <w:numId w:val="0"/>
        </w:numPr>
        <w:spacing w:lineRule="auto" w:line="360" w:before="0" w:after="360"/>
        <w:jc w:val="center"/>
        <w:outlineLvl w:val="0"/>
        <w:rPr/>
      </w:pPr>
      <w:bookmarkStart w:id="8" w:name="__RefHeading___Toc424_2726808859"/>
      <w:bookmarkEnd w:id="8"/>
      <w:r>
        <w:rPr>
          <w:rFonts w:cs="Times New Roman"/>
          <w:b/>
          <w:i w:val="false"/>
          <w:sz w:val="32"/>
        </w:rPr>
        <w:t>LIST OF ABBREVIATIONS AND ACRONYMS</w:t>
      </w:r>
    </w:p>
    <w:tbl>
      <w:tblPr>
        <w:tblW w:w="8640" w:type="dxa"/>
        <w:jc w:val="left"/>
        <w:tblInd w:w="108" w:type="dxa"/>
        <w:tblLayout w:type="fixed"/>
        <w:tblCellMar>
          <w:top w:w="0" w:type="dxa"/>
          <w:left w:w="108" w:type="dxa"/>
          <w:bottom w:w="0" w:type="dxa"/>
          <w:right w:w="108" w:type="dxa"/>
        </w:tblCellMar>
        <w:tblLook w:val="04a0" w:firstRow="1" w:noVBand="1" w:lastRow="0" w:firstColumn="1" w:lastColumn="0" w:noHBand="0"/>
      </w:tblPr>
      <w:tblGrid>
        <w:gridCol w:w="4320"/>
        <w:gridCol w:w="4320"/>
      </w:tblGrid>
      <w:tr>
        <w:trPr/>
        <w:tc>
          <w:tcPr>
            <w:tcW w:w="4320" w:type="dxa"/>
            <w:tcBorders/>
          </w:tcPr>
          <w:p>
            <w:pPr>
              <w:pStyle w:val="Normal"/>
              <w:widowControl/>
              <w:bidi w:val="0"/>
              <w:spacing w:lineRule="auto" w:line="360" w:before="0" w:after="200"/>
              <w:jc w:val="left"/>
              <w:rPr/>
            </w:pPr>
            <w:r>
              <w:rPr>
                <w:rFonts w:cs="Times New Roman"/>
                <w:b/>
                <w:i w:val="false"/>
                <w:sz w:val="24"/>
              </w:rPr>
              <w:t>AI</w:t>
            </w:r>
          </w:p>
        </w:tc>
        <w:tc>
          <w:tcPr>
            <w:tcW w:w="4320" w:type="dxa"/>
            <w:tcBorders/>
          </w:tcPr>
          <w:p>
            <w:pPr>
              <w:pStyle w:val="Normal"/>
              <w:widowControl/>
              <w:bidi w:val="0"/>
              <w:spacing w:lineRule="auto" w:line="360" w:before="0" w:after="200"/>
              <w:jc w:val="left"/>
              <w:rPr/>
            </w:pPr>
            <w:r>
              <w:rPr>
                <w:rFonts w:cs="Times New Roman"/>
                <w:b w:val="false"/>
                <w:i w:val="false"/>
                <w:sz w:val="24"/>
              </w:rPr>
              <w:t>Artificial Intelligence</w:t>
            </w:r>
          </w:p>
        </w:tc>
      </w:tr>
      <w:tr>
        <w:trPr/>
        <w:tc>
          <w:tcPr>
            <w:tcW w:w="4320" w:type="dxa"/>
            <w:tcBorders/>
          </w:tcPr>
          <w:p>
            <w:pPr>
              <w:pStyle w:val="Normal"/>
              <w:widowControl/>
              <w:bidi w:val="0"/>
              <w:spacing w:lineRule="auto" w:line="360" w:before="0" w:after="200"/>
              <w:jc w:val="left"/>
              <w:rPr/>
            </w:pPr>
            <w:r>
              <w:rPr>
                <w:rFonts w:cs="Times New Roman"/>
                <w:b/>
                <w:i w:val="false"/>
                <w:sz w:val="24"/>
              </w:rPr>
              <w:t>CDSS</w:t>
            </w:r>
          </w:p>
        </w:tc>
        <w:tc>
          <w:tcPr>
            <w:tcW w:w="4320" w:type="dxa"/>
            <w:tcBorders/>
          </w:tcPr>
          <w:p>
            <w:pPr>
              <w:pStyle w:val="Normal"/>
              <w:widowControl/>
              <w:bidi w:val="0"/>
              <w:spacing w:lineRule="auto" w:line="360" w:before="0" w:after="200"/>
              <w:jc w:val="left"/>
              <w:rPr/>
            </w:pPr>
            <w:r>
              <w:rPr>
                <w:rFonts w:cs="Times New Roman"/>
                <w:b w:val="false"/>
                <w:i w:val="false"/>
                <w:sz w:val="24"/>
              </w:rPr>
              <w:t>Clinical Decision Support System</w:t>
            </w:r>
          </w:p>
        </w:tc>
      </w:tr>
      <w:tr>
        <w:trPr/>
        <w:tc>
          <w:tcPr>
            <w:tcW w:w="4320" w:type="dxa"/>
            <w:tcBorders/>
          </w:tcPr>
          <w:p>
            <w:pPr>
              <w:pStyle w:val="Normal"/>
              <w:widowControl/>
              <w:bidi w:val="0"/>
              <w:spacing w:lineRule="auto" w:line="360" w:before="0" w:after="200"/>
              <w:jc w:val="left"/>
              <w:rPr/>
            </w:pPr>
            <w:r>
              <w:rPr>
                <w:rFonts w:cs="Times New Roman"/>
                <w:b/>
                <w:i w:val="false"/>
                <w:sz w:val="24"/>
              </w:rPr>
              <w:t>CoT</w:t>
            </w:r>
          </w:p>
        </w:tc>
        <w:tc>
          <w:tcPr>
            <w:tcW w:w="4320" w:type="dxa"/>
            <w:tcBorders/>
          </w:tcPr>
          <w:p>
            <w:pPr>
              <w:pStyle w:val="Normal"/>
              <w:widowControl/>
              <w:bidi w:val="0"/>
              <w:spacing w:lineRule="auto" w:line="360" w:before="0" w:after="200"/>
              <w:jc w:val="left"/>
              <w:rPr/>
            </w:pPr>
            <w:r>
              <w:rPr>
                <w:rFonts w:cs="Times New Roman"/>
                <w:b w:val="false"/>
                <w:i w:val="false"/>
                <w:sz w:val="24"/>
              </w:rPr>
              <w:t>Chain-of-Thought</w:t>
            </w:r>
          </w:p>
        </w:tc>
      </w:tr>
      <w:tr>
        <w:trPr/>
        <w:tc>
          <w:tcPr>
            <w:tcW w:w="4320" w:type="dxa"/>
            <w:tcBorders/>
          </w:tcPr>
          <w:p>
            <w:pPr>
              <w:pStyle w:val="Normal"/>
              <w:widowControl/>
              <w:bidi w:val="0"/>
              <w:spacing w:lineRule="auto" w:line="360" w:before="0" w:after="200"/>
              <w:jc w:val="left"/>
              <w:rPr/>
            </w:pPr>
            <w:r>
              <w:rPr>
                <w:rFonts w:cs="Times New Roman"/>
                <w:b/>
                <w:i w:val="false"/>
                <w:sz w:val="24"/>
              </w:rPr>
              <w:t>EHR</w:t>
            </w:r>
          </w:p>
        </w:tc>
        <w:tc>
          <w:tcPr>
            <w:tcW w:w="4320" w:type="dxa"/>
            <w:tcBorders/>
          </w:tcPr>
          <w:p>
            <w:pPr>
              <w:pStyle w:val="Normal"/>
              <w:widowControl/>
              <w:bidi w:val="0"/>
              <w:spacing w:lineRule="auto" w:line="360" w:before="0" w:after="200"/>
              <w:jc w:val="left"/>
              <w:rPr/>
            </w:pPr>
            <w:r>
              <w:rPr>
                <w:rFonts w:cs="Times New Roman"/>
                <w:b w:val="false"/>
                <w:i w:val="false"/>
                <w:sz w:val="24"/>
              </w:rPr>
              <w:t>Electronic Health Record</w:t>
            </w:r>
          </w:p>
        </w:tc>
      </w:tr>
      <w:tr>
        <w:trPr/>
        <w:tc>
          <w:tcPr>
            <w:tcW w:w="4320" w:type="dxa"/>
            <w:tcBorders/>
          </w:tcPr>
          <w:p>
            <w:pPr>
              <w:pStyle w:val="Normal"/>
              <w:widowControl/>
              <w:bidi w:val="0"/>
              <w:spacing w:lineRule="auto" w:line="360" w:before="0" w:after="200"/>
              <w:jc w:val="left"/>
              <w:rPr/>
            </w:pPr>
            <w:r>
              <w:rPr>
                <w:rFonts w:cs="Times New Roman"/>
                <w:b/>
                <w:i w:val="false"/>
                <w:sz w:val="24"/>
              </w:rPr>
              <w:t>HITL</w:t>
            </w:r>
          </w:p>
        </w:tc>
        <w:tc>
          <w:tcPr>
            <w:tcW w:w="4320" w:type="dxa"/>
            <w:tcBorders/>
          </w:tcPr>
          <w:p>
            <w:pPr>
              <w:pStyle w:val="Normal"/>
              <w:widowControl/>
              <w:bidi w:val="0"/>
              <w:spacing w:lineRule="auto" w:line="360" w:before="0" w:after="200"/>
              <w:jc w:val="left"/>
              <w:rPr/>
            </w:pPr>
            <w:r>
              <w:rPr>
                <w:rFonts w:cs="Times New Roman"/>
                <w:b w:val="false"/>
                <w:i w:val="false"/>
                <w:sz w:val="24"/>
              </w:rPr>
              <w:t>Human-in-the-Loop</w:t>
            </w:r>
          </w:p>
        </w:tc>
      </w:tr>
      <w:tr>
        <w:trPr/>
        <w:tc>
          <w:tcPr>
            <w:tcW w:w="4320" w:type="dxa"/>
            <w:tcBorders/>
          </w:tcPr>
          <w:p>
            <w:pPr>
              <w:pStyle w:val="Normal"/>
              <w:widowControl/>
              <w:bidi w:val="0"/>
              <w:spacing w:lineRule="auto" w:line="360" w:before="0" w:after="200"/>
              <w:jc w:val="left"/>
              <w:rPr/>
            </w:pPr>
            <w:r>
              <w:rPr>
                <w:rFonts w:cs="Times New Roman"/>
                <w:b/>
                <w:i w:val="false"/>
                <w:sz w:val="24"/>
              </w:rPr>
              <w:t>ICU</w:t>
            </w:r>
          </w:p>
        </w:tc>
        <w:tc>
          <w:tcPr>
            <w:tcW w:w="4320" w:type="dxa"/>
            <w:tcBorders/>
          </w:tcPr>
          <w:p>
            <w:pPr>
              <w:pStyle w:val="Normal"/>
              <w:widowControl/>
              <w:bidi w:val="0"/>
              <w:spacing w:lineRule="auto" w:line="360" w:before="0" w:after="200"/>
              <w:jc w:val="left"/>
              <w:rPr/>
            </w:pPr>
            <w:r>
              <w:rPr>
                <w:rFonts w:cs="Times New Roman"/>
                <w:b w:val="false"/>
                <w:i w:val="false"/>
                <w:sz w:val="24"/>
              </w:rPr>
              <w:t>Intensive Care Unit</w:t>
            </w:r>
          </w:p>
        </w:tc>
      </w:tr>
      <w:tr>
        <w:trPr/>
        <w:tc>
          <w:tcPr>
            <w:tcW w:w="4320" w:type="dxa"/>
            <w:tcBorders/>
          </w:tcPr>
          <w:p>
            <w:pPr>
              <w:pStyle w:val="Normal"/>
              <w:widowControl/>
              <w:bidi w:val="0"/>
              <w:spacing w:lineRule="auto" w:line="360" w:before="0" w:after="200"/>
              <w:jc w:val="left"/>
              <w:rPr/>
            </w:pPr>
            <w:r>
              <w:rPr>
                <w:rFonts w:cs="Times New Roman"/>
                <w:b/>
                <w:i w:val="false"/>
                <w:sz w:val="24"/>
              </w:rPr>
              <w:t>LLM</w:t>
            </w:r>
          </w:p>
        </w:tc>
        <w:tc>
          <w:tcPr>
            <w:tcW w:w="4320" w:type="dxa"/>
            <w:tcBorders/>
          </w:tcPr>
          <w:p>
            <w:pPr>
              <w:pStyle w:val="Normal"/>
              <w:widowControl/>
              <w:bidi w:val="0"/>
              <w:spacing w:lineRule="auto" w:line="360" w:before="0" w:after="200"/>
              <w:jc w:val="left"/>
              <w:rPr/>
            </w:pPr>
            <w:r>
              <w:rPr>
                <w:rFonts w:cs="Times New Roman"/>
                <w:b w:val="false"/>
                <w:i w:val="false"/>
                <w:sz w:val="24"/>
              </w:rPr>
              <w:t>Large Language Model</w:t>
            </w:r>
          </w:p>
        </w:tc>
      </w:tr>
      <w:tr>
        <w:trPr/>
        <w:tc>
          <w:tcPr>
            <w:tcW w:w="4320" w:type="dxa"/>
            <w:tcBorders/>
          </w:tcPr>
          <w:p>
            <w:pPr>
              <w:pStyle w:val="Normal"/>
              <w:widowControl/>
              <w:bidi w:val="0"/>
              <w:spacing w:lineRule="auto" w:line="360" w:before="0" w:after="200"/>
              <w:jc w:val="left"/>
              <w:rPr/>
            </w:pPr>
            <w:r>
              <w:rPr>
                <w:rFonts w:cs="Times New Roman"/>
                <w:b/>
                <w:i w:val="false"/>
                <w:sz w:val="24"/>
              </w:rPr>
              <w:t>MIMIC</w:t>
            </w:r>
          </w:p>
        </w:tc>
        <w:tc>
          <w:tcPr>
            <w:tcW w:w="4320" w:type="dxa"/>
            <w:tcBorders/>
          </w:tcPr>
          <w:p>
            <w:pPr>
              <w:pStyle w:val="Normal"/>
              <w:widowControl/>
              <w:bidi w:val="0"/>
              <w:spacing w:lineRule="auto" w:line="360" w:before="0" w:after="200"/>
              <w:jc w:val="left"/>
              <w:rPr/>
            </w:pPr>
            <w:r>
              <w:rPr>
                <w:rFonts w:cs="Times New Roman"/>
                <w:b w:val="false"/>
                <w:i w:val="false"/>
                <w:sz w:val="24"/>
              </w:rPr>
              <w:t>Medical Information Mart for Intensive Care</w:t>
            </w:r>
          </w:p>
        </w:tc>
      </w:tr>
      <w:tr>
        <w:trPr/>
        <w:tc>
          <w:tcPr>
            <w:tcW w:w="4320" w:type="dxa"/>
            <w:tcBorders/>
          </w:tcPr>
          <w:p>
            <w:pPr>
              <w:pStyle w:val="Normal"/>
              <w:widowControl/>
              <w:bidi w:val="0"/>
              <w:spacing w:lineRule="auto" w:line="360" w:before="0" w:after="200"/>
              <w:jc w:val="left"/>
              <w:rPr/>
            </w:pPr>
            <w:r>
              <w:rPr>
                <w:rFonts w:cs="Times New Roman"/>
                <w:b/>
                <w:i w:val="false"/>
                <w:sz w:val="24"/>
              </w:rPr>
              <w:t>RAG</w:t>
            </w:r>
          </w:p>
        </w:tc>
        <w:tc>
          <w:tcPr>
            <w:tcW w:w="4320" w:type="dxa"/>
            <w:tcBorders/>
          </w:tcPr>
          <w:p>
            <w:pPr>
              <w:pStyle w:val="Normal"/>
              <w:widowControl/>
              <w:bidi w:val="0"/>
              <w:spacing w:lineRule="auto" w:line="360" w:before="0" w:after="200"/>
              <w:jc w:val="left"/>
              <w:rPr/>
            </w:pPr>
            <w:r>
              <w:rPr>
                <w:rFonts w:cs="Times New Roman"/>
                <w:b w:val="false"/>
                <w:i w:val="false"/>
                <w:sz w:val="24"/>
              </w:rPr>
              <w:t>Retrieval-Augmented Generation</w:t>
            </w:r>
          </w:p>
        </w:tc>
      </w:tr>
      <w:tr>
        <w:trPr/>
        <w:tc>
          <w:tcPr>
            <w:tcW w:w="4320" w:type="dxa"/>
            <w:tcBorders/>
          </w:tcPr>
          <w:p>
            <w:pPr>
              <w:pStyle w:val="Normal"/>
              <w:widowControl/>
              <w:bidi w:val="0"/>
              <w:spacing w:lineRule="auto" w:line="360" w:before="0" w:after="200"/>
              <w:jc w:val="left"/>
              <w:rPr/>
            </w:pPr>
            <w:r>
              <w:rPr>
                <w:rFonts w:cs="Times New Roman"/>
                <w:b/>
                <w:i w:val="false"/>
                <w:sz w:val="24"/>
              </w:rPr>
              <w:t>ReAct</w:t>
            </w:r>
          </w:p>
        </w:tc>
        <w:tc>
          <w:tcPr>
            <w:tcW w:w="4320" w:type="dxa"/>
            <w:tcBorders/>
          </w:tcPr>
          <w:p>
            <w:pPr>
              <w:pStyle w:val="Normal"/>
              <w:widowControl/>
              <w:bidi w:val="0"/>
              <w:spacing w:lineRule="auto" w:line="360" w:before="0" w:after="200"/>
              <w:jc w:val="left"/>
              <w:rPr/>
            </w:pPr>
            <w:r>
              <w:rPr>
                <w:rFonts w:cs="Times New Roman"/>
                <w:b w:val="false"/>
                <w:i w:val="false"/>
                <w:sz w:val="24"/>
              </w:rPr>
              <w:t>Reasoning and Acting</w:t>
            </w:r>
          </w:p>
        </w:tc>
      </w:tr>
      <w:tr>
        <w:trPr/>
        <w:tc>
          <w:tcPr>
            <w:tcW w:w="4320" w:type="dxa"/>
            <w:tcBorders/>
          </w:tcPr>
          <w:p>
            <w:pPr>
              <w:pStyle w:val="Normal"/>
              <w:widowControl/>
              <w:bidi w:val="0"/>
              <w:spacing w:lineRule="auto" w:line="360" w:before="0" w:after="200"/>
              <w:jc w:val="left"/>
              <w:rPr/>
            </w:pPr>
            <w:r>
              <w:rPr>
                <w:rFonts w:cs="Times New Roman"/>
                <w:b/>
                <w:i w:val="false"/>
                <w:sz w:val="24"/>
              </w:rPr>
              <w:t>XAI</w:t>
            </w:r>
          </w:p>
        </w:tc>
        <w:tc>
          <w:tcPr>
            <w:tcW w:w="4320" w:type="dxa"/>
            <w:tcBorders/>
          </w:tcPr>
          <w:p>
            <w:pPr>
              <w:pStyle w:val="Normal"/>
              <w:widowControl/>
              <w:bidi w:val="0"/>
              <w:spacing w:lineRule="auto" w:line="360" w:before="0" w:after="200"/>
              <w:jc w:val="left"/>
              <w:rPr/>
            </w:pPr>
            <w:r>
              <w:rPr>
                <w:rFonts w:cs="Times New Roman"/>
                <w:b w:val="false"/>
                <w:i w:val="false"/>
                <w:sz w:val="24"/>
              </w:rPr>
              <w:t>Explainable Artificial Intelligence</w:t>
            </w:r>
          </w:p>
        </w:tc>
      </w:tr>
    </w:tbl>
    <w:p>
      <w:pPr>
        <w:sectPr>
          <w:footerReference w:type="even" r:id="rId6"/>
          <w:footerReference w:type="default" r:id="rId7"/>
          <w:footerReference w:type="first" r:id="rId8"/>
          <w:type w:val="nextPage"/>
          <w:pgSz w:w="11906" w:h="16838"/>
          <w:pgMar w:left="1800" w:right="1440" w:gutter="0" w:header="0" w:top="1440" w:footer="720" w:bottom="1440"/>
          <w:pgNumType w:start="1" w:fmt="upperRoman"/>
          <w:formProt w:val="false"/>
          <w:textDirection w:val="lrTb"/>
          <w:docGrid w:type="default" w:linePitch="360" w:charSpace="0"/>
        </w:sectPr>
      </w:pPr>
    </w:p>
    <w:p>
      <w:pPr>
        <w:pStyle w:val="Normal"/>
        <w:numPr>
          <w:ilvl w:val="0"/>
          <w:numId w:val="0"/>
        </w:numPr>
        <w:spacing w:lineRule="auto" w:line="360" w:before="0" w:after="360"/>
        <w:jc w:val="center"/>
        <w:outlineLvl w:val="0"/>
        <w:rPr/>
      </w:pPr>
      <w:bookmarkStart w:id="9" w:name="__RefHeading___Toc426_2726808859"/>
      <w:bookmarkEnd w:id="9"/>
      <w:r>
        <w:rPr>
          <w:rFonts w:cs="Times New Roman"/>
          <w:b/>
          <w:i w:val="false"/>
          <w:sz w:val="32"/>
        </w:rPr>
        <w:t>ABSTRACT</w:t>
      </w:r>
    </w:p>
    <w:p>
      <w:pPr>
        <w:pStyle w:val="Normal"/>
        <w:spacing w:lineRule="auto" w:line="360" w:before="0" w:after="120"/>
        <w:jc w:val="both"/>
        <w:rPr/>
      </w:pPr>
      <w:r>
        <w:rPr>
          <w:rFonts w:cs="Times New Roman"/>
          <w:b w:val="false"/>
          <w:i w:val="false"/>
          <w:sz w:val="24"/>
        </w:rPr>
        <w:t>Clinical teams in intensive care generate vast, heterogeneous data, including vital signs, laboratory results, medications, and free-text notes, yet turning this stream into timely, trustworthy decisions remains difficult. Large language models (LLMs) answer medical questions well but behave as passive responders: they lack persistent patient memory, autonomous planning, and verifiable grounding, and they are typically evaluated on static examination-style questions rather than on the longitudinal record of a real patient. This thesis designs an Agentic AI framework for intelligent patient monitoring and clinical decision support that addresses these limitations. The framework organizes specialized LLM agents for monitoring, diagnosis, risk prediction, treatment recommendation, explanation, and a verification gate under a coordinator that routes tasks by patient condition and resolves conflicting recommendations. It couples the ReAct reasoning paradigm with retrieval-augmented generation (RAG) that grounds every recommendation in both the patient’s own electronic health record timeline and external clinical guidelines, and it preserves longitudinal context through a layered memory model. A cross-cutting trustworthy-AI layer provides explainability, audit logging, bias monitoring, confidence calibration, and human-in-the-loop validation so that clinicians retain final authority. The publicly available MIMIC-IV critical-care database is used as the data source, and the study specifies a bounded prototype together with an evaluation protocol that compares the framework against single-LLM, guideline-only RAG, and multi-agent baselines using measures of diagnostic accuracy, factual grounding, risk-prediction discrimination, safety, explanation faithfulness, calibration, and runtime cost. The expected contribution is a coherent, verifiable architecture for longitudinal clinical decision support, an explicit account of how patient-timeline retrieval and a dedicated verification agent affect hallucination and safety, and a reproducible design that future work can implement and validate. The thesis is positioned as a design and methodology contribution that lays the foundation for empirical clinical evaluation.</w:t>
      </w:r>
    </w:p>
    <w:p>
      <w:pPr>
        <w:pStyle w:val="Normal"/>
        <w:spacing w:lineRule="auto" w:line="360" w:before="0" w:after="120"/>
        <w:jc w:val="both"/>
        <w:rPr/>
      </w:pPr>
      <w:r>
        <w:rPr>
          <w:rFonts w:cs="Times New Roman"/>
          <w:b w:val="false"/>
          <w:i w:val="false"/>
          <w:sz w:val="24"/>
        </w:rPr>
        <w:t>Keywords: Agentic AI; large language models; multi-agent systems; retrieval-augmented generation; clinical decision support; patient monitoring; MIMIC-IV; trustworthy AI.</w:t>
      </w:r>
    </w:p>
    <w:p>
      <w:pPr>
        <w:pStyle w:val="Normal"/>
        <w:rPr/>
      </w:pPr>
      <w:r>
        <w:rPr/>
      </w:r>
      <w:r>
        <w:br w:type="page"/>
      </w:r>
    </w:p>
    <w:p>
      <w:pPr>
        <w:pStyle w:val="Normal"/>
        <w:numPr>
          <w:ilvl w:val="0"/>
          <w:numId w:val="0"/>
        </w:numPr>
        <w:spacing w:lineRule="auto" w:line="360" w:before="0" w:after="0"/>
        <w:jc w:val="center"/>
        <w:outlineLvl w:val="0"/>
        <w:rPr/>
      </w:pPr>
      <w:bookmarkStart w:id="10" w:name="__RefHeading___Toc428_2726808859"/>
      <w:bookmarkEnd w:id="10"/>
      <w:r>
        <w:rPr>
          <w:rFonts w:cs="Times New Roman"/>
          <w:b/>
          <w:i w:val="false"/>
          <w:sz w:val="32"/>
        </w:rPr>
        <w:t>CHAPTER ONE</w:t>
      </w:r>
    </w:p>
    <w:p>
      <w:pPr>
        <w:pStyle w:val="Normal"/>
        <w:spacing w:lineRule="auto" w:line="360" w:before="0" w:after="240"/>
        <w:jc w:val="center"/>
        <w:rPr/>
      </w:pPr>
      <w:r>
        <w:rPr>
          <w:rFonts w:cs="Times New Roman"/>
          <w:b/>
          <w:i w:val="false"/>
          <w:sz w:val="32"/>
        </w:rPr>
        <w:t>INTRODUCTION</w:t>
      </w:r>
    </w:p>
    <w:p>
      <w:pPr>
        <w:pStyle w:val="Normal"/>
        <w:spacing w:lineRule="auto" w:line="360" w:before="0" w:after="120"/>
        <w:ind w:firstLine="720"/>
        <w:jc w:val="both"/>
        <w:rPr/>
      </w:pPr>
      <w:r>
        <w:rPr>
          <w:rFonts w:cs="Times New Roman"/>
          <w:b w:val="false"/>
          <w:i w:val="false"/>
          <w:sz w:val="24"/>
        </w:rPr>
        <w:t>This chapter introduces the research and sets out its motivation, aims, and structure. It opens with the background that frames clinical data overload and the shift from passive Large Language Models to Agentic AI, then states the problem the thesis addresses and the specific gap it targets. The chapter next presents the research objectives and the five research questions that guide the investigation, defines the scope and boundaries of the work, and explains its significance for both research and clinical practice. It then gives an overview of the design-oriented research methodology, describes how the remaining chapters are organized, and closes with a summary of the argument developed here. Together these sections establish why an integrated, supervised Agentic AI framework for intelligent patient monitoring is needed and how the rest of the thesis develops it.</w:t>
      </w:r>
    </w:p>
    <w:p>
      <w:pPr>
        <w:pStyle w:val="Normal"/>
        <w:keepNext w:val="true"/>
        <w:numPr>
          <w:ilvl w:val="0"/>
          <w:numId w:val="0"/>
        </w:numPr>
        <w:spacing w:lineRule="auto" w:line="360" w:before="240" w:after="120"/>
        <w:jc w:val="left"/>
        <w:outlineLvl w:val="1"/>
        <w:rPr/>
      </w:pPr>
      <w:bookmarkStart w:id="11" w:name="__RefHeading___Toc430_2726808859"/>
      <w:bookmarkEnd w:id="11"/>
      <w:r>
        <w:rPr>
          <w:rFonts w:cs="Times New Roman"/>
          <w:b/>
          <w:i w:val="false"/>
          <w:sz w:val="28"/>
        </w:rPr>
        <w:t>1.1 Background</w:t>
      </w:r>
    </w:p>
    <w:p>
      <w:pPr>
        <w:pStyle w:val="Normal"/>
        <w:spacing w:lineRule="auto" w:line="360" w:before="0" w:after="120"/>
        <w:ind w:firstLine="720"/>
        <w:jc w:val="both"/>
        <w:rPr/>
      </w:pPr>
      <w:r>
        <w:rPr>
          <w:rFonts w:cs="Times New Roman"/>
          <w:b w:val="false"/>
          <w:i w:val="false"/>
          <w:sz w:val="24"/>
        </w:rPr>
        <w:t>Modern hospitals produce clinical data faster than clinicians can read it. A single intensive care admission generates streams of vital signs, laboratory panels, medication orders, imaging reports, and free-text notes, and each of these has to be interpreted under time pressure and often at odds with an already heavy caseload. The bottleneck is no longer the availability of data but the cognitive work of turning it into a decision. This tension has made healthcare one of the most studied application areas for artificial intelligence, where the promise is not to remove the clinician but to reduce the load of synthesis that precedes every judgment [1].</w:t>
      </w:r>
    </w:p>
    <w:p>
      <w:pPr>
        <w:pStyle w:val="Normal"/>
        <w:spacing w:lineRule="auto" w:line="360" w:before="0" w:after="120"/>
        <w:ind w:firstLine="720"/>
        <w:jc w:val="both"/>
        <w:rPr/>
      </w:pPr>
      <w:r>
        <w:rPr>
          <w:rFonts w:cs="Times New Roman"/>
          <w:b w:val="false"/>
          <w:i w:val="false"/>
          <w:sz w:val="24"/>
        </w:rPr>
        <w:t>Large Language Models (LLMs) sharpened that promise considerably. They read clinical narratives, answer medical questions, and summarize records with a fluency that earlier natural-language systems never reached, and specialized models such as Med-PaLM have shown that this competence extends to expert-level medical question answering [2][1]. Yet fluency is not the same as competence in a clinical workflow. A conventional LLM assistant waits for a prompt, answers once, and forgets the exchange. It holds no persistent record of the patient, plans nothing beyond the current turn, and cannot consult an external guideline unless a human hands it one. For episodic question answering these limits are tolerable; for continuous patient monitoring, where context accumulates over days and a missed trend can matter, they are disqualifying.</w:t>
      </w:r>
    </w:p>
    <w:p>
      <w:pPr>
        <w:pStyle w:val="Normal"/>
        <w:spacing w:lineRule="auto" w:line="360" w:before="0" w:after="120"/>
        <w:ind w:firstLine="720"/>
        <w:jc w:val="both"/>
        <w:rPr/>
      </w:pPr>
      <w:r>
        <w:rPr>
          <w:rFonts w:cs="Times New Roman"/>
          <w:b w:val="false"/>
          <w:i w:val="false"/>
          <w:sz w:val="24"/>
        </w:rPr>
        <w:t>Agentic AI reframes the model as one component inside a larger loop rather than the whole system. An agent perceives its environment, reasons about a goal, plans a sequence of steps, calls external tools, writes to and reads from memory, and revises its approach when feedback contradicts its expectations [3][4]. The reasoning-and-acting pattern formalized in ReAct, the multi-agent coordination demonstrated by AutoGen and CAMEL, and the emergent social behavior of Generative Agents each supplied a piece of this machinery [5][6][7][8]. Sapkota and colleagues argue that the shift from a single tool-using model to a coordinated society of specialized agents is a genuine architectural break rather than a rebranding, and that distinction matters for a domain as compartmentalized as medicine [9].</w:t>
      </w:r>
    </w:p>
    <w:p>
      <w:pPr>
        <w:pStyle w:val="Normal"/>
        <w:spacing w:lineRule="auto" w:line="360" w:before="0" w:after="120"/>
        <w:ind w:firstLine="720"/>
        <w:jc w:val="both"/>
        <w:rPr/>
      </w:pPr>
      <w:r>
        <w:rPr>
          <w:rFonts w:cs="Times New Roman"/>
          <w:b w:val="false"/>
          <w:i w:val="false"/>
          <w:sz w:val="24"/>
        </w:rPr>
        <w:t>Healthcare-oriented agent systems have started to appear, and they are instructive precisely because they remain partial. MedAgents stages a role-played consultation among specialist agents to improve medical reasoning [10]; MedRAG couples retrieval with structured medical knowledge to raise diagnostic specificity [11]; Agent Hospital simulates an entire care setting populated by autonomous agents [12]; and Clinical Camel adapts an open model for medical dialogue [13]. Each advances one capability well. None assembles reasoning, persistent patient memory, evidence retrieval, multi-agent collaboration, and physician oversight into a single architecture aimed at longitudinal monitoring, and that omission is the space this thesis occupies.</w:t>
      </w:r>
    </w:p>
    <w:p>
      <w:pPr>
        <w:pStyle w:val="Normal"/>
        <w:spacing w:lineRule="auto" w:line="360" w:before="0" w:after="120"/>
        <w:ind w:firstLine="720"/>
        <w:jc w:val="both"/>
        <w:rPr/>
      </w:pPr>
      <w:r>
        <w:rPr>
          <w:rFonts w:cs="Times New Roman"/>
          <w:b w:val="false"/>
          <w:i w:val="false"/>
          <w:sz w:val="24"/>
        </w:rPr>
        <w:t>This research proposes an Agentic AI framework for intelligent patient monitoring and clinical decision support. The proposed framework organizes memory management, Retrieval-Augmented Generation (RAG), multi-agent collaboration, reasoning, planning, and trustworthy-AI safeguards into a layered design, and it uses the publicly available MIMIC-IV critical-care database as its data source [14][15]. The design goal is deliberately modest about autonomy and firm about accountability: the framework generates explainable recommendations, but a clinician reviews and authorizes every one of them through a human-in-the-loop step.</w:t>
      </w:r>
    </w:p>
    <w:p>
      <w:pPr>
        <w:pStyle w:val="Normal"/>
        <w:keepNext w:val="true"/>
        <w:numPr>
          <w:ilvl w:val="0"/>
          <w:numId w:val="0"/>
        </w:numPr>
        <w:spacing w:lineRule="auto" w:line="360" w:before="240" w:after="120"/>
        <w:jc w:val="left"/>
        <w:outlineLvl w:val="1"/>
        <w:rPr/>
      </w:pPr>
      <w:bookmarkStart w:id="12" w:name="__RefHeading___Toc432_2726808859"/>
      <w:bookmarkEnd w:id="12"/>
      <w:r>
        <w:rPr>
          <w:rFonts w:cs="Times New Roman"/>
          <w:b/>
          <w:i w:val="false"/>
          <w:sz w:val="28"/>
        </w:rPr>
        <w:t>1.2 Problem Statement</w:t>
      </w:r>
    </w:p>
    <w:p>
      <w:pPr>
        <w:pStyle w:val="Normal"/>
        <w:spacing w:lineRule="auto" w:line="360" w:before="0" w:after="120"/>
        <w:ind w:firstLine="720"/>
        <w:jc w:val="both"/>
        <w:rPr/>
      </w:pPr>
      <w:r>
        <w:rPr>
          <w:rFonts w:cs="Times New Roman"/>
          <w:b w:val="false"/>
          <w:i w:val="false"/>
          <w:sz w:val="24"/>
        </w:rPr>
        <w:t>Healthcare organizations accumulate structured and unstructured records at a scale that outpaces manual interpretation. Electronic Health Records (EHRs), laboratory reports, medication histories, physiological measurements, and clinical notes each carry part of the picture, and a clinician must reconcile them quickly to reach a defensible decision about diagnosis, treatment, and ongoing management. Volume and heterogeneity together make that reconciliation slow and error-prone, and the cost of the delay falls hardest in critical care.</w:t>
      </w:r>
    </w:p>
    <w:p>
      <w:pPr>
        <w:pStyle w:val="Normal"/>
        <w:spacing w:lineRule="auto" w:line="360" w:before="0" w:after="120"/>
        <w:ind w:firstLine="720"/>
        <w:jc w:val="both"/>
        <w:rPr/>
      </w:pPr>
      <w:r>
        <w:rPr>
          <w:rFonts w:cs="Times New Roman"/>
          <w:b w:val="false"/>
          <w:i w:val="false"/>
          <w:sz w:val="24"/>
        </w:rPr>
        <w:t>LLM-based tools address only the surface of this problem. They read and generate clinical language well, but most deployed systems behave as passive responders: they answer the prompt in front of them and retain nothing afterward [1]. They rarely plan across steps, seldom maintain a durable model of the patient, and do not, on their own, coordinate with other specialized components. The consequence is a landscape of narrow tools, each solving one prediction or extraction task, with little that supports a clinical workflow end to end [16].</w:t>
      </w:r>
    </w:p>
    <w:p>
      <w:pPr>
        <w:pStyle w:val="Normal"/>
        <w:spacing w:lineRule="auto" w:line="360" w:before="0" w:after="120"/>
        <w:ind w:firstLine="720"/>
        <w:jc w:val="both"/>
        <w:rPr/>
      </w:pPr>
      <w:r>
        <w:rPr>
          <w:rFonts w:cs="Times New Roman"/>
          <w:b w:val="false"/>
          <w:i w:val="false"/>
          <w:sz w:val="24"/>
        </w:rPr>
        <w:t>Existing clinical decision support inherits these weaknesses and adds its own. Systems that achieve strong predictive accuracy often cannot explain a recommendation, cannot retrieve and cite current medical evidence, and cannot preserve long-term patient context across encounters. Where retrieval is added, as in RAG-based medical systems, it is typically applied to isolated question answering rather than to continuous monitoring under supervision [11][17]. What is missing is not another accurate classifier but an integrated architecture.</w:t>
      </w:r>
    </w:p>
    <w:p>
      <w:pPr>
        <w:pStyle w:val="Normal"/>
        <w:spacing w:lineRule="auto" w:line="360" w:before="0" w:after="120"/>
        <w:ind w:firstLine="720"/>
        <w:jc w:val="both"/>
        <w:rPr/>
      </w:pPr>
      <w:r>
        <w:rPr>
          <w:rFonts w:cs="Times New Roman"/>
          <w:b w:val="false"/>
          <w:i w:val="false"/>
          <w:sz w:val="24"/>
        </w:rPr>
        <w:t>This thesis therefore targets a specific gap: the absence of a unified Agentic AI framework that combines memory management, reasoning, planning, Retrieval-Augmented Generation, multi-agent collaboration, and trustworthy-AI principles for intelligent patient monitoring, and that is designed and evaluated against real-world critical-care data such as MIMIC-IV [14].</w:t>
      </w:r>
    </w:p>
    <w:p>
      <w:pPr>
        <w:pStyle w:val="Normal"/>
        <w:keepNext w:val="true"/>
        <w:numPr>
          <w:ilvl w:val="0"/>
          <w:numId w:val="0"/>
        </w:numPr>
        <w:spacing w:lineRule="auto" w:line="360" w:before="240" w:after="120"/>
        <w:jc w:val="left"/>
        <w:outlineLvl w:val="1"/>
        <w:rPr/>
      </w:pPr>
      <w:bookmarkStart w:id="13" w:name="__RefHeading___Toc434_2726808859"/>
      <w:bookmarkEnd w:id="13"/>
      <w:r>
        <w:rPr>
          <w:rFonts w:cs="Times New Roman"/>
          <w:b/>
          <w:i w:val="false"/>
          <w:sz w:val="28"/>
        </w:rPr>
        <w:t>1.3 Research Objectives</w:t>
      </w:r>
    </w:p>
    <w:p>
      <w:pPr>
        <w:pStyle w:val="Normal"/>
        <w:spacing w:lineRule="auto" w:line="360" w:before="0" w:after="120"/>
        <w:ind w:firstLine="720"/>
        <w:jc w:val="both"/>
        <w:rPr/>
      </w:pPr>
      <w:r>
        <w:rPr>
          <w:rFonts w:cs="Times New Roman"/>
          <w:b w:val="false"/>
          <w:i w:val="false"/>
          <w:sz w:val="24"/>
        </w:rPr>
        <w:t>The primary objective is to design an Agentic AI framework for intelligent patient monitoring and clinical decision support, developed and assessed using the MIMIC-IV dataset [14].</w:t>
      </w:r>
    </w:p>
    <w:p>
      <w:pPr>
        <w:pStyle w:val="Normal"/>
        <w:spacing w:lineRule="auto" w:line="360" w:before="0" w:after="120"/>
        <w:ind w:firstLine="720"/>
        <w:jc w:val="both"/>
        <w:rPr/>
      </w:pPr>
      <w:r>
        <w:rPr>
          <w:rFonts w:cs="Times New Roman"/>
          <w:b w:val="false"/>
          <w:i w:val="false"/>
          <w:sz w:val="24"/>
        </w:rPr>
        <w:t>The specific objectives follow from it. The first is to survey recent work on Agentic AI, LLMs, and intelligent healthcare systems, and to read that literature critically rather than descriptively so that the review yields a defensible gap. The second is to characterize the concrete limitations of existing clinical decision support, distinguishing genuine architectural shortfalls from problems that are merely unsolved engineering. The third is to develop a layered framework that integrates memory, reasoning, planning, RAG, and multi-agent collaboration as interacting layers rather than bolted-on features. The fourth is to design the specialized agents that populate that framework, with distinct responsibilities for monitoring, diagnostic support, risk prediction, treatment recommendation, and clinical explanation. The fifth is to embed trustworthy-AI principles, explainability, transparency, safety verification, auditability, and human-in-the-loop validation, into the architecture rather than treating them as an afterthought. The sixth is to ground the whole design in MIMIC-IV as the primary data source. The seventh, and the one that keeps the thesis honest about its limits, is to deliver a conceptual architecture together with a bounded prototype and a concrete evaluation plan that later work can implement and test at scale.</w:t>
      </w:r>
    </w:p>
    <w:p>
      <w:pPr>
        <w:pStyle w:val="Normal"/>
        <w:keepNext w:val="true"/>
        <w:numPr>
          <w:ilvl w:val="0"/>
          <w:numId w:val="0"/>
        </w:numPr>
        <w:spacing w:lineRule="auto" w:line="360" w:before="240" w:after="120"/>
        <w:jc w:val="left"/>
        <w:outlineLvl w:val="1"/>
        <w:rPr/>
      </w:pPr>
      <w:bookmarkStart w:id="14" w:name="__RefHeading___Toc436_2726808859"/>
      <w:bookmarkEnd w:id="14"/>
      <w:r>
        <w:rPr>
          <w:rFonts w:cs="Times New Roman"/>
          <w:b/>
          <w:i w:val="false"/>
          <w:sz w:val="28"/>
        </w:rPr>
        <w:t>1.4 Research Questions</w:t>
      </w:r>
    </w:p>
    <w:p>
      <w:pPr>
        <w:pStyle w:val="Normal"/>
        <w:spacing w:lineRule="auto" w:line="360" w:before="0" w:after="120"/>
        <w:ind w:firstLine="720"/>
        <w:jc w:val="both"/>
        <w:rPr/>
      </w:pPr>
      <w:r>
        <w:rPr>
          <w:rFonts w:cs="Times New Roman"/>
          <w:b w:val="false"/>
          <w:i w:val="false"/>
          <w:sz w:val="24"/>
        </w:rPr>
        <w:t>Five questions structure the investigation, and each maps onto a chapter of analysis rather than a single claim.</w:t>
      </w:r>
    </w:p>
    <w:p>
      <w:pPr>
        <w:pStyle w:val="Normal"/>
        <w:spacing w:lineRule="auto" w:line="360" w:before="0" w:after="120"/>
        <w:ind w:firstLine="720"/>
        <w:jc w:val="both"/>
        <w:rPr/>
      </w:pPr>
      <w:r>
        <w:rPr>
          <w:rFonts w:cs="Times New Roman"/>
          <w:b/>
          <w:i w:val="false"/>
          <w:sz w:val="24"/>
        </w:rPr>
        <w:t>RQ1.</w:t>
      </w:r>
      <w:r>
        <w:rPr>
          <w:rFonts w:cs="Times New Roman"/>
          <w:b w:val="false"/>
          <w:i w:val="false"/>
          <w:sz w:val="24"/>
        </w:rPr>
        <w:t xml:space="preserve"> What specific limitations of current LLM-based healthcare systems obstruct intelligent patient monitoring and clinical decision support, and which of them are architectural rather than incidental?</w:t>
      </w:r>
    </w:p>
    <w:p>
      <w:pPr>
        <w:pStyle w:val="Normal"/>
        <w:spacing w:lineRule="auto" w:line="360" w:before="0" w:after="120"/>
        <w:ind w:firstLine="720"/>
        <w:jc w:val="both"/>
        <w:rPr/>
      </w:pPr>
      <w:r>
        <w:rPr>
          <w:rFonts w:cs="Times New Roman"/>
          <w:b/>
          <w:i w:val="false"/>
          <w:sz w:val="24"/>
        </w:rPr>
        <w:t>RQ2.</w:t>
      </w:r>
      <w:r>
        <w:rPr>
          <w:rFonts w:cs="Times New Roman"/>
          <w:b w:val="false"/>
          <w:i w:val="false"/>
          <w:sz w:val="24"/>
        </w:rPr>
        <w:t xml:space="preserve"> How can Agentic AI improve reasoning, planning, memory management, and autonomous collaboration in a clinical setting without eroding physician control?</w:t>
      </w:r>
    </w:p>
    <w:p>
      <w:pPr>
        <w:pStyle w:val="Normal"/>
        <w:spacing w:lineRule="auto" w:line="360" w:before="0" w:after="120"/>
        <w:ind w:firstLine="720"/>
        <w:jc w:val="both"/>
        <w:rPr/>
      </w:pPr>
      <w:r>
        <w:rPr>
          <w:rFonts w:cs="Times New Roman"/>
          <w:b/>
          <w:i w:val="false"/>
          <w:sz w:val="24"/>
        </w:rPr>
        <w:t>RQ3.</w:t>
      </w:r>
      <w:r>
        <w:rPr>
          <w:rFonts w:cs="Times New Roman"/>
          <w:b w:val="false"/>
          <w:i w:val="false"/>
          <w:sz w:val="24"/>
        </w:rPr>
        <w:t xml:space="preserve"> How can multiple specialized agents collaborate on a clinical decision while preserving explainability and physician oversight at every step?</w:t>
      </w:r>
    </w:p>
    <w:p>
      <w:pPr>
        <w:pStyle w:val="Normal"/>
        <w:spacing w:lineRule="auto" w:line="360" w:before="0" w:after="120"/>
        <w:ind w:firstLine="720"/>
        <w:jc w:val="both"/>
        <w:rPr/>
      </w:pPr>
      <w:r>
        <w:rPr>
          <w:rFonts w:cs="Times New Roman"/>
          <w:b/>
          <w:i w:val="false"/>
          <w:sz w:val="24"/>
        </w:rPr>
        <w:t>RQ4.</w:t>
      </w:r>
      <w:r>
        <w:rPr>
          <w:rFonts w:cs="Times New Roman"/>
          <w:b w:val="false"/>
          <w:i w:val="false"/>
          <w:sz w:val="24"/>
        </w:rPr>
        <w:t xml:space="preserve"> How can Retrieval-Augmented Generation and external medical knowledge improve the reliability and transparency of AI-generated recommendations, and where does retrieval fail to help?</w:t>
      </w:r>
    </w:p>
    <w:p>
      <w:pPr>
        <w:pStyle w:val="Normal"/>
        <w:spacing w:lineRule="auto" w:line="360" w:before="0" w:after="120"/>
        <w:ind w:firstLine="720"/>
        <w:jc w:val="both"/>
        <w:rPr/>
      </w:pPr>
      <w:r>
        <w:rPr>
          <w:rFonts w:cs="Times New Roman"/>
          <w:b/>
          <w:i w:val="false"/>
          <w:sz w:val="24"/>
        </w:rPr>
        <w:t>RQ5.</w:t>
      </w:r>
      <w:r>
        <w:rPr>
          <w:rFonts w:cs="Times New Roman"/>
          <w:b w:val="false"/>
          <w:i w:val="false"/>
          <w:sz w:val="24"/>
        </w:rPr>
        <w:t xml:space="preserve"> How can the proposed framework support intelligent patient monitoring when instantiated on the MIMIC-IV dataset [14]?</w:t>
      </w:r>
    </w:p>
    <w:p>
      <w:pPr>
        <w:pStyle w:val="Normal"/>
        <w:spacing w:lineRule="auto" w:line="360" w:before="0" w:after="120"/>
        <w:ind w:firstLine="720"/>
        <w:jc w:val="both"/>
        <w:rPr/>
      </w:pPr>
      <w:r>
        <w:rPr>
          <w:rFonts w:cs="Times New Roman"/>
          <w:b w:val="false"/>
          <w:i w:val="false"/>
          <w:sz w:val="24"/>
        </w:rPr>
        <w:t>The framing of RQ1 and RQ4 is intentional: each asks not only what a capability adds but where it stops working, because a review that only catalogs strengths cannot locate a real gap.</w:t>
      </w:r>
    </w:p>
    <w:p>
      <w:pPr>
        <w:pStyle w:val="Normal"/>
        <w:keepNext w:val="true"/>
        <w:numPr>
          <w:ilvl w:val="0"/>
          <w:numId w:val="0"/>
        </w:numPr>
        <w:spacing w:lineRule="auto" w:line="360" w:before="240" w:after="120"/>
        <w:jc w:val="left"/>
        <w:outlineLvl w:val="1"/>
        <w:rPr/>
      </w:pPr>
      <w:bookmarkStart w:id="15" w:name="__RefHeading___Toc438_2726808859"/>
      <w:bookmarkEnd w:id="15"/>
      <w:r>
        <w:rPr>
          <w:rFonts w:cs="Times New Roman"/>
          <w:b/>
          <w:i w:val="false"/>
          <w:sz w:val="28"/>
        </w:rPr>
        <w:t>1.5 Scope of the Research</w:t>
      </w:r>
    </w:p>
    <w:p>
      <w:pPr>
        <w:pStyle w:val="Normal"/>
        <w:spacing w:lineRule="auto" w:line="360" w:before="0" w:after="120"/>
        <w:ind w:firstLine="720"/>
        <w:jc w:val="both"/>
        <w:rPr/>
      </w:pPr>
      <w:r>
        <w:rPr>
          <w:rFonts w:cs="Times New Roman"/>
          <w:b w:val="false"/>
          <w:i w:val="false"/>
          <w:sz w:val="24"/>
        </w:rPr>
        <w:t>This work is a design study. Its deliverable is a conceptual Agentic AI framework, supported by a bounded prototype, rather than production software installed in a hospital. The framework integrates autonomous reasoning, memory management, RAG, planning, and multi-agent collaboration, and it is built around MIMIC-IV, which supplies anonymized critical-care records under a credentialed data-use agreement [14].</w:t>
      </w:r>
    </w:p>
    <w:p>
      <w:pPr>
        <w:pStyle w:val="Normal"/>
        <w:spacing w:lineRule="auto" w:line="360" w:before="0" w:after="120"/>
        <w:ind w:firstLine="720"/>
        <w:jc w:val="both"/>
        <w:rPr/>
      </w:pPr>
      <w:r>
        <w:rPr>
          <w:rFonts w:cs="Times New Roman"/>
          <w:b w:val="false"/>
          <w:i w:val="false"/>
          <w:sz w:val="24"/>
        </w:rPr>
        <w:t>The design covers both structured and unstructured inputs, including demographics, admissions, laboratory results, vital signs, medications, diagnoses, procedures, and clinical notes. A clinician validation layer is part of the architecture by construction, so that recommendations assist rather than replace medical judgment.</w:t>
      </w:r>
    </w:p>
    <w:p>
      <w:pPr>
        <w:pStyle w:val="Normal"/>
        <w:spacing w:lineRule="auto" w:line="360" w:before="0" w:after="120"/>
        <w:ind w:firstLine="720"/>
        <w:jc w:val="both"/>
        <w:rPr/>
      </w:pPr>
      <w:r>
        <w:rPr>
          <w:rFonts w:cs="Times New Roman"/>
          <w:b w:val="false"/>
          <w:i w:val="false"/>
          <w:sz w:val="24"/>
        </w:rPr>
        <w:t>Three things fall outside the scope, and naming them protects the claims that remain inside it. The thesis does not deliver production-ready hospital software, does not integrate with live EHR systems, and does not conduct a prospective clinical trial on real patients. What it does deliver is a framework specification and evaluation plan detailed enough to guide the implementation and validation that a follow-on project would undertake.</w:t>
      </w:r>
    </w:p>
    <w:p>
      <w:pPr>
        <w:pStyle w:val="Normal"/>
        <w:keepNext w:val="true"/>
        <w:numPr>
          <w:ilvl w:val="0"/>
          <w:numId w:val="0"/>
        </w:numPr>
        <w:spacing w:lineRule="auto" w:line="360" w:before="240" w:after="120"/>
        <w:jc w:val="left"/>
        <w:outlineLvl w:val="1"/>
        <w:rPr/>
      </w:pPr>
      <w:bookmarkStart w:id="16" w:name="__RefHeading___Toc440_2726808859"/>
      <w:bookmarkEnd w:id="16"/>
      <w:r>
        <w:rPr>
          <w:rFonts w:cs="Times New Roman"/>
          <w:b/>
          <w:i w:val="false"/>
          <w:sz w:val="28"/>
        </w:rPr>
        <w:t>1.6 Significance of the Research</w:t>
      </w:r>
    </w:p>
    <w:p>
      <w:pPr>
        <w:pStyle w:val="Normal"/>
        <w:spacing w:lineRule="auto" w:line="360" w:before="0" w:after="120"/>
        <w:ind w:firstLine="720"/>
        <w:jc w:val="both"/>
        <w:rPr/>
      </w:pPr>
      <w:r>
        <w:rPr>
          <w:rFonts w:cs="Times New Roman"/>
          <w:b w:val="false"/>
          <w:i w:val="false"/>
          <w:sz w:val="24"/>
        </w:rPr>
        <w:t>The contribution is integrative rather than atomic. Reasoning strategies, memory architectures, retrieval, and multi-agent coordination already exist as separate research threads, and each has been demonstrated in isolation [5][6][11]. The value here lies in specifying how they compose into a single clinical architecture and in making the seams between them explicit, because the seams are where most integrated systems fail. Layering trustworthy-AI mechanisms, explainability, transparency, auditability, and human oversight, into that composition is part of the same argument rather than a separate feature list.</w:t>
      </w:r>
    </w:p>
    <w:p>
      <w:pPr>
        <w:pStyle w:val="Normal"/>
        <w:spacing w:lineRule="auto" w:line="360" w:before="0" w:after="120"/>
        <w:ind w:firstLine="720"/>
        <w:jc w:val="both"/>
        <w:rPr/>
      </w:pPr>
      <w:r>
        <w:rPr>
          <w:rFonts w:cs="Times New Roman"/>
          <w:b w:val="false"/>
          <w:i w:val="false"/>
          <w:sz w:val="24"/>
        </w:rPr>
        <w:t>For practice, the framework describes a system that watches patient state over time, retrieves relevant evidence, assesses risk, drafts recommendations, and explains each one in terms a clinician can check and overrule. Its stance toward the clinician is supportive by design: the human keeps final authority, and the architecture is arranged so that authority is easy to exercise rather than nominal.</w:t>
      </w:r>
    </w:p>
    <w:p>
      <w:pPr>
        <w:pStyle w:val="Normal"/>
        <w:spacing w:lineRule="auto" w:line="360" w:before="0" w:after="120"/>
        <w:ind w:firstLine="720"/>
        <w:jc w:val="both"/>
        <w:rPr/>
      </w:pPr>
      <w:r>
        <w:rPr>
          <w:rFonts w:cs="Times New Roman"/>
          <w:b w:val="false"/>
          <w:i w:val="false"/>
          <w:sz w:val="24"/>
        </w:rPr>
        <w:t>The study also lays groundwork. By anchoring the design to MIMIC-IV and pairing it with an evaluation plan, it gives later researchers a concrete starting point for implementation and empirical testing rather than a diagram to reinterpret [14].</w:t>
      </w:r>
    </w:p>
    <w:p>
      <w:pPr>
        <w:pStyle w:val="Normal"/>
        <w:keepNext w:val="true"/>
        <w:numPr>
          <w:ilvl w:val="0"/>
          <w:numId w:val="0"/>
        </w:numPr>
        <w:spacing w:lineRule="auto" w:line="360" w:before="240" w:after="120"/>
        <w:jc w:val="left"/>
        <w:outlineLvl w:val="1"/>
        <w:rPr/>
      </w:pPr>
      <w:bookmarkStart w:id="17" w:name="__RefHeading___Toc442_2726808859"/>
      <w:bookmarkEnd w:id="17"/>
      <w:r>
        <w:rPr>
          <w:rFonts w:cs="Times New Roman"/>
          <w:b/>
          <w:i w:val="false"/>
          <w:sz w:val="28"/>
        </w:rPr>
        <w:t>1.7 Research Methodology Overview</w:t>
      </w:r>
    </w:p>
    <w:p>
      <w:pPr>
        <w:pStyle w:val="Normal"/>
        <w:spacing w:lineRule="auto" w:line="360" w:before="0" w:after="120"/>
        <w:ind w:firstLine="720"/>
        <w:jc w:val="both"/>
        <w:rPr/>
      </w:pPr>
      <w:r>
        <w:rPr>
          <w:rFonts w:cs="Times New Roman"/>
          <w:b w:val="false"/>
          <w:i w:val="false"/>
          <w:sz w:val="24"/>
        </w:rPr>
        <w:t>The methodology is design-oriented and proceeds in four phases. The first is a critical literature review spanning Agentic AI, LLMs, multi-agent systems, RAG, reasoning frameworks, and intelligent healthcare applications, read with the aim of exposing limitations rather than cataloging achievements [3][16].</w:t>
      </w:r>
    </w:p>
    <w:p>
      <w:pPr>
        <w:pStyle w:val="Normal"/>
        <w:spacing w:lineRule="auto" w:line="360" w:before="0" w:after="120"/>
        <w:ind w:firstLine="720"/>
        <w:jc w:val="both"/>
        <w:rPr/>
      </w:pPr>
      <w:r>
        <w:rPr>
          <w:rFonts w:cs="Times New Roman"/>
          <w:b w:val="false"/>
          <w:i w:val="false"/>
          <w:sz w:val="24"/>
        </w:rPr>
        <w:t>The second phase converts that reading into a research gap through comparative analysis of recent systems, and organizes the findings as a taxonomy of LLM-based agents that classifies architectural components and research trends. The third phase proposes the layered framework itself, integrating MIMIC-IV data handling, memory management, reasoning modules, multi-agent orchestration, clinical decision support, and trustworthy-AI mechanisms; the full architecture is presented in Chapter 3. The fourth phase analyzes the proposed design conceptually and against existing approaches, and specifies how a bounded prototype would be evaluated, with the experimental design detailed in Chapter 4.</w:t>
      </w:r>
    </w:p>
    <w:p>
      <w:pPr>
        <w:pStyle w:val="Normal"/>
        <w:keepNext w:val="true"/>
        <w:numPr>
          <w:ilvl w:val="0"/>
          <w:numId w:val="0"/>
        </w:numPr>
        <w:spacing w:lineRule="auto" w:line="360" w:before="240" w:after="120"/>
        <w:jc w:val="left"/>
        <w:outlineLvl w:val="1"/>
        <w:rPr/>
      </w:pPr>
      <w:bookmarkStart w:id="18" w:name="__RefHeading___Toc444_2726808859"/>
      <w:bookmarkEnd w:id="18"/>
      <w:r>
        <w:rPr>
          <w:rFonts w:cs="Times New Roman"/>
          <w:b/>
          <w:i w:val="false"/>
          <w:sz w:val="28"/>
        </w:rPr>
        <w:t>1.8 Thesis Organization</w:t>
      </w:r>
    </w:p>
    <w:p>
      <w:pPr>
        <w:pStyle w:val="Normal"/>
        <w:spacing w:lineRule="auto" w:line="360" w:before="0" w:after="120"/>
        <w:ind w:firstLine="720"/>
        <w:jc w:val="both"/>
        <w:rPr/>
      </w:pPr>
      <w:r>
        <w:rPr>
          <w:rFonts w:cs="Times New Roman"/>
          <w:b w:val="false"/>
          <w:i w:val="false"/>
          <w:sz w:val="24"/>
        </w:rPr>
        <w:t>The thesis runs to five chapters. Chapter 1 sets out the background, problem, objectives, questions, scope, significance, and methodology. Chapter 2 reviews the literature on LLMs, Agentic AI, reasoning methods, multi-agent systems, RAG, healthcare AI, and trustworthy AI, presents the taxonomy of LLM-based agents, and identifies the research gap. Chapter 3 presents the proposed framework and methodology, describing the layered architecture, the MIMIC-IV data source, and the interaction among the agents. Chapter 4 sets out the experimental design and evaluation, including the setup, metrics, and planned analysis. Chapter 5 concludes by summarizing the contributions, revisiting the research questions, stating the limitations honestly, and outlining future work.</w:t>
      </w:r>
    </w:p>
    <w:p>
      <w:pPr>
        <w:pStyle w:val="Normal"/>
        <w:spacing w:lineRule="auto" w:line="360" w:before="0" w:after="120"/>
        <w:ind w:firstLine="720"/>
        <w:jc w:val="both"/>
        <w:rPr/>
      </w:pPr>
      <w:r>
        <w:rPr>
          <w:rFonts w:cs="Times New Roman"/>
          <w:b w:val="false"/>
          <w:i w:val="false"/>
          <w:sz w:val="24"/>
        </w:rPr>
        <w:t>Note that the architecture is documented in Chapter 3, not Chapter 4; earlier draft labels that placed the framework figures in Chapter 4 are corrected throughout this revision.</w:t>
      </w:r>
    </w:p>
    <w:p>
      <w:pPr>
        <w:pStyle w:val="Normal"/>
        <w:keepNext w:val="true"/>
        <w:numPr>
          <w:ilvl w:val="0"/>
          <w:numId w:val="0"/>
        </w:numPr>
        <w:spacing w:lineRule="auto" w:line="360" w:before="240" w:after="120"/>
        <w:jc w:val="left"/>
        <w:outlineLvl w:val="1"/>
        <w:rPr/>
      </w:pPr>
      <w:bookmarkStart w:id="19" w:name="__RefHeading___Toc446_2726808859"/>
      <w:bookmarkEnd w:id="19"/>
      <w:r>
        <w:rPr>
          <w:rFonts w:cs="Times New Roman"/>
          <w:b/>
          <w:i w:val="false"/>
          <w:sz w:val="28"/>
        </w:rPr>
        <w:t>1.9 Chapter Summary</w:t>
      </w:r>
    </w:p>
    <w:p>
      <w:pPr>
        <w:pStyle w:val="Normal"/>
        <w:spacing w:lineRule="auto" w:line="360" w:before="0" w:after="120"/>
        <w:ind w:firstLine="720"/>
        <w:jc w:val="both"/>
        <w:rPr/>
      </w:pPr>
      <w:r>
        <w:rPr>
          <w:rFonts w:cs="Times New Roman"/>
          <w:b w:val="false"/>
          <w:i w:val="false"/>
          <w:sz w:val="24"/>
        </w:rPr>
        <w:t>This chapter argued that the obstacle to useful clinical AI is integration, not raw model capability. LLMs read and write medical language well but act as passive, memoryless responders, and existing decision support tends to be accurate yet narrow, opaque, and disconnected from current evidence. Agentic AI supplies the missing machinery, reasoning, planning, memory, tool use, and collaboration, but the healthcare systems built on it so far each solve only one part of the problem. The proposed framework answers that gap by composing these capabilities into a layered, supervised architecture grounded in MIMIC-IV. The next chapter reviews the underlying literature in depth, builds the taxonomy of LLM-based agents, and states the research gap that the framework is designed to close.</w:t>
      </w:r>
    </w:p>
    <w:p>
      <w:pPr>
        <w:pStyle w:val="Normal"/>
        <w:rPr/>
      </w:pPr>
      <w:r>
        <w:rPr/>
      </w:r>
      <w:r>
        <w:br w:type="page"/>
      </w:r>
    </w:p>
    <w:p>
      <w:pPr>
        <w:pStyle w:val="Normal"/>
        <w:numPr>
          <w:ilvl w:val="0"/>
          <w:numId w:val="0"/>
        </w:numPr>
        <w:spacing w:lineRule="auto" w:line="360" w:before="0" w:after="0"/>
        <w:jc w:val="center"/>
        <w:outlineLvl w:val="0"/>
        <w:rPr/>
      </w:pPr>
      <w:bookmarkStart w:id="20" w:name="__RefHeading___Toc448_2726808859"/>
      <w:bookmarkEnd w:id="20"/>
      <w:r>
        <w:rPr>
          <w:rFonts w:cs="Times New Roman"/>
          <w:b/>
          <w:i w:val="false"/>
          <w:sz w:val="32"/>
        </w:rPr>
        <w:t>CHAPTER TWO</w:t>
      </w:r>
    </w:p>
    <w:p>
      <w:pPr>
        <w:pStyle w:val="Normal"/>
        <w:spacing w:lineRule="auto" w:line="360" w:before="0" w:after="240"/>
        <w:jc w:val="center"/>
        <w:rPr/>
      </w:pPr>
      <w:r>
        <w:rPr>
          <w:rFonts w:cs="Times New Roman"/>
          <w:b/>
          <w:i w:val="false"/>
          <w:sz w:val="32"/>
        </w:rPr>
        <w:t>LITERATURE REVIEW</w:t>
      </w:r>
    </w:p>
    <w:p>
      <w:pPr>
        <w:pStyle w:val="Normal"/>
        <w:spacing w:lineRule="auto" w:line="360" w:before="0" w:after="120"/>
        <w:ind w:firstLine="720"/>
        <w:jc w:val="both"/>
        <w:rPr/>
      </w:pPr>
      <w:r>
        <w:rPr>
          <w:rFonts w:cs="Times New Roman"/>
          <w:b w:val="false"/>
          <w:i w:val="false"/>
          <w:sz w:val="24"/>
        </w:rPr>
        <w:t>This chapter reviews the research that underpins the proposed Agentic AI framework and builds the argument for it critically rather than descriptively. It begins by tracing the move from Large Language Models to LLM-based agents and then to Agentic AI, examining the concepts, characteristics, and architectural layers that distinguish an agent from a passive model. It surveys the influential agent frameworks, ReAct, AutoGen, CAMEL, MetaGPT, and related systems, and organizes their capabilities into a taxonomy of memory, planning, reasoning, tool use, multi-agent collaboration, and healthcare application. The chapter then turns to the clinical domain, reviewing artificial intelligence and Large Language Models in healthcare, clinical decision support, Retrieval-Augmented Generation, and the trustworthy-AI mechanisms that any clinical system must satisfy. It closes with a research gap analysis that synthesizes these threads and a chapter summary. Throughout, the review reads prior work for what it fails to do as much as for what it achieves, because locating a defensible gap, not cataloguing achievements, is its purpose.</w:t>
      </w:r>
    </w:p>
    <w:p>
      <w:pPr>
        <w:pStyle w:val="Normal"/>
        <w:keepNext w:val="true"/>
        <w:numPr>
          <w:ilvl w:val="0"/>
          <w:numId w:val="0"/>
        </w:numPr>
        <w:spacing w:lineRule="auto" w:line="360" w:before="240" w:after="120"/>
        <w:jc w:val="left"/>
        <w:outlineLvl w:val="1"/>
        <w:rPr/>
      </w:pPr>
      <w:bookmarkStart w:id="21" w:name="__RefHeading___Toc450_2726808859"/>
      <w:bookmarkEnd w:id="21"/>
      <w:r>
        <w:rPr>
          <w:rFonts w:cs="Times New Roman"/>
          <w:b/>
          <w:i w:val="false"/>
          <w:sz w:val="28"/>
        </w:rPr>
        <w:t>2.1 Introduction</w:t>
      </w:r>
    </w:p>
    <w:p>
      <w:pPr>
        <w:pStyle w:val="Normal"/>
        <w:spacing w:lineRule="auto" w:line="360" w:before="0" w:after="120"/>
        <w:ind w:firstLine="720"/>
        <w:jc w:val="both"/>
        <w:rPr/>
      </w:pPr>
      <w:r>
        <w:rPr>
          <w:rFonts w:cs="Times New Roman"/>
          <w:b w:val="false"/>
          <w:i w:val="false"/>
          <w:sz w:val="24"/>
        </w:rPr>
        <w:t>This chapter presents a critical review of the literature on Agentic Artificial Intelligence (AI), Large Language Models (LLMs), Retrieval-Augmented Generation (RAG), multi-agent systems, and their applications in healthcare. Its purpose is to establish the theoretical and technical foundation for the proposed Agentic AI framework for intelligent patient monitoring and clinical decision support, and, more importantly, to expose the limitations of existing work that the framework is designed to address.</w:t>
      </w:r>
    </w:p>
    <w:p>
      <w:pPr>
        <w:pStyle w:val="Normal"/>
        <w:spacing w:lineRule="auto" w:line="360" w:before="0" w:after="120"/>
        <w:ind w:firstLine="720"/>
        <w:jc w:val="both"/>
        <w:rPr/>
      </w:pPr>
      <w:r>
        <w:rPr>
          <w:rFonts w:cs="Times New Roman"/>
          <w:b w:val="false"/>
          <w:i w:val="false"/>
          <w:sz w:val="24"/>
        </w:rPr>
        <w:t>Recent advances in Large Language Models have widened the reach of artificial intelligence well beyond conventional prediction. Modern systems reason, plan, manage memory, call external tools, and execute tasks with limited human intervention, and these capabilities have converged into Agentic AI, in which intelligent agents collaborate to solve problems through coordinated decision-making and interaction with external knowledge [3][4]. In healthcare, AI has produced promising results in diagnosis, clinical documentation, medical question answering, risk prediction, and treatment recommendation [1][16]. Persistent obstacles, hallucinated responses, opaque reasoning, fragmented patient information, and the absence of continuous patient context, continue to slow clinical adoption, and researchers have proposed retrieval augmentation, multi-agent collaboration, persistent memory, and explainable AI to address them.</w:t>
      </w:r>
    </w:p>
    <w:p>
      <w:pPr>
        <w:pStyle w:val="Normal"/>
        <w:spacing w:lineRule="auto" w:line="360" w:before="0" w:after="120"/>
        <w:ind w:firstLine="720"/>
        <w:jc w:val="both"/>
        <w:rPr/>
      </w:pPr>
      <w:r>
        <w:rPr>
          <w:rFonts w:cs="Times New Roman"/>
          <w:b w:val="false"/>
          <w:i w:val="false"/>
          <w:sz w:val="24"/>
        </w:rPr>
        <w:t>The review that follows does not merely summarize these contributions. It reads them for their architectural components, memory, reasoning, retrieval, orchestration, and trustworthy-AI safeguards, and it asks in each case what the cited work does not do. The chapter concludes with a research gap analysis that synthesizes these findings and motivates a unified framework combining reasoning, memory, Retrieval-Augmented Generation, multi-agent collaboration, and human-in-the-loop validation for clinical decision support grounded in the MIMIC-IV dataset [14].</w:t>
      </w:r>
    </w:p>
    <w:p>
      <w:pPr>
        <w:pStyle w:val="Normal"/>
        <w:keepNext w:val="true"/>
        <w:numPr>
          <w:ilvl w:val="0"/>
          <w:numId w:val="0"/>
        </w:numPr>
        <w:spacing w:lineRule="auto" w:line="360" w:before="240" w:after="120"/>
        <w:jc w:val="left"/>
        <w:outlineLvl w:val="1"/>
        <w:rPr/>
      </w:pPr>
      <w:bookmarkStart w:id="22" w:name="__RefHeading___Toc452_2726808859"/>
      <w:bookmarkEnd w:id="22"/>
      <w:r>
        <w:rPr>
          <w:rFonts w:cs="Times New Roman"/>
          <w:b/>
          <w:i w:val="false"/>
          <w:sz w:val="28"/>
        </w:rPr>
        <w:t>2.2 Large Language Models and LLM-Based Agents</w:t>
      </w:r>
    </w:p>
    <w:p>
      <w:pPr>
        <w:pStyle w:val="Normal"/>
        <w:spacing w:lineRule="auto" w:line="360" w:before="0" w:after="120"/>
        <w:ind w:firstLine="720"/>
        <w:jc w:val="both"/>
        <w:rPr/>
      </w:pPr>
      <w:r>
        <w:rPr>
          <w:rFonts w:cs="Times New Roman"/>
          <w:b w:val="false"/>
          <w:i w:val="false"/>
          <w:sz w:val="24"/>
        </w:rPr>
        <w:t>The arrival of Large Language Models changed how AI systems process information, generate language, and interact with users. Where earlier machine learning systems were trained for a single task on task-specific data, LLMs learn general competence from large-scale pre-training and can then perform language understanding, reasoning, summarization, question answering, and decision support without task-specific retraining [1]. That generality is the foundation on which everything in this chapter is built.</w:t>
      </w:r>
    </w:p>
    <w:p>
      <w:pPr>
        <w:pStyle w:val="Normal"/>
        <w:spacing w:lineRule="auto" w:line="360" w:before="0" w:after="120"/>
        <w:ind w:firstLine="720"/>
        <w:jc w:val="both"/>
        <w:rPr/>
      </w:pPr>
      <w:r>
        <w:rPr>
          <w:rFonts w:cs="Times New Roman"/>
          <w:b w:val="false"/>
          <w:i w:val="false"/>
          <w:sz w:val="24"/>
        </w:rPr>
        <w:t xml:space="preserve">The limitation is equally foundational. A conventional LLM is a passive response generator: it receives a prompt, produces an answer, and terminates the interaction. However strong its language competence, it lacks the properties an autonomous system needs, persistent memory, long-term planning, interaction with an external environment, and independent decision-making. These gaps motivated the extension of LLMs into </w:t>
      </w:r>
      <w:r>
        <w:rPr>
          <w:rFonts w:cs="Times New Roman"/>
          <w:b/>
          <w:i w:val="false"/>
          <w:sz w:val="24"/>
        </w:rPr>
        <w:t>LLM-based agents</w:t>
      </w:r>
      <w:r>
        <w:rPr>
          <w:rFonts w:cs="Times New Roman"/>
          <w:b w:val="false"/>
          <w:i w:val="false"/>
          <w:sz w:val="24"/>
        </w:rPr>
        <w:t>, which wrap the model in additional components, memory systems, planning mechanisms, reasoning strategies, external tools, knowledge retrieval, and feedback loops, so that the system can perceive information, reason over it, act, and improve.</w:t>
      </w:r>
    </w:p>
    <w:p>
      <w:pPr>
        <w:pStyle w:val="Normal"/>
        <w:spacing w:lineRule="auto" w:line="360" w:before="0" w:after="120"/>
        <w:ind w:firstLine="720"/>
        <w:jc w:val="both"/>
        <w:rPr/>
      </w:pPr>
      <w:r>
        <w:rPr>
          <w:rFonts w:cs="Times New Roman"/>
          <w:b w:val="false"/>
          <w:i w:val="false"/>
          <w:sz w:val="24"/>
        </w:rPr>
        <w:t xml:space="preserve">A typical LLM-based agent is organized around three modules. The </w:t>
      </w:r>
      <w:r>
        <w:rPr>
          <w:rFonts w:cs="Times New Roman"/>
          <w:b/>
          <w:i w:val="false"/>
          <w:sz w:val="24"/>
        </w:rPr>
        <w:t>brain</w:t>
      </w:r>
      <w:r>
        <w:rPr>
          <w:rFonts w:cs="Times New Roman"/>
          <w:b w:val="false"/>
          <w:i w:val="false"/>
          <w:sz w:val="24"/>
        </w:rPr>
        <w:t xml:space="preserve"> is the reasoning capability supplied by the underlying language model, responsible for task understanding, decision-making, and intermediate reasoning. The </w:t>
      </w:r>
      <w:r>
        <w:rPr>
          <w:rFonts w:cs="Times New Roman"/>
          <w:b/>
          <w:i w:val="false"/>
          <w:sz w:val="24"/>
        </w:rPr>
        <w:t>perception</w:t>
      </w:r>
      <w:r>
        <w:rPr>
          <w:rFonts w:cs="Times New Roman"/>
          <w:b w:val="false"/>
          <w:i w:val="false"/>
          <w:sz w:val="24"/>
        </w:rPr>
        <w:t xml:space="preserve"> module gathers information from external sources, databases, sensors, or user interaction. The </w:t>
      </w:r>
      <w:r>
        <w:rPr>
          <w:rFonts w:cs="Times New Roman"/>
          <w:b/>
          <w:i w:val="false"/>
          <w:sz w:val="24"/>
        </w:rPr>
        <w:t>action</w:t>
      </w:r>
      <w:r>
        <w:rPr>
          <w:rFonts w:cs="Times New Roman"/>
          <w:b w:val="false"/>
          <w:i w:val="false"/>
          <w:sz w:val="24"/>
        </w:rPr>
        <w:t xml:space="preserve"> module executes tasks through tools, APIs, software systems, or interaction with other agents. This decomposition is what turns a text generator into something that can pursue a goal over several steps.</w:t>
      </w:r>
    </w:p>
    <w:p>
      <w:pPr>
        <w:pStyle w:val="Normal"/>
        <w:spacing w:lineRule="auto" w:line="360" w:before="0" w:after="120"/>
        <w:ind w:firstLine="720"/>
        <w:jc w:val="both"/>
        <w:rPr/>
      </w:pPr>
      <w:r>
        <w:rPr>
          <w:rFonts w:cs="Times New Roman"/>
          <w:b w:val="false"/>
          <w:i w:val="false"/>
          <w:sz w:val="24"/>
        </w:rPr>
        <w:t>Several lines of work supplied the machinery that makes such agents effective. The ReAct pattern interleaves reasoning traces with task-specific actions, letting an agent analyze a problem, act on the environment, observe the result, and revise its plan, which improves performance on tasks that require both reasoning and external retrieval [5]. Generative Agents introduced a memory-stream architecture in which an agent records experiences and observations, retrieves relevant history, reflects, and plans, a capability directly relevant to healthcare, where previous diagnoses, clinical history, treatment responses, and monitoring observations must persist over long periods [8]. Multi-agent frameworks such as AutoGen, CAMEL, and MetaGPT extended the paradigm further, showing how specialized agents with distinct roles can communicate and coordinate to solve problems no single agent handles well, an arrangement that mirrors the collaboration among specialists in clinical care [6][7][18]. A further advance was the integration of Retrieval-Augmented Generation, which connects a model to external knowledge, medical databases, guidelines, literature, and records, so that responses rest on retrieved evidence rather than parameters alone, reducing hallucination and improving reliability [15].</w:t>
      </w:r>
    </w:p>
    <w:p>
      <w:pPr>
        <w:pStyle w:val="Normal"/>
        <w:spacing w:lineRule="auto" w:line="360" w:before="0" w:after="120"/>
        <w:ind w:firstLine="720"/>
        <w:jc w:val="both"/>
        <w:rPr/>
      </w:pPr>
      <w:r>
        <w:rPr>
          <w:rFonts w:cs="Times New Roman"/>
          <w:b w:val="false"/>
          <w:i w:val="false"/>
          <w:sz w:val="24"/>
        </w:rPr>
        <w:t>In healthcare these ideas have produced early but instructive systems. MedAgents stages collaborative medical reasoning among specialist agents, MedRAG couples retrieval with structured medical knowledge, Agent Hospital simulates an autonomous care environment, and Med-PaLM and related models demonstrate strong medical question answering [10][11][12][2]. Each shows that LLM capabilities can be adapted to medical reasoning, yet each also inherits the reliability, transparency, and privacy concerns that make clinical deployment hard: hallucination, biased recommendations, faulty reasoning chains, and limited explainability remain unresolved. This is why trustworthy-AI mechanisms, human-in-the-loop validation, explainable recommendations, audit logging, and safety verification, are not optional additions but preconditions for any healthcare-focused agent, a theme developed in Section 2.9. For the present research, LLM-based agents supply the foundation on which memory, reasoning, planning, retrieval, and specialized clinical agents are composed into the proposed framework.</w:t>
      </w:r>
    </w:p>
    <w:p>
      <w:pPr>
        <w:pStyle w:val="Normal"/>
        <w:keepNext w:val="true"/>
        <w:numPr>
          <w:ilvl w:val="0"/>
          <w:numId w:val="0"/>
        </w:numPr>
        <w:spacing w:lineRule="auto" w:line="360" w:before="240" w:after="120"/>
        <w:jc w:val="left"/>
        <w:outlineLvl w:val="1"/>
        <w:rPr/>
      </w:pPr>
      <w:bookmarkStart w:id="23" w:name="__RefHeading___Toc454_2726808859"/>
      <w:bookmarkEnd w:id="23"/>
      <w:r>
        <w:rPr>
          <w:rFonts w:cs="Times New Roman"/>
          <w:b/>
          <w:i w:val="false"/>
          <w:sz w:val="28"/>
        </w:rPr>
        <w:t>2.3 Agentic AI: Concepts and Evolution</w:t>
      </w:r>
    </w:p>
    <w:p>
      <w:pPr>
        <w:pStyle w:val="Normal"/>
        <w:keepNext w:val="true"/>
        <w:numPr>
          <w:ilvl w:val="0"/>
          <w:numId w:val="0"/>
        </w:numPr>
        <w:spacing w:lineRule="auto" w:line="360" w:before="240" w:after="120"/>
        <w:jc w:val="left"/>
        <w:outlineLvl w:val="2"/>
        <w:rPr/>
      </w:pPr>
      <w:bookmarkStart w:id="24" w:name="__RefHeading___Toc456_2726808859"/>
      <w:bookmarkEnd w:id="24"/>
      <w:r>
        <w:rPr>
          <w:rFonts w:cs="Times New Roman"/>
          <w:b/>
          <w:i w:val="false"/>
          <w:sz w:val="24"/>
        </w:rPr>
        <w:t>2.3.1 From Fluent Text to Goal-Directed Action</w:t>
      </w:r>
    </w:p>
    <w:p>
      <w:pPr>
        <w:pStyle w:val="Normal"/>
        <w:spacing w:lineRule="auto" w:line="360" w:before="0" w:after="120"/>
        <w:ind w:firstLine="720"/>
        <w:jc w:val="both"/>
        <w:rPr/>
      </w:pPr>
      <w:r>
        <w:rPr>
          <w:rFonts w:cs="Times New Roman"/>
          <w:b w:val="false"/>
          <w:i w:val="false"/>
          <w:sz w:val="24"/>
        </w:rPr>
        <w:t>Large Language Models made text generation cheap and fluent, and in doing so they exposed how little fluency alone accomplishes when a task requires acting over time. Out of that gap grew Agentic AI: systems that do not merely produce text but analyze a situation, form a plan, take actions, and adjust when the environment answers back [3][4]. The distinction is easy to blur, and Sapkota and colleagues take pains to separate a single tool-using model from a coordinated collection of specialized agents, arguing that only the latter earns the label "agentic" [9]. That separation is not pedantic. A monitoring task that spans a multi-day admission cannot be served by a model that forgets each exchange, so the architectural difference has direct clinical consequences.</w:t>
      </w:r>
    </w:p>
    <w:p>
      <w:pPr>
        <w:pStyle w:val="Normal"/>
        <w:spacing w:lineRule="auto" w:line="360" w:before="0" w:after="120"/>
        <w:ind w:firstLine="720"/>
        <w:jc w:val="both"/>
        <w:rPr/>
      </w:pPr>
      <w:r>
        <w:rPr>
          <w:rFonts w:cs="Times New Roman"/>
          <w:b w:val="false"/>
          <w:i w:val="false"/>
          <w:sz w:val="24"/>
        </w:rPr>
        <w:t>Where a task-specific model is trained to do one thing, an agent is organized around a goal it decomposes on its own. It reads a complex objective, breaks it into steps, chooses a strategy, reaches for external tools when its own knowledge runs out, and coordinates with other agents when the problem exceeds any single role [4]. In healthcare this proactive stance matters because clinical work is itself a loop of observation, hypothesis, evidence-gathering, and revision rather than a one-shot answer. The critical caveat, easy to lose in the enthusiasm, is that autonomy is a liability as much as a feature in medicine: the same initiative that lets an agent chase down evidence also lets it compound an early error across several steps before anyone notices, which is why the sections that follow treat oversight as a design constraint rather than an add-on.</w:t>
      </w:r>
    </w:p>
    <w:p>
      <w:pPr>
        <w:pStyle w:val="Normal"/>
        <w:keepNext w:val="true"/>
        <w:numPr>
          <w:ilvl w:val="0"/>
          <w:numId w:val="0"/>
        </w:numPr>
        <w:spacing w:lineRule="auto" w:line="360" w:before="240" w:after="120"/>
        <w:jc w:val="left"/>
        <w:outlineLvl w:val="2"/>
        <w:rPr/>
      </w:pPr>
      <w:bookmarkStart w:id="25" w:name="__RefHeading___Toc458_2726808859"/>
      <w:bookmarkEnd w:id="25"/>
      <w:r>
        <w:rPr>
          <w:rFonts w:cs="Times New Roman"/>
          <w:b/>
          <w:i w:val="false"/>
          <w:sz w:val="24"/>
        </w:rPr>
        <w:t>2.3.2 Evolution from Traditional AI to Agentic AI</w:t>
      </w:r>
    </w:p>
    <w:p>
      <w:pPr>
        <w:pStyle w:val="Normal"/>
        <w:spacing w:lineRule="auto" w:line="360" w:before="0" w:after="120"/>
        <w:ind w:firstLine="720"/>
        <w:jc w:val="both"/>
        <w:rPr/>
      </w:pPr>
      <w:r>
        <w:rPr>
          <w:rFonts w:cs="Times New Roman"/>
          <w:b w:val="false"/>
          <w:i w:val="false"/>
          <w:sz w:val="24"/>
        </w:rPr>
        <w:t>The path to Agentic AI runs through several stages, and each stage solved a problem while leaving another untouched. Early clinical AI was rule-based: expert systems encoded medical knowledge as explicit if-then logic. They worked inside narrow, well-specified scenarios, but they demanded painstaking manual knowledge engineering and broke whenever a guideline changed or a patient failed to match a coded pattern. Because real medicine is thick with uncertainty and interacting factors, rule-based systems could never cover the space they were meant to serve.</w:t>
      </w:r>
    </w:p>
    <w:p>
      <w:pPr>
        <w:pStyle w:val="Normal"/>
        <w:spacing w:lineRule="auto" w:line="360" w:before="0" w:after="120"/>
        <w:ind w:firstLine="720"/>
        <w:jc w:val="both"/>
        <w:rPr/>
      </w:pPr>
      <w:r>
        <w:rPr>
          <w:rFonts w:cs="Times New Roman"/>
          <w:b w:val="false"/>
          <w:i w:val="false"/>
          <w:sz w:val="24"/>
        </w:rPr>
        <w:t>Machine learning shifted the burden from hand-written rules to learned patterns, which enabled risk prediction, readmission estimation, and early-warning scores drawn from historical data. Deep learning pushed further, extracting features automatically from notes, images, and physiological signals. What neither delivered was reasoning a clinician could follow or interaction that extended beyond a fixed prediction; the output was a number, and the justification stayed inside the network. LLMs then loosened the format constraint by handling open-ended language, but the earliest ones were conversational engines with no persistent memory, no planning, and no way to touch the world outside their context window. Agentic AI closes these gaps by wrapping an LLM in additional machinery, memory across short and long horizons, planning and task decomposition, explicit reasoning, tool use, Retrieval-Augmented Generation, multi-agent collaboration, and self-reflection [5][19][15]. The important point is that these components are not merely accumulated; they convert a response generator into a system that can pursue a goal. That said, each added component is also an added failure mode, and the literature has been quicker to demonstrate the capabilities than to characterize how they fail together.</w:t>
      </w:r>
    </w:p>
    <w:p>
      <w:pPr>
        <w:pStyle w:val="Normal"/>
        <w:keepNext w:val="true"/>
        <w:numPr>
          <w:ilvl w:val="0"/>
          <w:numId w:val="0"/>
        </w:numPr>
        <w:spacing w:lineRule="auto" w:line="360" w:before="240" w:after="120"/>
        <w:jc w:val="left"/>
        <w:outlineLvl w:val="2"/>
        <w:rPr/>
      </w:pPr>
      <w:bookmarkStart w:id="26" w:name="__RefHeading___Toc460_2726808859"/>
      <w:bookmarkEnd w:id="26"/>
      <w:r>
        <w:rPr>
          <w:rFonts w:cs="Times New Roman"/>
          <w:b/>
          <w:i w:val="false"/>
          <w:sz w:val="24"/>
        </w:rPr>
        <w:t>2.3.3 Characteristics of Agentic AI Systems</w:t>
      </w:r>
    </w:p>
    <w:p>
      <w:pPr>
        <w:pStyle w:val="Normal"/>
        <w:spacing w:lineRule="auto" w:line="360" w:before="0" w:after="120"/>
        <w:ind w:firstLine="720"/>
        <w:jc w:val="both"/>
        <w:rPr/>
      </w:pPr>
      <w:r>
        <w:rPr>
          <w:rFonts w:cs="Times New Roman"/>
          <w:b w:val="false"/>
          <w:i w:val="false"/>
          <w:sz w:val="24"/>
        </w:rPr>
        <w:t xml:space="preserve">Several properties separate an agentic system from a conventional model, and a clinical framework has to earn each one. </w:t>
      </w:r>
      <w:r>
        <w:rPr>
          <w:rFonts w:cs="Times New Roman"/>
          <w:b/>
          <w:i w:val="false"/>
          <w:sz w:val="24"/>
        </w:rPr>
        <w:t>Autonomous decision-making</w:t>
      </w:r>
      <w:r>
        <w:rPr>
          <w:rFonts w:cs="Times New Roman"/>
          <w:b w:val="false"/>
          <w:i w:val="false"/>
          <w:sz w:val="24"/>
        </w:rPr>
        <w:t xml:space="preserve"> lets an agent read a goal, weigh the available information, and choose an action from its own reasoning [4]; in monitoring this could surface an abnormal trend or draft a recommendation before a clinician asks, but unsupervised autonomy in a safety-critical setting can act on a wrong inference as readily as a right one, so its value is bounded by how tightly it is coupled to review. </w:t>
      </w:r>
      <w:r>
        <w:rPr>
          <w:rFonts w:cs="Times New Roman"/>
          <w:b/>
          <w:i w:val="false"/>
          <w:sz w:val="24"/>
        </w:rPr>
        <w:t>Goal-oriented planning</w:t>
      </w:r>
      <w:r>
        <w:rPr>
          <w:rFonts w:cs="Times New Roman"/>
          <w:b w:val="false"/>
          <w:i w:val="false"/>
          <w:sz w:val="24"/>
        </w:rPr>
        <w:t xml:space="preserve"> lets an agent split a complex objective into an ordered set of steps, analyzing vital signs, retrieving history, comparing against guidelines, assessing risk, and only then drafting a recommendation, yet a plan is only as sound as the model's grasp of the domain, and a confidently wrong plan is harder to catch than a single wrong answer.</w:t>
      </w:r>
    </w:p>
    <w:p>
      <w:pPr>
        <w:pStyle w:val="Normal"/>
        <w:spacing w:lineRule="auto" w:line="360" w:before="0" w:after="120"/>
        <w:ind w:firstLine="720"/>
        <w:jc w:val="both"/>
        <w:rPr/>
      </w:pPr>
      <w:r>
        <w:rPr>
          <w:rFonts w:cs="Times New Roman"/>
          <w:b/>
          <w:i w:val="false"/>
          <w:sz w:val="24"/>
        </w:rPr>
        <w:t>Memory and context awareness</w:t>
      </w:r>
      <w:r>
        <w:rPr>
          <w:rFonts w:cs="Times New Roman"/>
          <w:b w:val="false"/>
          <w:i w:val="false"/>
          <w:sz w:val="24"/>
        </w:rPr>
        <w:t xml:space="preserve"> is the property most obviously missing from a plain LLM exchange. Agentic systems keep short-term conversational state, long-term patient history, and vector-based semantic stores so that later decisions draw on earlier context, which for longitudinal monitoring is not optional; the open question, largely unresolved in the current literature, is how to keep such memory both clinically faithful and privacy-compliant as it grows. </w:t>
      </w:r>
      <w:r>
        <w:rPr>
          <w:rFonts w:cs="Times New Roman"/>
          <w:b/>
          <w:i w:val="false"/>
          <w:sz w:val="24"/>
        </w:rPr>
        <w:t>Reasoning and self-reflection</w:t>
      </w:r>
      <w:r>
        <w:rPr>
          <w:rFonts w:cs="Times New Roman"/>
          <w:b w:val="false"/>
          <w:i w:val="false"/>
          <w:sz w:val="24"/>
        </w:rPr>
        <w:t xml:space="preserve"> interpose deliberation between observation and action: the ReAct pattern interleaves reasoning with tool calls [5], reflection mechanisms such as Reflexion let an agent critique and revise a prior attempt [19], and structured reasoning methods such as Chain-of-Thought, Self-Consistency, and Tree of Thoughts improve multi-step inference [20][21][22]. Self-reflection is valuable where a wrong recommendation carries real cost, but it also risks rationalizing an initial error rather than correcting it, so the framework treats it as support for human review rather than a substitute. </w:t>
      </w:r>
      <w:r>
        <w:rPr>
          <w:rFonts w:cs="Times New Roman"/>
          <w:b/>
          <w:i w:val="false"/>
          <w:sz w:val="24"/>
        </w:rPr>
        <w:t>Tool utilization</w:t>
      </w:r>
      <w:r>
        <w:rPr>
          <w:rFonts w:cs="Times New Roman"/>
          <w:b w:val="false"/>
          <w:i w:val="false"/>
          <w:sz w:val="24"/>
        </w:rPr>
        <w:t xml:space="preserve"> extends an agent past its internal knowledge through external systems and APIs, an ability formalized in Toolformer [23] and demonstrated at scale in embodied settings such as Voyager [24]; tool use grounds an agent in current information but imports the reliability and latency of whatever it calls. </w:t>
      </w:r>
      <w:r>
        <w:rPr>
          <w:rFonts w:cs="Times New Roman"/>
          <w:b/>
          <w:i w:val="false"/>
          <w:sz w:val="24"/>
        </w:rPr>
        <w:t>Multi-agent collaboration</w:t>
      </w:r>
      <w:r>
        <w:rPr>
          <w:rFonts w:cs="Times New Roman"/>
          <w:b w:val="false"/>
          <w:i w:val="false"/>
          <w:sz w:val="24"/>
        </w:rPr>
        <w:t xml:space="preserve"> divides a problem among specialized agents that communicate to reach a joint result, as in AutoGen and CAMEL [6][7]; division of labor mirrors how clinical teams work but multiplies the communication surface, and errors that pass silently between agents are among the least studied risks in this line of research.</w:t>
      </w:r>
    </w:p>
    <w:p>
      <w:pPr>
        <w:pStyle w:val="Normal"/>
        <w:keepNext w:val="true"/>
        <w:numPr>
          <w:ilvl w:val="0"/>
          <w:numId w:val="0"/>
        </w:numPr>
        <w:spacing w:lineRule="auto" w:line="360" w:before="240" w:after="120"/>
        <w:jc w:val="left"/>
        <w:outlineLvl w:val="2"/>
        <w:rPr/>
      </w:pPr>
      <w:bookmarkStart w:id="27" w:name="__RefHeading___Toc462_2726808859"/>
      <w:bookmarkEnd w:id="27"/>
      <w:r>
        <w:rPr>
          <w:rFonts w:cs="Times New Roman"/>
          <w:b/>
          <w:i w:val="false"/>
          <w:sz w:val="24"/>
        </w:rPr>
        <w:t>2.3.4 Agentic AI Architecture</w:t>
      </w:r>
    </w:p>
    <w:p>
      <w:pPr>
        <w:pStyle w:val="Normal"/>
        <w:spacing w:lineRule="auto" w:line="360" w:before="0" w:after="120"/>
        <w:ind w:firstLine="720"/>
        <w:jc w:val="both"/>
        <w:rPr/>
      </w:pPr>
      <w:r>
        <w:rPr>
          <w:rFonts w:cs="Times New Roman"/>
          <w:b w:val="false"/>
          <w:i w:val="false"/>
          <w:sz w:val="24"/>
        </w:rPr>
        <w:t>A typical agentic architecture stacks several cooperating layers, and mapping them onto healthcare clarifies both the fit and the strain. A perception layer ingests information from the environment, which in a clinical system means EHR records, demographics, laboratory results, vital signs, notes, and medication history. A memory layer stores that information and maintains context, combining short- and long-term stores with vector databases and knowledge repositories so that agents can recall relevant prior experience. A reasoning layer analyzes what perception and memory supply, drawing on Chain-of-Thought prompting, ReAct-style reasoning, and retrieval-augmented inference to reach a decision [20][5][15]. A planning and orchestration layer sequences tasks and routes them among agents, with a coordinator deciding which agent acts and when. An action layer carries decisions back out, generating recommendations, updating records, or communicating results.</w:t>
      </w:r>
    </w:p>
    <w:p>
      <w:pPr>
        <w:pStyle w:val="Normal"/>
        <w:spacing w:lineRule="auto" w:line="360" w:before="0" w:after="120"/>
        <w:ind w:firstLine="720"/>
        <w:jc w:val="both"/>
        <w:rPr/>
      </w:pPr>
      <w:r>
        <w:rPr>
          <w:rFonts w:cs="Times New Roman"/>
          <w:b w:val="false"/>
          <w:i w:val="false"/>
          <w:sz w:val="24"/>
        </w:rPr>
        <w:t>Presented this cleanly, the layered picture can imply more maturity than exists. In practice the boundaries between reasoning, memory, and orchestration are contested, and most published architectures specify the layers far more precisely than they specify how a layer fails when it returns something wrong. The framework proposed in this thesis inherits that risk and addresses it by placing verification and human review across the orchestration and action layers rather than trusting the stack to be self-correcting; the full architecture is presented in Chapter 3.</w:t>
      </w:r>
    </w:p>
    <w:p>
      <w:pPr>
        <w:pStyle w:val="Normal"/>
        <w:keepNext w:val="true"/>
        <w:numPr>
          <w:ilvl w:val="0"/>
          <w:numId w:val="0"/>
        </w:numPr>
        <w:spacing w:lineRule="auto" w:line="360" w:before="240" w:after="120"/>
        <w:jc w:val="left"/>
        <w:outlineLvl w:val="2"/>
        <w:rPr/>
      </w:pPr>
      <w:bookmarkStart w:id="28" w:name="__RefHeading___Toc464_2726808859"/>
      <w:bookmarkEnd w:id="28"/>
      <w:r>
        <w:rPr>
          <w:rFonts w:cs="Times New Roman"/>
          <w:b/>
          <w:i w:val="false"/>
          <w:sz w:val="24"/>
        </w:rPr>
        <w:t>2.3.5 Agentic AI in Healthcare</w:t>
      </w:r>
    </w:p>
    <w:p>
      <w:pPr>
        <w:pStyle w:val="Normal"/>
        <w:spacing w:lineRule="auto" w:line="360" w:before="0" w:after="120"/>
        <w:ind w:firstLine="720"/>
        <w:jc w:val="both"/>
        <w:rPr/>
      </w:pPr>
      <w:r>
        <w:rPr>
          <w:rFonts w:cs="Times New Roman"/>
          <w:b w:val="false"/>
          <w:i w:val="false"/>
          <w:sz w:val="24"/>
        </w:rPr>
        <w:t>Healthcare is a natural target for agentic methods because medical decisions demand exactly what agents supply: continuous observation, multi-step reasoning, and the fusion of diverse information. A cluster of recent systems shows both the promise and the limits. MedAgents organizes a role-played consultation among specialist agents and reports gains on medical reasoning benchmarks, though its evaluation centers on question answering rather than on monitoring a patient over time [10]. MedRAG fuses retrieval with structured medical knowledge to improve diagnostic specificity, which helps most when candidate diagnoses share symptoms, yet it remains a diagnostic reasoning system rather than a full workflow [11]. Agent Hospital simulates a whole care environment populated by autonomous agents and is valuable as a testbed, but a simulation of patients is not evidence about real ones [12]. Clinical Camel adapts an open model for medical dialogue and lowers the barrier to healthcare-specific LLMs while inheriting the memory and planning limits of the underlying model [13]. Read together, these systems make a consistent point: each demonstrates one capability convincingly and stops short of integrating the rest.</w:t>
      </w:r>
    </w:p>
    <w:p>
      <w:pPr>
        <w:pStyle w:val="Normal"/>
        <w:keepNext w:val="true"/>
        <w:numPr>
          <w:ilvl w:val="0"/>
          <w:numId w:val="0"/>
        </w:numPr>
        <w:spacing w:lineRule="auto" w:line="360" w:before="240" w:after="120"/>
        <w:jc w:val="left"/>
        <w:outlineLvl w:val="2"/>
        <w:rPr/>
      </w:pPr>
      <w:bookmarkStart w:id="29" w:name="__RefHeading___Toc466_2726808859"/>
      <w:bookmarkEnd w:id="29"/>
      <w:r>
        <w:rPr>
          <w:rFonts w:cs="Times New Roman"/>
          <w:b/>
          <w:i w:val="false"/>
          <w:sz w:val="24"/>
        </w:rPr>
        <w:t>2.3.6 Challenges and Limitations of Agentic AI</w:t>
      </w:r>
    </w:p>
    <w:p>
      <w:pPr>
        <w:pStyle w:val="Normal"/>
        <w:spacing w:lineRule="auto" w:line="360" w:before="0" w:after="120"/>
        <w:ind w:firstLine="720"/>
        <w:jc w:val="both"/>
        <w:rPr/>
      </w:pPr>
      <w:r>
        <w:rPr>
          <w:rFonts w:cs="Times New Roman"/>
          <w:b w:val="false"/>
          <w:i w:val="false"/>
          <w:sz w:val="24"/>
        </w:rPr>
        <w:t>Several obstacles stand between these demonstrations and clinical deployment, and none is fully solved. Reliability is the first: agents can generate unsupported recommendations, and in medicine such errors reach the patient; retrieval grounding reduces but does not eliminate the problem, because a confidently reasoned chain can still rest on a mis-retrieved fact [11]. Explainability is the second, because clinicians will not accept a black-box recommendation, so an agent that cannot show its evidence and reasoning is, for practical purposes, unusable regardless of accuracy. Data privacy is the third, since agentic systems accumulate sensitive patient information in memory and logs, and secure, compliant handling is a precondition rather than a nicety. Safety and alignment form the fourth: autonomous agents must stay inside clinical guidelines and ethical bounds, which is why human oversight remains necessary for consequential decisions. The fifth is cost, since memory, reasoning, retrieval, and multiple coordinated agents together impose a computational and latency burden that a real-time monitoring setting can ill afford. The honest summary is that the research literature has demonstrated capability far more thoroughly than it has demonstrated safety, and a clinical framework has to make up that difference deliberately. Agentic AI accordingly supplies the theoretical foundation for the proposed framework, which adopts these principles concretely, processing MIMIC-IV records, managing patient context, retrieving knowledge through RAG, coordinating specialized agents, and routing every recommendation through human validation, while remaining accountable to the clinician who signs off on its output [14][15].</w:t>
      </w:r>
    </w:p>
    <w:p>
      <w:pPr>
        <w:pStyle w:val="Normal"/>
        <w:keepNext w:val="true"/>
        <w:numPr>
          <w:ilvl w:val="0"/>
          <w:numId w:val="0"/>
        </w:numPr>
        <w:spacing w:lineRule="auto" w:line="360" w:before="240" w:after="120"/>
        <w:jc w:val="left"/>
        <w:outlineLvl w:val="1"/>
        <w:rPr/>
      </w:pPr>
      <w:bookmarkStart w:id="30" w:name="__RefHeading___Toc468_2726808859"/>
      <w:bookmarkEnd w:id="30"/>
      <w:r>
        <w:rPr>
          <w:rFonts w:cs="Times New Roman"/>
          <w:b/>
          <w:i w:val="false"/>
          <w:sz w:val="28"/>
        </w:rPr>
        <w:t>2.4 Agentic AI Frameworks</w:t>
      </w:r>
    </w:p>
    <w:p>
      <w:pPr>
        <w:pStyle w:val="Normal"/>
        <w:spacing w:lineRule="auto" w:line="360" w:before="0" w:after="120"/>
        <w:ind w:firstLine="720"/>
        <w:jc w:val="both"/>
        <w:rPr/>
      </w:pPr>
      <w:r>
        <w:rPr>
          <w:rFonts w:cs="Times New Roman"/>
          <w:b w:val="false"/>
          <w:i w:val="false"/>
          <w:sz w:val="24"/>
        </w:rPr>
        <w:t>The development of LLM-based agents has produced a set of general-purpose frameworks that each contribute a distinct capability toward intelligent systems. An agentic architecture generally combines a memory module that maintains historical information, a reasoning engine for logical analysis, a planning module that decomposes objectives into executable tasks, a tool-integration layer that reaches external resources, a multi-agent communication mechanism, and a knowledge-retrieval component built on techniques such as RAG. The frameworks reviewed below realize different subsets of these capabilities, and their strengths and omissions together define what a healthcare-specific framework must supply.</w:t>
      </w:r>
    </w:p>
    <w:p>
      <w:pPr>
        <w:pStyle w:val="Normal"/>
        <w:spacing w:lineRule="auto" w:line="360" w:before="0" w:after="120"/>
        <w:ind w:firstLine="720"/>
        <w:jc w:val="both"/>
        <w:rPr/>
      </w:pPr>
      <w:r>
        <w:rPr>
          <w:rFonts w:cs="Times New Roman"/>
          <w:b w:val="false"/>
          <w:i w:val="false"/>
          <w:sz w:val="24"/>
        </w:rPr>
        <w:t xml:space="preserve">The </w:t>
      </w:r>
      <w:r>
        <w:rPr>
          <w:rFonts w:cs="Times New Roman"/>
          <w:b/>
          <w:i w:val="false"/>
          <w:sz w:val="24"/>
        </w:rPr>
        <w:t>ReAct</w:t>
      </w:r>
      <w:r>
        <w:rPr>
          <w:rFonts w:cs="Times New Roman"/>
          <w:b w:val="false"/>
          <w:i w:val="false"/>
          <w:sz w:val="24"/>
        </w:rPr>
        <w:t xml:space="preserve"> framework marked an important shift by combining reasoning with external action. Rather than answering from internal knowledge alone, a ReAct agent reasons about the current situation, selects an action, receives an observation from the environment, and updates its reasoning before continuing, iterating until it reaches a decision [5]. This suits clinical decision support, where a diagnosis is refined as new evidence arrives: an agent can analyze symptoms, retrieve guidelines, weigh candidate diagnoses, and revise its recommendation. Its principal limitation is memory: ReAct depends on the current context window and offers no dedicated long-term store, which makes it awkward for continuous monitoring across an extended admission.</w:t>
      </w:r>
    </w:p>
    <w:p>
      <w:pPr>
        <w:pStyle w:val="Normal"/>
        <w:spacing w:lineRule="auto" w:line="360" w:before="0" w:after="120"/>
        <w:ind w:firstLine="720"/>
        <w:jc w:val="both"/>
        <w:rPr/>
      </w:pPr>
      <w:r>
        <w:rPr>
          <w:rFonts w:cs="Times New Roman"/>
          <w:b w:val="false"/>
          <w:i w:val="false"/>
          <w:sz w:val="24"/>
        </w:rPr>
        <w:t xml:space="preserve">The </w:t>
      </w:r>
      <w:r>
        <w:rPr>
          <w:rFonts w:cs="Times New Roman"/>
          <w:b/>
          <w:i w:val="false"/>
          <w:sz w:val="24"/>
        </w:rPr>
        <w:t>AutoGen</w:t>
      </w:r>
      <w:r>
        <w:rPr>
          <w:rFonts w:cs="Times New Roman"/>
          <w:b w:val="false"/>
          <w:i w:val="false"/>
          <w:sz w:val="24"/>
        </w:rPr>
        <w:t xml:space="preserve"> framework provides a flexible architecture for applications built from multiple interacting agents [6]. Instead of a single agent, AutoGen composes specialized agents that communicate through conversation, decompose tasks, execute external tools, and admit human-in-the-loop interaction. In a clinical configuration a monitoring agent could analyze vitals, a diagnosis agent evaluate conditions, a treatment agent suggest interventions, and a verification agent check recommendations against guidelines. Its strength is scalable multi-agent coordination; its open problems are communication efficiency, computational cost, and reliable coordination among autonomous agents. The </w:t>
      </w:r>
      <w:r>
        <w:rPr>
          <w:rFonts w:cs="Times New Roman"/>
          <w:b/>
          <w:i w:val="false"/>
          <w:sz w:val="24"/>
        </w:rPr>
        <w:t>CAMEL</w:t>
      </w:r>
      <w:r>
        <w:rPr>
          <w:rFonts w:cs="Times New Roman"/>
          <w:b w:val="false"/>
          <w:i w:val="false"/>
          <w:sz w:val="24"/>
        </w:rPr>
        <w:t xml:space="preserve"> framework focuses on autonomous communication and cooperation through role-based collaboration, assigning each agent a defined role, planner, domain expert, critic, or executor, so that agents cooperate with limited human guidance [7]. Role-playing reduces ambiguity and organizes collaboration, and it provides a natural template for specialized clinical agents, but CAMEL still struggles with communication loops, the propagation of incorrect reasoning, and drift from human objectives.</w:t>
      </w:r>
    </w:p>
    <w:p>
      <w:pPr>
        <w:pStyle w:val="Normal"/>
        <w:spacing w:lineRule="auto" w:line="360" w:before="0" w:after="120"/>
        <w:ind w:firstLine="720"/>
        <w:jc w:val="both"/>
        <w:rPr/>
      </w:pPr>
      <w:r>
        <w:rPr>
          <w:rFonts w:cs="Times New Roman"/>
          <w:b w:val="false"/>
          <w:i w:val="false"/>
          <w:sz w:val="24"/>
        </w:rPr>
        <w:t xml:space="preserve">The </w:t>
      </w:r>
      <w:r>
        <w:rPr>
          <w:rFonts w:cs="Times New Roman"/>
          <w:b/>
          <w:i w:val="false"/>
          <w:sz w:val="24"/>
        </w:rPr>
        <w:t>MetaGPT</w:t>
      </w:r>
      <w:r>
        <w:rPr>
          <w:rFonts w:cs="Times New Roman"/>
          <w:b w:val="false"/>
          <w:i w:val="false"/>
          <w:sz w:val="24"/>
        </w:rPr>
        <w:t xml:space="preserve"> framework introduces structured multi-agent collaboration by importing software-engineering practice, predefined roles, shared information management, structured workflows, and Standard Operating Procedures (SOPs) [18]. Controlled, SOP-driven workflows are especially relevant to healthcare, where practice follows established protocols, and a MetaGPT-inspired clinical pipeline could move from patient-data analysis through assessment, diagnosis, treatment recommendation, and safety verification. The trade-off is adaptability: SOP-bound workflows need further work to support continuous learning in dynamic clinical settings. The </w:t>
      </w:r>
      <w:r>
        <w:rPr>
          <w:rFonts w:cs="Times New Roman"/>
          <w:b/>
          <w:i w:val="false"/>
          <w:sz w:val="24"/>
        </w:rPr>
        <w:t>Agent Hospital</w:t>
      </w:r>
      <w:r>
        <w:rPr>
          <w:rFonts w:cs="Times New Roman"/>
          <w:b w:val="false"/>
          <w:i w:val="false"/>
          <w:sz w:val="24"/>
        </w:rPr>
        <w:t xml:space="preserve"> framework is one of the earliest attempts to apply agentic concepts directly to healthcare, placing autonomous medical agents in a simulated hospital where they consult, diagnose, plan treatment, and improve by accumulating medical-case memory and learning from successful and failed outcomes [12]. Its learning-from-experience design is highly relevant to monitoring, which likewise depends on patient history and outcomes, but its limitations are real: little real-world clinical validation, no multimodal data integration, and a need for stronger safety mechanisms.</w:t>
      </w:r>
    </w:p>
    <w:p>
      <w:pPr>
        <w:pStyle w:val="Normal"/>
        <w:spacing w:lineRule="auto" w:line="360" w:before="0" w:after="120"/>
        <w:ind w:firstLine="720"/>
        <w:jc w:val="both"/>
        <w:rPr/>
      </w:pPr>
      <w:r>
        <w:rPr>
          <w:rFonts w:cs="Times New Roman"/>
          <w:b w:val="false"/>
          <w:i w:val="false"/>
          <w:sz w:val="24"/>
        </w:rPr>
        <w:t xml:space="preserve">Beyond these, several general-agent systems fill in specific capabilities the clinical setting will need. </w:t>
      </w:r>
      <w:r>
        <w:rPr>
          <w:rFonts w:cs="Times New Roman"/>
          <w:b/>
          <w:i w:val="false"/>
          <w:sz w:val="24"/>
        </w:rPr>
        <w:t>Generative Agents</w:t>
      </w:r>
      <w:r>
        <w:rPr>
          <w:rFonts w:cs="Times New Roman"/>
          <w:b w:val="false"/>
          <w:i w:val="false"/>
          <w:sz w:val="24"/>
        </w:rPr>
        <w:t xml:space="preserve"> contributed the memory-stream-and-reflection design that lets an agent maintain coherent long-horizon behavior [8]. </w:t>
      </w:r>
      <w:r>
        <w:rPr>
          <w:rFonts w:cs="Times New Roman"/>
          <w:b/>
          <w:i w:val="false"/>
          <w:sz w:val="24"/>
        </w:rPr>
        <w:t>Reflexion</w:t>
      </w:r>
      <w:r>
        <w:rPr>
          <w:rFonts w:cs="Times New Roman"/>
          <w:b w:val="false"/>
          <w:i w:val="false"/>
          <w:sz w:val="24"/>
        </w:rPr>
        <w:t xml:space="preserve"> added verbal self-reflection, in which an agent critiques a failed attempt and stores the critique to improve subsequent ones [19]. </w:t>
      </w:r>
      <w:r>
        <w:rPr>
          <w:rFonts w:cs="Times New Roman"/>
          <w:b/>
          <w:i w:val="false"/>
          <w:sz w:val="24"/>
        </w:rPr>
        <w:t>Toolformer</w:t>
      </w:r>
      <w:r>
        <w:rPr>
          <w:rFonts w:cs="Times New Roman"/>
          <w:b w:val="false"/>
          <w:i w:val="false"/>
          <w:sz w:val="24"/>
        </w:rPr>
        <w:t xml:space="preserve"> showed that a model can learn, in a self-supervised way, when and how to call external tools, improving factual accuracy [23], while </w:t>
      </w:r>
      <w:r>
        <w:rPr>
          <w:rFonts w:cs="Times New Roman"/>
          <w:b/>
          <w:i w:val="false"/>
          <w:sz w:val="24"/>
        </w:rPr>
        <w:t>Voyager</w:t>
      </w:r>
      <w:r>
        <w:rPr>
          <w:rFonts w:cs="Times New Roman"/>
          <w:b w:val="false"/>
          <w:i w:val="false"/>
          <w:sz w:val="24"/>
        </w:rPr>
        <w:t xml:space="preserve"> demonstrated open-ended skill acquisition and tool use by an embodied agent in a complex environment [24]. None of these targets medicine, but each supplies a mechanism, durable memory, reflective revision, disciplined tool use, that a clinical framework has to incorporate and constrain.</w:t>
      </w:r>
    </w:p>
    <w:p>
      <w:pPr>
        <w:pStyle w:val="Normal"/>
        <w:spacing w:lineRule="auto" w:line="360" w:before="0" w:after="120"/>
        <w:ind w:firstLine="720"/>
        <w:jc w:val="both"/>
        <w:rPr/>
      </w:pPr>
      <w:r>
        <w:rPr>
          <w:rFonts w:cs="Times New Roman"/>
          <w:b w:val="false"/>
          <w:i w:val="false"/>
          <w:sz w:val="24"/>
        </w:rPr>
        <w:t>A comparative view makes the pattern plain. When these frameworks are scored on general capabilities, reasoning, communication, role-based collaboration, workflow control, and healthcare orientation, they distribute their strengths unevenly and none covers the full set required for supervised longitudinal monitoring.</w:t>
      </w:r>
    </w:p>
    <w:p>
      <w:pPr>
        <w:pStyle w:val="Normal"/>
        <w:spacing w:lineRule="auto" w:line="360" w:before="0" w:after="120"/>
        <w:jc w:val="center"/>
        <w:rPr/>
      </w:pPr>
      <w:r>
        <w:rPr>
          <w:rFonts w:cs="Times New Roman"/>
          <w:b w:val="false"/>
          <w:i/>
          <w:sz w:val="24"/>
        </w:rPr>
        <w:t>[Table 2.1: Comparative analysis of reviewed frameworks (insert table here)]</w:t>
      </w:r>
    </w:p>
    <w:p>
      <w:pPr>
        <w:pStyle w:val="Normal"/>
        <w:spacing w:lineRule="auto" w:line="360" w:before="0" w:after="120"/>
        <w:ind w:firstLine="720"/>
        <w:jc w:val="both"/>
        <w:rPr/>
      </w:pPr>
      <w:r>
        <w:rPr>
          <w:rFonts w:cs="Times New Roman"/>
          <w:b w:val="false"/>
          <w:i w:val="false"/>
          <w:sz w:val="24"/>
        </w:rPr>
        <w:t>The shared shortcoming is decisive for this thesis. Existing frameworks target general-purpose task completion, not healthcare-specific decision support, and they provide limited long-term patient memory, weak integration with real clinical datasets, no continuous monitoring, limited explainability of autonomous decisions, and no built-in human-in-the-loop clinical validation. The proposed research responds by integrating MIMIC-IV data, patient memory management, Retrieval-Augmented Generation, clinical reasoning agents, multi-agent collaboration, trustworthy-AI mechanisms, and human validation into a single framework, bridging the distance between general-purpose LLM agents and reliable healthcare decision support.</w:t>
      </w:r>
    </w:p>
    <w:p>
      <w:pPr>
        <w:pStyle w:val="Normal"/>
        <w:keepNext w:val="true"/>
        <w:numPr>
          <w:ilvl w:val="0"/>
          <w:numId w:val="0"/>
        </w:numPr>
        <w:spacing w:lineRule="auto" w:line="360" w:before="240" w:after="120"/>
        <w:jc w:val="left"/>
        <w:outlineLvl w:val="1"/>
        <w:rPr/>
      </w:pPr>
      <w:bookmarkStart w:id="31" w:name="__RefHeading___Toc470_2726808859"/>
      <w:bookmarkEnd w:id="31"/>
      <w:r>
        <w:rPr>
          <w:rFonts w:cs="Times New Roman"/>
          <w:b/>
          <w:i w:val="false"/>
          <w:sz w:val="28"/>
        </w:rPr>
        <w:t>2.5 Taxonomy of LLM-Based Agents</w:t>
      </w:r>
    </w:p>
    <w:p>
      <w:pPr>
        <w:pStyle w:val="Normal"/>
        <w:spacing w:lineRule="auto" w:line="360" w:before="0" w:after="120"/>
        <w:ind w:firstLine="720"/>
        <w:jc w:val="both"/>
        <w:rPr/>
      </w:pPr>
      <w:r>
        <w:rPr>
          <w:rFonts w:cs="Times New Roman"/>
          <w:b w:val="false"/>
          <w:i w:val="false"/>
          <w:sz w:val="24"/>
        </w:rPr>
        <w:t>Because LLM-based agents differ widely in capability, architecture, and application, it helps to classify them along the functional dimensions that recur across the literature. A workable taxonomy organizes agents by six capabilities, memory, planning, reasoning, tool use, multi-agent collaboration, and healthcare application, and reading existing systems against these dimensions clarifies what an intelligent healthcare agent must combine and where prior work stops short [4].</w:t>
      </w:r>
    </w:p>
    <w:p>
      <w:pPr>
        <w:pStyle w:val="Normal"/>
        <w:spacing w:lineRule="auto" w:line="360" w:before="0" w:after="120"/>
        <w:ind w:firstLine="720"/>
        <w:jc w:val="both"/>
        <w:rPr/>
      </w:pPr>
      <w:r>
        <w:rPr>
          <w:rFonts w:cs="Times New Roman"/>
          <w:b/>
          <w:i w:val="false"/>
          <w:sz w:val="24"/>
        </w:rPr>
        <w:t>Memory</w:t>
      </w:r>
      <w:r>
        <w:rPr>
          <w:rFonts w:cs="Times New Roman"/>
          <w:b w:val="false"/>
          <w:i w:val="false"/>
          <w:sz w:val="24"/>
        </w:rPr>
        <w:t xml:space="preserve"> is the capability that lets an agent maintain context beyond a single input window, spanning short-term, long-term, semantic, episodic, and vector-based forms. Generative Agents illustrated the value of a memory stream that records experiences, retrieves relevant history, and supports reflection [8], and surveys of autonomous agents consistently identify memory as central to autonomy, personalization, and decision consistency [4]. For clinical use, memory is what converts isolated analysis of single events into continuous patient understanding across previous diagnoses, medication history, treatment responses, and observations. </w:t>
      </w:r>
      <w:r>
        <w:rPr>
          <w:rFonts w:cs="Times New Roman"/>
          <w:b/>
          <w:i w:val="false"/>
          <w:sz w:val="24"/>
        </w:rPr>
        <w:t>Planning</w:t>
      </w:r>
      <w:r>
        <w:rPr>
          <w:rFonts w:cs="Times New Roman"/>
          <w:b w:val="false"/>
          <w:i w:val="false"/>
          <w:sz w:val="24"/>
        </w:rPr>
        <w:t xml:space="preserve"> transforms high-level goals into executable action sequences through task decomposition, hierarchical planning, feedback-driven revision, and multi-step reasoning; ReAct exemplifies the interleaving of reasoning and action, and AutoGen and MetaGPT show how planning distributes across collaborating agents under conversational or SOP-driven control [5][6][18].</w:t>
      </w:r>
    </w:p>
    <w:p>
      <w:pPr>
        <w:pStyle w:val="Normal"/>
        <w:spacing w:lineRule="auto" w:line="360" w:before="0" w:after="120"/>
        <w:ind w:firstLine="720"/>
        <w:jc w:val="both"/>
        <w:rPr/>
      </w:pPr>
      <w:r>
        <w:rPr>
          <w:rFonts w:cs="Times New Roman"/>
          <w:b/>
          <w:i w:val="false"/>
          <w:sz w:val="24"/>
        </w:rPr>
        <w:t>Reasoning</w:t>
      </w:r>
      <w:r>
        <w:rPr>
          <w:rFonts w:cs="Times New Roman"/>
          <w:b w:val="false"/>
          <w:i w:val="false"/>
          <w:sz w:val="24"/>
        </w:rPr>
        <w:t xml:space="preserve"> lets an agent analyze complex problems and weigh evidence, which clinical decisions demand because they depend on history, symptoms, laboratory results, guidelines, and prior outcomes at once. ReAct improves transparency by exposing intermediate reasoning [5], MedAgents shows that collaborative reasoning among simulated experts can raise diagnostic accuracy and reduce individual-model error [10], and MedRAG combines retrieval with medical knowledge to ground reasoning in evidence [11]. </w:t>
      </w:r>
      <w:r>
        <w:rPr>
          <w:rFonts w:cs="Times New Roman"/>
          <w:b/>
          <w:i w:val="false"/>
          <w:sz w:val="24"/>
        </w:rPr>
        <w:t>Tool use</w:t>
      </w:r>
      <w:r>
        <w:rPr>
          <w:rFonts w:cs="Times New Roman"/>
          <w:b w:val="false"/>
          <w:i w:val="false"/>
          <w:sz w:val="24"/>
        </w:rPr>
        <w:t xml:space="preserve"> addresses the fixed knowledge boundary of a pre-trained model by connecting it to search engines, databases, APIs, and knowledge repositories; Toolformer showed a model can learn to call tools to improve factual accuracy [23], and RAG has become the most important tool for healthcare agents because it lets them retrieve relevant evidence, drug information, guidelines, and records, before generating a response [15]. </w:t>
      </w:r>
      <w:r>
        <w:rPr>
          <w:rFonts w:cs="Times New Roman"/>
          <w:b/>
          <w:i w:val="false"/>
          <w:sz w:val="24"/>
        </w:rPr>
        <w:t>Multi-agent collaboration</w:t>
      </w:r>
      <w:r>
        <w:rPr>
          <w:rFonts w:cs="Times New Roman"/>
          <w:b w:val="false"/>
          <w:i w:val="false"/>
          <w:sz w:val="24"/>
        </w:rPr>
        <w:t xml:space="preserve"> distributes responsibility across specialized agents: CAMEL structures role-based communication [7], AutoGen enables flexible multi-agent conversations with tool execution and human involvement [6], MetaGPT enforces role-based workflows through SOPs [18], and Agent Hospital demonstrates an autonomous healthcare ecosystem of interacting agents [12].</w:t>
      </w:r>
    </w:p>
    <w:p>
      <w:pPr>
        <w:pStyle w:val="Normal"/>
        <w:spacing w:lineRule="auto" w:line="360" w:before="0" w:after="120"/>
        <w:ind w:firstLine="720"/>
        <w:jc w:val="both"/>
        <w:rPr/>
      </w:pPr>
      <w:r>
        <w:rPr>
          <w:rFonts w:cs="Times New Roman"/>
          <w:b w:val="false"/>
          <w:i w:val="false"/>
          <w:sz w:val="24"/>
        </w:rPr>
        <w:t xml:space="preserve">The </w:t>
      </w:r>
      <w:r>
        <w:rPr>
          <w:rFonts w:cs="Times New Roman"/>
          <w:b/>
          <w:i w:val="false"/>
          <w:sz w:val="24"/>
        </w:rPr>
        <w:t>healthcare application</w:t>
      </w:r>
      <w:r>
        <w:rPr>
          <w:rFonts w:cs="Times New Roman"/>
          <w:b w:val="false"/>
          <w:i w:val="false"/>
          <w:sz w:val="24"/>
        </w:rPr>
        <w:t xml:space="preserve"> dimension gathers the systems that adapt these capabilities to medicine, MedAgents for collaborative reasoning, MedRAG for retrieval-grounded diagnosis, Med-PaLM for medical question answering, Clinical Camel for privacy-aware open medical dialogue, Agent Hospital for simulated autonomous care, and Med-PaLM M for multimodal biomedical intelligence, each strong on one or two dimensions and weak on the others [10][11][2][13][12][25]. The proposed framework, presented in Chapter 3, is deliberately positioned to span all six dimensions at once: longitudinal patient memory, a task planner and workflow coordinator, a ReAct-based clinical reasoning engine, RAG-based medical knowledge retrieval, specialized collaborating healthcare agents, and a patient-monitoring and decision-support application layer. Reading the taxonomy this way shows that the individual capabilities are established while their integration under clinical supervision is not, which is the space the framework occupies.</w:t>
      </w:r>
    </w:p>
    <w:p>
      <w:pPr>
        <w:pStyle w:val="Normal"/>
        <w:keepNext w:val="true"/>
        <w:numPr>
          <w:ilvl w:val="0"/>
          <w:numId w:val="0"/>
        </w:numPr>
        <w:spacing w:lineRule="auto" w:line="360" w:before="240" w:after="120"/>
        <w:jc w:val="left"/>
        <w:outlineLvl w:val="1"/>
        <w:rPr/>
      </w:pPr>
      <w:bookmarkStart w:id="32" w:name="__RefHeading___Toc472_2726808859"/>
      <w:bookmarkEnd w:id="32"/>
      <w:r>
        <w:rPr>
          <w:rFonts w:cs="Times New Roman"/>
          <w:b/>
          <w:i w:val="false"/>
          <w:sz w:val="28"/>
        </w:rPr>
        <w:t>2.6 Artificial Intelligence in Healthcare</w:t>
      </w:r>
    </w:p>
    <w:p>
      <w:pPr>
        <w:pStyle w:val="Normal"/>
        <w:spacing w:lineRule="auto" w:line="360" w:before="0" w:after="120"/>
        <w:ind w:firstLine="720"/>
        <w:jc w:val="both"/>
        <w:rPr/>
      </w:pPr>
      <w:r>
        <w:rPr>
          <w:rFonts w:cs="Times New Roman"/>
          <w:b w:val="false"/>
          <w:i w:val="false"/>
          <w:sz w:val="24"/>
        </w:rPr>
        <w:t>Artificial intelligence has become a transformative technology in healthcare by enabling systems to perform tasks that traditionally require human intelligence, pattern recognition, decision-making, prediction, and knowledge discovery, across the diverse and complex datasets medicine produces: Electronic Health Records, medical imaging, laboratory results, physiological signals, genomic information, and clinical narratives [1]. The growth of digital health data, computational capacity, and machine learning has accelerated adoption, but progress has been uneven, and understanding where AI succeeds and where it stalls frames the need for the proposed work.</w:t>
      </w:r>
    </w:p>
    <w:p>
      <w:pPr>
        <w:pStyle w:val="Normal"/>
        <w:keepNext w:val="true"/>
        <w:numPr>
          <w:ilvl w:val="0"/>
          <w:numId w:val="0"/>
        </w:numPr>
        <w:spacing w:lineRule="auto" w:line="360" w:before="240" w:after="120"/>
        <w:jc w:val="left"/>
        <w:outlineLvl w:val="2"/>
        <w:rPr/>
      </w:pPr>
      <w:bookmarkStart w:id="33" w:name="__RefHeading___Toc474_2726808859"/>
      <w:bookmarkEnd w:id="33"/>
      <w:r>
        <w:rPr>
          <w:rFonts w:cs="Times New Roman"/>
          <w:b/>
          <w:i w:val="false"/>
          <w:sz w:val="24"/>
        </w:rPr>
        <w:t>2.6.1 Evolution and Applications</w:t>
      </w:r>
    </w:p>
    <w:p>
      <w:pPr>
        <w:pStyle w:val="Normal"/>
        <w:spacing w:lineRule="auto" w:line="360" w:before="0" w:after="120"/>
        <w:ind w:firstLine="720"/>
        <w:jc w:val="both"/>
        <w:rPr/>
      </w:pPr>
      <w:r>
        <w:rPr>
          <w:rFonts w:cs="Times New Roman"/>
          <w:b w:val="false"/>
          <w:i w:val="false"/>
          <w:sz w:val="24"/>
        </w:rPr>
        <w:t>Healthcare AI has passed through the same stages traced earlier in this chapter. Rule-based expert systems encoded medical knowledge manually and assisted with specific tasks but lacked adaptability. Machine learning shifted toward data-driven pattern recognition, enabling disease classification, risk assessment, and outcome prediction while depending on engineered features and large structured datasets. Deep learning expanded capability in complex-representation tasks, with convolutional networks succeeding in radiological image analysis and transformer architectures improving sequential clinical data processing. Most recently, foundation models and Large Language Models introduced a phase in which one model performs many language-based healthcare tasks, clinical summarization, medical question answering, knowledge retrieval, and patient communication, though limits in autonomy, reliability, and continuous interaction motivated the move toward Agentic AI [1][16].</w:t>
      </w:r>
    </w:p>
    <w:p>
      <w:pPr>
        <w:pStyle w:val="Normal"/>
        <w:spacing w:lineRule="auto" w:line="360" w:before="0" w:after="120"/>
        <w:ind w:firstLine="720"/>
        <w:jc w:val="both"/>
        <w:rPr/>
      </w:pPr>
      <w:r>
        <w:rPr>
          <w:rFonts w:cs="Times New Roman"/>
          <w:b w:val="false"/>
          <w:i w:val="false"/>
          <w:sz w:val="24"/>
        </w:rPr>
        <w:t>These capabilities have been applied across the clinical workflow. In diagnosis and prediction, models analyze patient characteristics, history, laboratory values, and imaging to identify disease patterns across cardiovascular, oncological, neurological, and infectious conditions, though such systems often focus on a single disease or dataset and support comprehensive decision-making poorly. In medical imaging, deep learning detects abnormalities, segments structures, and triages critical cases, improving efficiency but typically operating in isolation from history, laboratory results, and medications. In patient monitoring and risk prediction, machine learning models estimate deterioration, mortality, and readmission risk from real-time and historical data, yet frequently deliver predictions without the explanations clinicians need before acting. In clinical decision support, systems provide evidence-based recommendations and alerts but, when built on predefined rules or statistical models, struggle with incomplete information, changing conditions, and interacting factors, precisely the situations where LLMs and Agentic AI create new room to reason over clinical information, retrieve knowledge, and coordinate specialized agents.</w:t>
      </w:r>
    </w:p>
    <w:p>
      <w:pPr>
        <w:pStyle w:val="Normal"/>
        <w:keepNext w:val="true"/>
        <w:numPr>
          <w:ilvl w:val="0"/>
          <w:numId w:val="0"/>
        </w:numPr>
        <w:spacing w:lineRule="auto" w:line="360" w:before="240" w:after="120"/>
        <w:jc w:val="left"/>
        <w:outlineLvl w:val="2"/>
        <w:rPr/>
      </w:pPr>
      <w:bookmarkStart w:id="34" w:name="__RefHeading___Toc476_2726808859"/>
      <w:bookmarkEnd w:id="34"/>
      <w:r>
        <w:rPr>
          <w:rFonts w:cs="Times New Roman"/>
          <w:b/>
          <w:i w:val="false"/>
          <w:sz w:val="24"/>
        </w:rPr>
        <w:t>2.6.2 Large Language Models in Healthcare</w:t>
      </w:r>
    </w:p>
    <w:p>
      <w:pPr>
        <w:pStyle w:val="Normal"/>
        <w:spacing w:lineRule="auto" w:line="360" w:before="0" w:after="120"/>
        <w:ind w:firstLine="720"/>
        <w:jc w:val="both"/>
        <w:rPr/>
      </w:pPr>
      <w:r>
        <w:rPr>
          <w:rFonts w:cs="Times New Roman"/>
          <w:b w:val="false"/>
          <w:i w:val="false"/>
          <w:sz w:val="24"/>
        </w:rPr>
        <w:t xml:space="preserve">General-purpose language models perform impressively, but healthcare is a high-risk domain where accuracy, explainability, and patient safety are essential, which has driven the development of medical LLMs. </w:t>
      </w:r>
      <w:r>
        <w:rPr>
          <w:rFonts w:cs="Times New Roman"/>
          <w:b/>
          <w:i w:val="false"/>
          <w:sz w:val="24"/>
        </w:rPr>
        <w:t>Med-PaLM</w:t>
      </w:r>
      <w:r>
        <w:rPr>
          <w:rFonts w:cs="Times New Roman"/>
          <w:b w:val="false"/>
          <w:i w:val="false"/>
          <w:sz w:val="24"/>
        </w:rPr>
        <w:t xml:space="preserve"> was among the earliest, adapting Google's PaLM architecture for medical question answering and evaluating on the MultiMedQA benchmark, using instruction prompt tuning and physician assessment of factual accuracy and potential harm to improve clinical reasoning [2]. It relies on internal model knowledge, however, and includes neither persistent patient memory nor external retrieval. </w:t>
      </w:r>
      <w:r>
        <w:rPr>
          <w:rFonts w:cs="Times New Roman"/>
          <w:b/>
          <w:i w:val="false"/>
          <w:sz w:val="24"/>
        </w:rPr>
        <w:t>Med-PaLM 2</w:t>
      </w:r>
      <w:r>
        <w:rPr>
          <w:rFonts w:cs="Times New Roman"/>
          <w:b w:val="false"/>
          <w:i w:val="false"/>
          <w:sz w:val="24"/>
        </w:rPr>
        <w:t xml:space="preserve"> extended it with an ensemble-refinement strategy that generates multiple reasoning paths before selecting a response, improving diagnostic reasoning and benchmark performance and reducing harmful outputs, yet it too depends largely on pre-trained knowledge and lacks continuous integration with patient-specific information [26]. </w:t>
      </w:r>
      <w:r>
        <w:rPr>
          <w:rFonts w:cs="Times New Roman"/>
          <w:b/>
          <w:i w:val="false"/>
          <w:sz w:val="24"/>
        </w:rPr>
        <w:t>Med-PaLM M</w:t>
      </w:r>
      <w:r>
        <w:rPr>
          <w:rFonts w:cs="Times New Roman"/>
          <w:b w:val="false"/>
          <w:i w:val="false"/>
          <w:sz w:val="24"/>
        </w:rPr>
        <w:t xml:space="preserve"> addressed the single-modality constraint by introducing a generalist biomedical model that processes medical images, clinical text, and biomedical reasoning within one architecture, which is valuable for monitoring decisions that combine structured and unstructured data [25]. </w:t>
      </w:r>
      <w:r>
        <w:rPr>
          <w:rFonts w:cs="Times New Roman"/>
          <w:b/>
          <w:i w:val="false"/>
          <w:sz w:val="24"/>
        </w:rPr>
        <w:t>Clinical Camel</w:t>
      </w:r>
      <w:r>
        <w:rPr>
          <w:rFonts w:cs="Times New Roman"/>
          <w:b w:val="false"/>
          <w:i w:val="false"/>
          <w:sz w:val="24"/>
        </w:rPr>
        <w:t xml:space="preserve"> took a different path, offering an open-source medical model trained through dialogue-based knowledge encoding to support transparent, reproducible, and privacy-aware healthcare applications, demonstrating that open models can be competitive [13]. More recent conversational diagnostic systems such as AMIE push toward multi-turn diagnostic dialogue, extending the reach of medical LLMs while remaining research prototypes [27].</w:t>
      </w:r>
    </w:p>
    <w:p>
      <w:pPr>
        <w:pStyle w:val="Normal"/>
        <w:spacing w:lineRule="auto" w:line="360" w:before="0" w:after="120"/>
        <w:ind w:firstLine="720"/>
        <w:jc w:val="both"/>
        <w:rPr/>
      </w:pPr>
      <w:r>
        <w:rPr>
          <w:rFonts w:cs="Times New Roman"/>
          <w:b w:val="false"/>
          <w:i w:val="false"/>
          <w:sz w:val="24"/>
        </w:rPr>
        <w:t>Across these systems, applications extend well beyond question answering to clinical documentation, report generation, diagnosis, treatment recommendation, summarization, drug-information retrieval, patient education, and workflow automation, with real potential to reduce documentation burden and support complex decisions [16]. The limitations are equally consistent, and they define the gap. Models still hallucinate clinically incorrect information with high confidence; most maintain no persistent long-term patient memory across encounters; many cannot access updated guidelines or new evidence at inference; explanations are often thin where clinicians require transparent reasoning; and validation is frequently confined to benchmark datasets rather than real hospital environments. In short, current medical LLMs function as standalone models rather than intelligent healthcare agents, with limited integration into autonomous multi-agent architectures, no continuous monitoring, absent persistent memory, limited real-time retrieval, weak collaboration among specialized agents, and insufficient trustworthy-AI mechanisms. These shortcomings are exactly what the proposed framework sets out to address by pairing medical LLMs with retrieval, persistent memory, specialized agents, and human oversight, grounded in MIMIC-IV [14].</w:t>
      </w:r>
    </w:p>
    <w:p>
      <w:pPr>
        <w:pStyle w:val="Normal"/>
        <w:keepNext w:val="true"/>
        <w:numPr>
          <w:ilvl w:val="0"/>
          <w:numId w:val="0"/>
        </w:numPr>
        <w:spacing w:lineRule="auto" w:line="360" w:before="240" w:after="120"/>
        <w:jc w:val="left"/>
        <w:outlineLvl w:val="1"/>
        <w:rPr/>
      </w:pPr>
      <w:bookmarkStart w:id="35" w:name="__RefHeading___Toc478_2726808859"/>
      <w:bookmarkEnd w:id="35"/>
      <w:r>
        <w:rPr>
          <w:rFonts w:cs="Times New Roman"/>
          <w:b/>
          <w:i w:val="false"/>
          <w:sz w:val="28"/>
        </w:rPr>
        <w:t>2.7 Clinical Decision Support</w:t>
      </w:r>
    </w:p>
    <w:p>
      <w:pPr>
        <w:pStyle w:val="Normal"/>
        <w:spacing w:lineRule="auto" w:line="360" w:before="0" w:after="120"/>
        <w:ind w:firstLine="720"/>
        <w:jc w:val="both"/>
        <w:rPr/>
      </w:pPr>
      <w:r>
        <w:rPr>
          <w:rFonts w:cs="Times New Roman"/>
          <w:b w:val="false"/>
          <w:i w:val="false"/>
          <w:sz w:val="24"/>
        </w:rPr>
        <w:t>Clinical Decision Support Systems (CDSS) analyze patient information and return knowledge, alerts, recommendations, or insights that help a clinician decide. They are among the oldest applications of computing in medicine, and their purpose has stayed constant even as their methods have not: improve care quality, cut preventable errors, and keep practice tied to evidence. The pressure behind them has only grown, because a clinician now has to hold patient history, laboratory values, medications, active diagnoses, guidelines, and prior outcomes in view at once, and in critical care that synthesis has to happen fast. Manual integration of everything relevant is often simply not feasible, which is the standing motivation for decision support. Traditional CDSS delivered real value, but limits in adaptability, scalability, and contextual understanding pushed researchers toward AI-driven designs.</w:t>
      </w:r>
    </w:p>
    <w:p>
      <w:pPr>
        <w:pStyle w:val="Normal"/>
        <w:keepNext w:val="true"/>
        <w:numPr>
          <w:ilvl w:val="0"/>
          <w:numId w:val="0"/>
        </w:numPr>
        <w:spacing w:lineRule="auto" w:line="360" w:before="240" w:after="120"/>
        <w:jc w:val="left"/>
        <w:outlineLvl w:val="2"/>
        <w:rPr/>
      </w:pPr>
      <w:bookmarkStart w:id="36" w:name="__RefHeading___Toc480_2726808859"/>
      <w:bookmarkEnd w:id="36"/>
      <w:r>
        <w:rPr>
          <w:rFonts w:cs="Times New Roman"/>
          <w:b/>
          <w:i w:val="false"/>
          <w:sz w:val="24"/>
        </w:rPr>
        <w:t>2.7.1 Evolution and Components</w:t>
      </w:r>
    </w:p>
    <w:p>
      <w:pPr>
        <w:pStyle w:val="Normal"/>
        <w:spacing w:lineRule="auto" w:line="360" w:before="0" w:after="120"/>
        <w:ind w:firstLine="720"/>
        <w:jc w:val="both"/>
        <w:rPr/>
      </w:pPr>
      <w:r>
        <w:rPr>
          <w:rFonts w:cs="Times New Roman"/>
          <w:b w:val="false"/>
          <w:i w:val="false"/>
          <w:sz w:val="24"/>
        </w:rPr>
        <w:t>CDSS has moved through generations, and each traded one weakness for another. The earliest systems were expert systems, with medical knowledge hand-encoded as rules so that a defined condition triggered a defined recommendation; they performed well in narrow scenarios but demanded heavy manual knowledge engineering and grew brittle when a guideline changed or a patient failed to fit a coded pattern. Machine learning changed the sourcing of knowledge from authored rules to learned patterns, opening up disease prediction, mortality-risk estimation, readmission prediction, and early-warning scores, and deep learning extended the reach by extracting features from notes, images, and signals. The persistent shortfall across both is that most such systems output a risk score or classification without reasoning, explanation, or dialogue; a number arrives, the account of why does not, and that missing account has kept much of this work at the edge of routine practice.</w:t>
      </w:r>
    </w:p>
    <w:p>
      <w:pPr>
        <w:pStyle w:val="Normal"/>
        <w:spacing w:lineRule="auto" w:line="360" w:before="0" w:after="120"/>
        <w:ind w:firstLine="720"/>
        <w:jc w:val="both"/>
        <w:rPr/>
      </w:pPr>
      <w:r>
        <w:rPr>
          <w:rFonts w:cs="Times New Roman"/>
          <w:b w:val="false"/>
          <w:i w:val="false"/>
          <w:sz w:val="24"/>
        </w:rPr>
        <w:t>A modern CDSS is usually built from four cooperating parts, each carrying its own difficulty. A data-acquisition layer gathers information from EHRs, laboratory systems, monitoring devices, and documentation, and because healthcare data mixes structured values with unstructured text, it must reconcile formats never designed to be read together, so incomplete integration yields an incomplete picture of the patient. A knowledge base holds the medical information the system reasons over, drawn increasingly from literature, guidelines, biomedical databases, and knowledge graphs; recommendations are only as trustworthy as this base, and keeping it current is a never-finished burden. An inference and decision engine forms the reasoning core, with recent LLM-based approaches adding the ability to interpret clinical narratives and produce natural-language explanations, though the added flexibility brings added opacity [1]. A user interface mediates between system and clinician and decides whether a technically sound system is actually used, since an interface that adds cognitive load defeats its purpose, and a good one presents not only a recommendation but the evidence, reasoning, and confidence behind it.</w:t>
      </w:r>
    </w:p>
    <w:p>
      <w:pPr>
        <w:pStyle w:val="Normal"/>
        <w:keepNext w:val="true"/>
        <w:numPr>
          <w:ilvl w:val="0"/>
          <w:numId w:val="0"/>
        </w:numPr>
        <w:spacing w:lineRule="auto" w:line="360" w:before="240" w:after="120"/>
        <w:jc w:val="left"/>
        <w:outlineLvl w:val="2"/>
        <w:rPr/>
      </w:pPr>
      <w:bookmarkStart w:id="37" w:name="__RefHeading___Toc482_2726808859"/>
      <w:bookmarkEnd w:id="37"/>
      <w:r>
        <w:rPr>
          <w:rFonts w:cs="Times New Roman"/>
          <w:b/>
          <w:i w:val="false"/>
          <w:sz w:val="24"/>
        </w:rPr>
        <w:t>2.7.2 Limitations and the Role of Agentic AI</w:t>
      </w:r>
    </w:p>
    <w:p>
      <w:pPr>
        <w:pStyle w:val="Normal"/>
        <w:spacing w:lineRule="auto" w:line="360" w:before="0" w:after="120"/>
        <w:ind w:firstLine="720"/>
        <w:jc w:val="both"/>
        <w:rPr/>
      </w:pPr>
      <w:r>
        <w:rPr>
          <w:rFonts w:cs="Times New Roman"/>
          <w:b w:val="false"/>
          <w:i w:val="false"/>
          <w:sz w:val="24"/>
        </w:rPr>
        <w:t>Several limitations remain unresolved, and naming them precisely defines the target for anything claiming to improve on the state of the art. Limited context understanding leaves many systems reasoning over a handful of predefined variables rather than the whole patient, so they can be confidently incomplete. Limited adaptability forces manual updating when evidence changes, leaving recommendations trailing the literature, which motivates the retrieval mechanisms discussed in Section 2.8. Limited explainability leaves many AI systems, deep learning ones especially, operating as black boxes that may be accurate yet unable to say why, and in medicine a recommendation a clinician cannot interrogate is one a clinician should not accept. Fragmented intelligence means most platforms handle a single task without coordinating across tasks, which maps poorly onto genuinely collaborative, multi-specialty clinical reasoning. Finally, the human-AI interaction problem is that consequential decisions require human judgment and accountability, so fully autonomous decision-making introduces a safety risk no accuracy figure offsets; the defensible posture is human-in-the-loop, with the system supplying recommendations, evidence, and explanations while the clinician retains final authority.</w:t>
      </w:r>
    </w:p>
    <w:p>
      <w:pPr>
        <w:pStyle w:val="Normal"/>
        <w:spacing w:lineRule="auto" w:line="360" w:before="0" w:after="120"/>
        <w:ind w:firstLine="720"/>
        <w:jc w:val="both"/>
        <w:rPr/>
      </w:pPr>
      <w:r>
        <w:rPr>
          <w:rFonts w:cs="Times New Roman"/>
          <w:b w:val="false"/>
          <w:i w:val="false"/>
          <w:sz w:val="24"/>
        </w:rPr>
        <w:t>Recent AI has opened room to address these limitations. LLMs process clinical text, summarize records, and support medical reasoning, and healthcare-tuned models such as Med-PaLM and Clinical Camel show competence in medical question answering and clinical knowledge representation [2][13]. Multi-agent designs such as MedAgents stage collaboration among specialized agents to approximate an expert consultation [10], and Retrieval-Augmented Generation lets a model draw on external medical sources during inference, reducing hallucination and improving reliability [15][11]. These gains are real but partial: a standalone LLM-based CDSS still lacks durable memory, cross-step planning, and continuous monitoring, so it improves the quality of an answer without changing the shape of the workflow. That residual gap, capable reasoning without an architecture to sustain it over time, points toward integrating LLMs with Agentic AI, in which a monitoring agent tracks patient state, a risk-prediction agent watches for complications, a diagnosis agent weighs candidate conditions, a treatment agent proposes interventions, and an explanation agent renders the reasoning legible, all coordinated by an orchestrating agent that draws on memory, guidelines, and external knowledge [3][4]. This decomposition mirrors how clinical teams distribute expertise and directly attacks fragmentation, but dividing work among agents multiplies the interfaces where an error can pass unnoticed, so the architectural benefit is real only if coordination and verification are engineered as carefully as the agents themselves.</w:t>
      </w:r>
    </w:p>
    <w:p>
      <w:pPr>
        <w:pStyle w:val="Normal"/>
        <w:keepNext w:val="true"/>
        <w:numPr>
          <w:ilvl w:val="0"/>
          <w:numId w:val="0"/>
        </w:numPr>
        <w:spacing w:lineRule="auto" w:line="360" w:before="240" w:after="120"/>
        <w:jc w:val="left"/>
        <w:outlineLvl w:val="1"/>
        <w:rPr/>
      </w:pPr>
      <w:bookmarkStart w:id="38" w:name="__RefHeading___Toc484_2726808859"/>
      <w:bookmarkEnd w:id="38"/>
      <w:r>
        <w:rPr>
          <w:rFonts w:cs="Times New Roman"/>
          <w:b/>
          <w:i w:val="false"/>
          <w:sz w:val="28"/>
        </w:rPr>
        <w:t>2.8 Retrieval-Augmented Generation in Healthcare</w:t>
      </w:r>
    </w:p>
    <w:p>
      <w:pPr>
        <w:pStyle w:val="Normal"/>
        <w:spacing w:lineRule="auto" w:line="360" w:before="0" w:after="120"/>
        <w:ind w:firstLine="720"/>
        <w:jc w:val="both"/>
        <w:rPr/>
      </w:pPr>
      <w:r>
        <w:rPr>
          <w:rFonts w:cs="Times New Roman"/>
          <w:b w:val="false"/>
          <w:i w:val="false"/>
          <w:sz w:val="24"/>
        </w:rPr>
        <w:t>Large Language Models read and write medical language fluently, yet fluency masks three failure modes that are especially damaging in clinical use: their knowledge is frozen at training time, they hallucinate plausible falsehoods, and they cannot reach patient-specific information on their own. Clinical decisions need recommendations that are both accurate and backed by current, verifiable evidence, and a model reasoning only from its internal parameters cannot reliably meet that bar [1]. Retrieval-Augmented Generation was designed to close this shortfall. RAG separates knowing from remembering: rather than answering from parameters alone, the model first retrieves relevant material from an external source and then generates a response conditioned on it, so the answer rests on evidence that can be inspected [15][17]. In healthcare that source can be EHRs, clinical guidelines, the medical literature, drug databases, or a patient's own prior records. The approach is powerful, but retrieval solves the knowledge-access problem without solving the trust problem, and conflating the two is a common error in the healthcare RAG literature.</w:t>
      </w:r>
    </w:p>
    <w:p>
      <w:pPr>
        <w:pStyle w:val="Normal"/>
        <w:keepNext w:val="true"/>
        <w:numPr>
          <w:ilvl w:val="0"/>
          <w:numId w:val="0"/>
        </w:numPr>
        <w:spacing w:lineRule="auto" w:line="360" w:before="240" w:after="120"/>
        <w:jc w:val="left"/>
        <w:outlineLvl w:val="2"/>
        <w:rPr/>
      </w:pPr>
      <w:bookmarkStart w:id="39" w:name="__RefHeading___Toc486_2726808859"/>
      <w:bookmarkEnd w:id="39"/>
      <w:r>
        <w:rPr>
          <w:rFonts w:cs="Times New Roman"/>
          <w:b/>
          <w:i w:val="false"/>
          <w:sz w:val="24"/>
        </w:rPr>
        <w:t>2.8.1 Concept and Importance</w:t>
      </w:r>
    </w:p>
    <w:p>
      <w:pPr>
        <w:pStyle w:val="Normal"/>
        <w:spacing w:lineRule="auto" w:line="360" w:before="0" w:after="120"/>
        <w:ind w:firstLine="720"/>
        <w:jc w:val="both"/>
        <w:rPr/>
      </w:pPr>
      <w:r>
        <w:rPr>
          <w:rFonts w:cs="Times New Roman"/>
          <w:b w:val="false"/>
          <w:i w:val="false"/>
          <w:sz w:val="24"/>
        </w:rPr>
        <w:t>RAG combines a retriever, which searches external knowledge for material relevant to the query, with a generator, which conditions its response on that material together with the query [15]. The pipeline moves from a user query or patient information, through information retrieval, to a relevant knowledge context, into the language model, and finally to a generated response. In a clinical setting the retrieved context might include records, guidelines, research articles, drug-information entries, and prior diagnoses and treatments. Grounding a response this way lowers the chance of an unsupported recommendation, but only to the degree the retrieval itself is sound; a fluent answer built on an irrelevant or outdated passage is no safer for having been retrieved, which makes retrieval quality a first-order concern rather than a detail.</w:t>
      </w:r>
    </w:p>
    <w:p>
      <w:pPr>
        <w:pStyle w:val="Normal"/>
        <w:spacing w:lineRule="auto" w:line="360" w:before="0" w:after="120"/>
        <w:ind w:firstLine="720"/>
        <w:jc w:val="both"/>
        <w:rPr/>
      </w:pPr>
      <w:r>
        <w:rPr>
          <w:rFonts w:cs="Times New Roman"/>
          <w:b w:val="false"/>
          <w:i w:val="false"/>
          <w:sz w:val="24"/>
        </w:rPr>
        <w:t>Three benefits make RAG important for medicine, each with a caveat. Knowledge updating lets a system retrieve current material at inference, so responses reflect present evidence rather than the state of the world at training time, though this only helps if the underlying repository is itself kept current, relocating rather than removing the maintenance burden [17]. Reduction of hallucination follows from anchoring reasoning to authoritative sources, but a model can still misread, over-generalize, or selectively use a correctly retrieved passage, so retrieval lowers the hallucination rate without driving it to zero [15]. Personalized decision support comes from pulling patient-specific material, demographics, laboratory results, vital signs, prior diagnoses, medications, and notes, so that reasoning is tailored rather than generic, which is precisely what makes RAG valuable for continuous monitoring, where the relevant context is the specific patient's evolving record. More advanced variants such as Self-RAG add self-reflective control over when to retrieve and whether retrieved evidence actually supports the generated claim, a step toward the verification the clinical setting demands [28].</w:t>
      </w:r>
    </w:p>
    <w:p>
      <w:pPr>
        <w:pStyle w:val="Normal"/>
        <w:keepNext w:val="true"/>
        <w:numPr>
          <w:ilvl w:val="0"/>
          <w:numId w:val="0"/>
        </w:numPr>
        <w:spacing w:lineRule="auto" w:line="360" w:before="240" w:after="120"/>
        <w:jc w:val="left"/>
        <w:outlineLvl w:val="2"/>
        <w:rPr/>
      </w:pPr>
      <w:bookmarkStart w:id="40" w:name="__RefHeading___Toc488_2726808859"/>
      <w:bookmarkEnd w:id="40"/>
      <w:r>
        <w:rPr>
          <w:rFonts w:cs="Times New Roman"/>
          <w:b/>
          <w:i w:val="false"/>
          <w:sz w:val="24"/>
        </w:rPr>
        <w:t>2.8.2 Retrieval in Agentic Systems and MedRAG</w:t>
      </w:r>
    </w:p>
    <w:p>
      <w:pPr>
        <w:pStyle w:val="Normal"/>
        <w:spacing w:lineRule="auto" w:line="360" w:before="0" w:after="120"/>
        <w:ind w:firstLine="720"/>
        <w:jc w:val="both"/>
        <w:rPr/>
      </w:pPr>
      <w:r>
        <w:rPr>
          <w:rFonts w:cs="Times New Roman"/>
          <w:b w:val="false"/>
          <w:i w:val="false"/>
          <w:sz w:val="24"/>
        </w:rPr>
        <w:t>Inside an agentic framework, RAG is the primary mechanism by which agents acquire knowledge: an agent retrieves evidence before committing to a decision rather than reasoning in a vacuum. In a clinical configuration the retrieval task differs by role. A monitoring agent retrieves previous vital-sign trends and patient history; a diagnosis agent retrieves similar cases, candidate diseases, and clinical guidelines; a risk-prediction agent retrieves risk-assessment models and historical outcomes; a treatment agent retrieves medication guidelines and protocols; and an explanation agent retrieves the supporting evidence for a recommendation. Coordinating retrieval this way lets several agents reason from a shared evidentiary basis, an advantage over independent lookups, but the accompanying risk, largely unaddressed in existing multi-agent RAG work, is that a single poor retrieval can propagate through every agent that consumes it, so retrieval quality and the human-validation step must safeguard the whole chain rather than any one agent.</w:t>
      </w:r>
    </w:p>
    <w:p>
      <w:pPr>
        <w:pStyle w:val="Normal"/>
        <w:spacing w:lineRule="auto" w:line="360" w:before="0" w:after="120"/>
        <w:ind w:firstLine="720"/>
        <w:jc w:val="both"/>
        <w:rPr/>
      </w:pPr>
      <w:r>
        <w:rPr>
          <w:rFonts w:cs="Times New Roman"/>
          <w:b w:val="false"/>
          <w:i w:val="false"/>
          <w:sz w:val="24"/>
        </w:rPr>
        <w:t>MedRAG illustrates the state of the art and its limits. It extends conventional RAG by folding structured medical knowledge into reasoning, combining clinical knowledge graphs, retrieval, diagnostic reasoning, proactive patient questioning, and evidence-based recommendation, and pairing structured knowledge with retrieval improves diagnostic specificity when diseases present with overlapping symptoms, exactly where unstructured retrieval blurs candidates together [11]. Its boundary is scope: MedRAG is a diagnostic reasoning system evaluated largely on question-answering-style tasks, so it strengthens one stage of care rather than sustaining a monitoring workflow over time, which is part of what the proposed framework extends.</w:t>
      </w:r>
    </w:p>
    <w:p>
      <w:pPr>
        <w:pStyle w:val="Normal"/>
        <w:keepNext w:val="true"/>
        <w:numPr>
          <w:ilvl w:val="0"/>
          <w:numId w:val="0"/>
        </w:numPr>
        <w:spacing w:lineRule="auto" w:line="360" w:before="240" w:after="120"/>
        <w:jc w:val="left"/>
        <w:outlineLvl w:val="2"/>
        <w:rPr/>
      </w:pPr>
      <w:bookmarkStart w:id="41" w:name="__RefHeading___Toc490_2726808859"/>
      <w:bookmarkEnd w:id="41"/>
      <w:r>
        <w:rPr>
          <w:rFonts w:cs="Times New Roman"/>
          <w:b/>
          <w:i w:val="false"/>
          <w:sz w:val="24"/>
        </w:rPr>
        <w:t>2.8.3 RAG with MIMIC-IV and Open Challenges</w:t>
      </w:r>
    </w:p>
    <w:p>
      <w:pPr>
        <w:pStyle w:val="Normal"/>
        <w:spacing w:lineRule="auto" w:line="360" w:before="0" w:after="120"/>
        <w:ind w:firstLine="720"/>
        <w:jc w:val="both"/>
        <w:rPr/>
      </w:pPr>
      <w:r>
        <w:rPr>
          <w:rFonts w:cs="Times New Roman"/>
          <w:b w:val="false"/>
          <w:i w:val="false"/>
          <w:sz w:val="24"/>
        </w:rPr>
        <w:t>The proposed research uses MIMIC-IV as its primary clinical data source [14]. The dataset holds comprehensive critical-care records, demographics, admissions, ICU stays, laboratory measurements, vital signs, notes, medications, procedures, and diagnoses, which together give the framework enough longitudinal detail to reason about a patient over an admission rather than at a single instant; it builds on the broader movement toward openly available physiological and clinical data resources for research [29]. Within the framework, records are processed into vector embeddings stored in a vector database, and at inference the retriever performs a semantic search for material relevant to the current patient's condition, surfacing similar prior cases and relevant detail to support context-aware recommendations. One caveat bounds every claim built on this data: MIMIC-IV is retrospective, single-source ICU data, so retrieval over it reflects the practice patterns of one institution at one time and cannot stand in for prospective, multi-site evidence [14]. The framework uses MIMIC-IV to design and demonstrate the approach, not to establish clinical generalizability.</w:t>
      </w:r>
    </w:p>
    <w:p>
      <w:pPr>
        <w:pStyle w:val="Normal"/>
        <w:spacing w:lineRule="auto" w:line="360" w:before="0" w:after="120"/>
        <w:ind w:firstLine="720"/>
        <w:jc w:val="both"/>
        <w:rPr/>
      </w:pPr>
      <w:r>
        <w:rPr>
          <w:rFonts w:cs="Times New Roman"/>
          <w:b w:val="false"/>
          <w:i w:val="false"/>
          <w:sz w:val="24"/>
        </w:rPr>
        <w:t>Several challenges remain open even where RAG helps. Data privacy is the most immediate, since healthcare information is highly sensitive and secure storage, controlled access, and anonymization are preconditions for deployment. Retrieval quality is the most consequential for output, because a recommendation inherits the relevance of whatever was retrieved, and poor retrieval quietly injects misleading evidence into otherwise sound reasoning. Knowledge maintenance is the most persistent, since a repository that is not actively curated decays into the same staleness RAG was meant to fix. Explainability is the most decision-critical, because clinicians need to see the evidence, confidence, and references behind a recommendation, and a system that retrieves silently offers little more trust than the bare model it replaced. Taken together these show that retrieval is a necessary component of trustworthy clinical AI but not a sufficient one, which is why most RAG-based healthcare systems, having advanced medical question answering and evidence retrieval, still stop at isolated retrieval rather than supporting a full clinical workflow [11][17]. This research embeds RAG inside a larger Agentic AI framework, coupling retrieval with autonomous clinical agents, persistent patient memory, reasoning modules, and human oversight, drawing its knowledge from MIMIC-IV, so that evidence retrieval and multi-agent collaboration together deliver decision support that is reliable, explainable, and patient-centered [14][15].</w:t>
      </w:r>
    </w:p>
    <w:p>
      <w:pPr>
        <w:pStyle w:val="Normal"/>
        <w:keepNext w:val="true"/>
        <w:numPr>
          <w:ilvl w:val="0"/>
          <w:numId w:val="0"/>
        </w:numPr>
        <w:spacing w:lineRule="auto" w:line="360" w:before="240" w:after="120"/>
        <w:jc w:val="left"/>
        <w:outlineLvl w:val="1"/>
        <w:rPr/>
      </w:pPr>
      <w:bookmarkStart w:id="42" w:name="__RefHeading___Toc492_2726808859"/>
      <w:bookmarkEnd w:id="42"/>
      <w:r>
        <w:rPr>
          <w:rFonts w:cs="Times New Roman"/>
          <w:b/>
          <w:i w:val="false"/>
          <w:sz w:val="28"/>
        </w:rPr>
        <w:t>2.9 Trustworthy AI in Clinical Decision Support</w:t>
      </w:r>
    </w:p>
    <w:p>
      <w:pPr>
        <w:pStyle w:val="Normal"/>
        <w:spacing w:lineRule="auto" w:line="360" w:before="0" w:after="120"/>
        <w:ind w:firstLine="720"/>
        <w:jc w:val="both"/>
        <w:rPr/>
      </w:pPr>
      <w:r>
        <w:rPr>
          <w:rFonts w:cs="Times New Roman"/>
          <w:b w:val="false"/>
          <w:i w:val="false"/>
          <w:sz w:val="24"/>
        </w:rPr>
        <w:t>Accuracy is necessary for clinical AI but nowhere near sufficient. Because a recommendation can change how a patient is treated, the system that produces it has to be reliable, transparent, and answerable in ways a diagnostic classifier never had to be. This is the demand the notion of Trustworthy AI tries to capture: artificial intelligence that is safe, explainable, fair, and accountable rather than merely performant [30]. In medicine the stakes give the word "trust" an operational meaning, since a physician who cannot see why a recommendation was made cannot responsibly act on it, and adoption stalls exactly there. The mechanisms that turn trustworthiness from an aspiration into architecture, explainability, safety, fairness, auditability, and human oversight, are examined below, and most current systems name these goals more thoroughly than they implement them.</w:t>
      </w:r>
    </w:p>
    <w:p>
      <w:pPr>
        <w:pStyle w:val="Normal"/>
        <w:spacing w:lineRule="auto" w:line="360" w:before="0" w:after="120"/>
        <w:ind w:firstLine="720"/>
        <w:jc w:val="both"/>
        <w:rPr/>
      </w:pPr>
      <w:r>
        <w:rPr>
          <w:rFonts w:cs="Times New Roman"/>
          <w:b w:val="false"/>
          <w:i w:val="false"/>
          <w:sz w:val="24"/>
        </w:rPr>
        <w:t>Explainable AI answers the oldest problem, that deep networks and LLMs predict well while offering no legible account of why, by surfacing the evidence and reasoning behind an output so a clinician receives a justification alongside a recommendation [30]. Explanation raises confidence, supports independent validation, makes errors easier to spot, eases regulatory review, and gives clinicians language to share with patients. Within the proposed framework this responsibility falls to a dedicated explanation agent that summarizes the reasoning path and names the evidence retrieved through RAG [15]; the critical limitation, which the framework cannot fully escape, is that a fluent explanation is not proof of a faithful one, since a model can narrate a plausible rationale that does not correspond to the computation that produced the recommendation, so explanation supports human review without replacing it.</w:t>
      </w:r>
    </w:p>
    <w:p>
      <w:pPr>
        <w:pStyle w:val="Normal"/>
        <w:spacing w:lineRule="auto" w:line="360" w:before="0" w:after="120"/>
        <w:ind w:firstLine="720"/>
        <w:jc w:val="both"/>
        <w:rPr/>
      </w:pPr>
      <w:r>
        <w:rPr>
          <w:rFonts w:cs="Times New Roman"/>
          <w:b w:val="false"/>
          <w:i w:val="false"/>
          <w:sz w:val="24"/>
        </w:rPr>
        <w:t>AI safety places patient safety above every other objective, so a clinical system must actively minimize the chance of an incorrect, harmful, or misleading recommendation rather than merely maximize average accuracy, through mechanisms that check recommendations against guidelines, detect contradictions, estimate confidence, flag uncertain predictions, and cross-validate across reasoning paths. These are guardrails around an assistant, not a basis for autonomy: guideline checks and confidence estimates catch the failures they were designed to anticipate and are blind to novel ones, so safety tooling reduces risk without eliminating it, and the human-review step exists precisely to cover what the tooling misses. Bias and fairness matter because clinical datasets encode the disparities of the care that generated them, imbalanced samples, missing information, demographic underrepresentation, and historical inequities, which a model can learn and reproduce; fairness monitoring evaluates performance across subgroups to detect such gaps, but bias in medicine is not a single quantity, since statistical parity, equal error rates, and calibration across groups can conflict, so the framework commits to measuring and reporting subgroup performance transparently rather than claiming any procedure removes bias.</w:t>
      </w:r>
    </w:p>
    <w:p>
      <w:pPr>
        <w:pStyle w:val="Normal"/>
        <w:spacing w:lineRule="auto" w:line="360" w:before="0" w:after="120"/>
        <w:ind w:firstLine="720"/>
        <w:jc w:val="both"/>
        <w:rPr/>
      </w:pPr>
      <w:r>
        <w:rPr>
          <w:rFonts w:cs="Times New Roman"/>
          <w:b w:val="false"/>
          <w:i w:val="false"/>
          <w:sz w:val="24"/>
        </w:rPr>
        <w:t>Auditability and accountability require a record: a clinical system should log which data it used, which evidence it retrieved, which reasoning steps it took, how the agents interacted, what it proposed, and how the human responded, so that a clinician or auditor can reconstruct how a recommendation arose. Such logs underpin transparency, quality assurance, and compliance, and they make accountability real when a decision is later questioned, but a log is only useful if it is complete and tamper-evident, and one that records outputs without the retrieved evidence or the human's final action leaves exactly the gaps an audit needs to close. Human-in-the-loop validation ties these together: efficient analysis of large data volumes does not confer clinical authority, so the physician reviews and approves every AI-generated recommendation, and the workflow moves from patient data, through the agentic framework, to a clinical recommendation, to physician review, to an explicit approve, modify, or reject decision, and only then to a final clinical action. This pairs computational throughput with clinical judgment, but its documented limitation is automation bias, the tendency of reviewers to defer to a confident machine suggestion, so the review step protects patients only if the interface presents evidence in a way that invites genuine scrutiny, which is partly why the framework emphasizes explanation and audit logging.</w:t>
      </w:r>
    </w:p>
    <w:p>
      <w:pPr>
        <w:pStyle w:val="Normal"/>
        <w:spacing w:lineRule="auto" w:line="360" w:before="0" w:after="120"/>
        <w:ind w:firstLine="720"/>
        <w:jc w:val="both"/>
        <w:rPr/>
      </w:pPr>
      <w:r>
        <w:rPr>
          <w:rFonts w:cs="Times New Roman"/>
          <w:b w:val="false"/>
          <w:i w:val="false"/>
          <w:sz w:val="24"/>
        </w:rPr>
        <w:t>The proposed framework accordingly carries a dedicated trustworthy-AI layer so these safeguards are structural rather than optional, bringing together an explainability module, a safety-verification module, a bias-monitoring module, an audit-logging system, and human-in-the-loop validation, running alongside the reasoning and orchestration layers so that no recommendation reaches a clinician without supporting evidence and a record of how it was produced [30]. Placing trust mechanisms in their own layer is itself a claim, that trustworthiness is a first-class architectural concern, and the burden the thesis accepts is to show these components interacting rather than merely listed. This matters because, although trustworthy AI is now a stated priority, the gap between statement and implementation is wide: many systems report strong predictive performance while lacking coherent mechanisms for transparency, accountability, and continuous monitoring, and most agentic frameworks are built for general-purpose use and never confront the specific ethical and regulatory demands of clinical settings [30]. The framework's response is to integrate these safeguards into the architecture rather than append them, while remaining honest that these mechanisms manage risk rather than eliminate it.</w:t>
      </w:r>
    </w:p>
    <w:p>
      <w:pPr>
        <w:pStyle w:val="Normal"/>
        <w:keepNext w:val="true"/>
        <w:numPr>
          <w:ilvl w:val="0"/>
          <w:numId w:val="0"/>
        </w:numPr>
        <w:spacing w:lineRule="auto" w:line="360" w:before="240" w:after="120"/>
        <w:jc w:val="left"/>
        <w:outlineLvl w:val="1"/>
        <w:rPr/>
      </w:pPr>
      <w:bookmarkStart w:id="43" w:name="__RefHeading___Toc494_2726808859"/>
      <w:bookmarkEnd w:id="43"/>
      <w:r>
        <w:rPr>
          <w:rFonts w:cs="Times New Roman"/>
          <w:b/>
          <w:i w:val="false"/>
          <w:sz w:val="28"/>
        </w:rPr>
        <w:t>2.10 Research Gap Analysis</w:t>
      </w:r>
    </w:p>
    <w:p>
      <w:pPr>
        <w:pStyle w:val="Normal"/>
        <w:spacing w:lineRule="auto" w:line="360" w:before="0" w:after="120"/>
        <w:ind w:firstLine="720"/>
        <w:jc w:val="both"/>
        <w:rPr/>
      </w:pPr>
      <w:r>
        <w:rPr>
          <w:rFonts w:cs="Times New Roman"/>
          <w:b w:val="false"/>
          <w:i w:val="false"/>
          <w:sz w:val="24"/>
        </w:rPr>
        <w:t>The literature reviewed in this chapter shows substantial progress across Large Language Models, Agentic AI, Retrieval-Augmented Generation, and AI-driven clinical decision support. Intelligent agent architectures reason, plan, use tools, and collaborate [5][6][18], and healthcare-focused research has shown LLMs assisting with medical question answering, diagnosis support, and documentation [2][10]. Yet important challenges remain, and it is worth being precise about them: the weakness of prior work is less about missing capabilities than about how narrowly those capabilities have been grounded and evaluated.</w:t>
      </w:r>
    </w:p>
    <w:p>
      <w:pPr>
        <w:pStyle w:val="Normal"/>
        <w:spacing w:lineRule="auto" w:line="360" w:before="0" w:after="120"/>
        <w:ind w:firstLine="720"/>
        <w:jc w:val="both"/>
        <w:rPr/>
      </w:pPr>
      <w:r>
        <w:rPr>
          <w:rFonts w:cs="Times New Roman"/>
          <w:b w:val="false"/>
          <w:i w:val="false"/>
          <w:sz w:val="24"/>
        </w:rPr>
        <w:t>It is tempting to frame the gap as the absence of a unified framework combining every component of Agentic AI into a single clinical decision support system, but that framing is too weak to defend, because integration on its own is not novel, MedAgents, Agent Hospital, and comparable systems already combine memory, reasoning, planning, and multi-agent collaboration [10][12]. The defensible gap lies in three specific places where even these integrated systems fall short: the data they are evaluated on, what their retrieval is grounded in, and whether verification and auditability are treated as first-class, measured components.</w:t>
      </w:r>
    </w:p>
    <w:p>
      <w:pPr>
        <w:pStyle w:val="Normal"/>
        <w:spacing w:lineRule="auto" w:line="360" w:before="0" w:after="120"/>
        <w:ind w:firstLine="720"/>
        <w:jc w:val="both"/>
        <w:rPr/>
      </w:pPr>
      <w:r>
        <w:rPr>
          <w:rFonts w:cs="Times New Roman"/>
          <w:b w:val="false"/>
          <w:i w:val="false"/>
          <w:sz w:val="24"/>
        </w:rPr>
        <w:t>The first and most consequential shortcoming is evaluation on static examination question answering rather than longitudinal, real clinical records. MedAgents reports its gains on MedQA, MedMCQA, PubMedQA, and MMLU [10][31], and Agent Hospital, despite its evolving simulacrum of doctor and patient agents, ultimately benchmarks the acquired expertise on MedQA drawn from the USMLE [12][31]. AgentClinic moves toward interaction but with simulated rather than real patient trajectories [32]. Examination questions are curated and self-contained, whereas a real intensive-care admission is noisy, incompletely documented, and continually revised, so high exam accuracy offers little assurance that an agent can follow a deteriorating patient across days of MIMIC-IV observations [14]. Effective monitoring requires continuous access to previous admissions, laboratory results, medications, diagnoses, and treatment history, which examination benchmarks do not exercise.</w:t>
      </w:r>
    </w:p>
    <w:p>
      <w:pPr>
        <w:pStyle w:val="Normal"/>
        <w:spacing w:lineRule="auto" w:line="360" w:before="0" w:after="120"/>
        <w:ind w:firstLine="720"/>
        <w:jc w:val="both"/>
        <w:rPr/>
      </w:pPr>
      <w:r>
        <w:rPr>
          <w:rFonts w:cs="Times New Roman"/>
          <w:b w:val="false"/>
          <w:i w:val="false"/>
          <w:sz w:val="24"/>
        </w:rPr>
        <w:t>The second shortcoming concerns what retrieval is grounded in. Several studies address hallucination through Retrieval-Augmented Generation, yet most implementations retrieve from guidelines, textbooks, or literature rather than from the specific patient. MedRAG couples retrieval with a diagnostic knowledge graph but is oriented toward snapshot differential diagnosis and evaluated on datasets rather than a longitudinal ICU record [11]; Med-PaLM encodes clinical knowledge parametrically and does not retrieve from a patient timeline at all [2]; and EHRAgent is the clearest step toward EHR grounding, executing code over structured records, yet it frames the task as answering discrete questions rather than maintaining a running, evidence-linked model of a patient over an admission [33]. What is missing is retrieval anchored to the patient timeline, combining structured EHR evidence with medical literature so that patient-specific evidence enters the decision. The literature also exposes limits in reasoning reliability: Chain-of-Thought prompting, ReAct, and collaborative multi-agent reasoning improve decision quality [20][5][10], but hallucinated responses remain a considerable concern, and many systems still produce recommendations without verifiable evidence, which reduces clinician confidence. A related structural issue is that many healthcare AI systems operate as standalone models rather than collaborative multi-agent environments, so multi-agent collaboration for real-world clinical decision support remains an emerging rather than an established practice [6][18][10].</w:t>
      </w:r>
    </w:p>
    <w:p>
      <w:pPr>
        <w:pStyle w:val="Normal"/>
        <w:spacing w:lineRule="auto" w:line="360" w:before="0" w:after="120"/>
        <w:ind w:firstLine="720"/>
        <w:jc w:val="both"/>
        <w:rPr/>
      </w:pPr>
      <w:r>
        <w:rPr>
          <w:rFonts w:cs="Times New Roman"/>
          <w:b w:val="false"/>
          <w:i w:val="false"/>
          <w:sz w:val="24"/>
        </w:rPr>
        <w:t>The third and most under-served shortcoming is trustworthiness, specifically verification and auditability as first-class, evaluated components. Recent work emphasizes explainability, fairness, and safety [2][30], but rarely includes a dedicated verification step that checks a generated recommendation against the retrieved patient evidence, and more rarely still measures whether the resulting audit trail is faithful to the evidence the system actually used. In a domain where a wrong recommendation can harm a patient, agent consensus is not equivalent to evidential entailment, and an audit trail that is merely produced is not the same as one whose faithfulness has been verified.</w:t>
      </w:r>
    </w:p>
    <w:p>
      <w:pPr>
        <w:pStyle w:val="Normal"/>
        <w:spacing w:lineRule="auto" w:line="360" w:before="0" w:after="120"/>
        <w:ind w:firstLine="720"/>
        <w:jc w:val="both"/>
        <w:rPr/>
      </w:pPr>
      <w:r>
        <w:rPr>
          <w:rFonts w:cs="Times New Roman"/>
          <w:b w:val="false"/>
          <w:i w:val="false"/>
          <w:sz w:val="24"/>
        </w:rPr>
        <w:t>A comparative view makes this concrete. When systems are scored on general capabilities, memory, planning, reasoning, multi-agent collaboration, healthcare focus, and trustworthiness, the rows for ReAct, AutoGen, MetaGPT, MedAgents, Agent Hospital, and MedRAG collapse into nearly identical marks, which is precisely why an integration-based claim to novelty is weak. When the same systems are scored on five differentiating dimensions, patient-timeline RAG grounded in the EHR, a dedicated verification gate, longitudinal per-patient memory, evaluation on real ICU data such as MIMIC-IV, and a faithful audit trail, no prior system carries more than a single mark, and most carry none [10][12][11][33][32][14]. Each prior system misses at least one of these dimensions, so the gap is real rather than rhetorical.</w:t>
      </w:r>
    </w:p>
    <w:p>
      <w:pPr>
        <w:pStyle w:val="Normal"/>
        <w:spacing w:lineRule="auto" w:line="360" w:before="0" w:after="120"/>
        <w:jc w:val="center"/>
        <w:rPr/>
      </w:pPr>
      <w:r>
        <w:rPr>
          <w:rFonts w:cs="Times New Roman"/>
          <w:b w:val="false"/>
          <w:i/>
          <w:sz w:val="24"/>
        </w:rPr>
        <w:t>[Table 2.2: Research gap matrix (insert table here)]</w:t>
      </w:r>
    </w:p>
    <w:p>
      <w:pPr>
        <w:pStyle w:val="Normal"/>
        <w:spacing w:lineRule="auto" w:line="360" w:before="0" w:after="120"/>
        <w:ind w:firstLine="720"/>
        <w:jc w:val="both"/>
        <w:rPr/>
      </w:pPr>
      <w:r>
        <w:rPr>
          <w:rFonts w:cs="Times New Roman"/>
          <w:b w:val="false"/>
          <w:i w:val="false"/>
          <w:sz w:val="24"/>
        </w:rPr>
        <w:t>These observations point to the need for an Agentic AI framework that grounds retrieval in the patient's own longitudinal EHR timeline, coordinates specialized clinical agents, and treats verification and faithful auditability as evaluated components rather than aspirations, supporting intelligent monitoring while providing transparent, evidence-based recommendations that assist clinicians without replacing their judgment. The proposed research addresses these gaps by designing such a framework using the MIMIC-IV dataset [14], combining longitudinal patient memory, ReAct-based reasoning [5], patient-timeline Retrieval-Augmented Generation over EHR data and medical literature, coordinated specialized agents, a dedicated verification gate, and human-in-the-loop validation to improve the quality, transparency, and reliability of AI-assisted clinical decision making. The architecture that realizes these components is presented in detail in Chapter 3.</w:t>
      </w:r>
    </w:p>
    <w:p>
      <w:pPr>
        <w:pStyle w:val="Normal"/>
        <w:keepNext w:val="true"/>
        <w:numPr>
          <w:ilvl w:val="0"/>
          <w:numId w:val="0"/>
        </w:numPr>
        <w:spacing w:lineRule="auto" w:line="360" w:before="240" w:after="120"/>
        <w:jc w:val="left"/>
        <w:outlineLvl w:val="1"/>
        <w:rPr/>
      </w:pPr>
      <w:bookmarkStart w:id="44" w:name="__RefHeading___Toc496_2726808859"/>
      <w:bookmarkEnd w:id="44"/>
      <w:r>
        <w:rPr>
          <w:rFonts w:cs="Times New Roman"/>
          <w:b/>
          <w:i w:val="false"/>
          <w:sz w:val="28"/>
        </w:rPr>
        <w:t>2.11 Chapter Summary</w:t>
      </w:r>
    </w:p>
    <w:p>
      <w:pPr>
        <w:pStyle w:val="Normal"/>
        <w:spacing w:lineRule="auto" w:line="360" w:before="0" w:after="120"/>
        <w:ind w:firstLine="720"/>
        <w:jc w:val="both"/>
        <w:rPr/>
      </w:pPr>
      <w:r>
        <w:rPr>
          <w:rFonts w:cs="Times New Roman"/>
          <w:b w:val="false"/>
          <w:i w:val="false"/>
          <w:sz w:val="24"/>
        </w:rPr>
        <w:t>This chapter reviewed the literature on Large Language Models, Agentic AI, Retrieval-Augmented Generation, multi-agent systems, and healthcare artificial intelligence, and read it critically to locate a defensible research gap. It traced the evolution of LLMs into LLM-based agents and then into Agentic AI, and examined the architectural components, memory, planning, reasoning, tool use, and multi-agent collaboration, that convert a passive model into a goal-directed system [3][4]. It analyzed influential agent frameworks, including ReAct, AutoGen, CAMEL, MetaGPT, Toolformer, Reflexion, Voyager, and Generative Agents, organizing their capabilities into a taxonomy and showing that each supplies a mechanism a clinical system needs while none supplies the whole [5][6][7][18][23][19][24][8]. Turning to the clinical domain, it reviewed artificial intelligence and Large Language Models in healthcare, clinical decision support, Retrieval-Augmented Generation, and trustworthy-AI mechanisms, examining systems such as Med-PaLM, Med-PaLM 2, Med-PaLM M, Clinical Camel, MedAgents, MedRAG, Agent Hospital, and EHRAgent [2][26][25][13][10][11][12][33].</w:t>
      </w:r>
    </w:p>
    <w:p>
      <w:pPr>
        <w:pStyle w:val="Normal"/>
        <w:spacing w:lineRule="auto" w:line="360" w:before="0" w:after="120"/>
        <w:ind w:firstLine="720"/>
        <w:jc w:val="both"/>
        <w:rPr/>
      </w:pPr>
      <w:r>
        <w:rPr>
          <w:rFonts w:cs="Times New Roman"/>
          <w:b w:val="false"/>
          <w:i w:val="false"/>
          <w:sz w:val="24"/>
        </w:rPr>
        <w:t>The recurring finding is that existing research has advanced the individual capabilities, autonomous reasoning, knowledge retrieval, and collaborative agents, while leaving their integration under clinical supervision unrealized. Current approaches are evaluated largely on static examination benchmarks rather than longitudinal ICU records, ground retrieval in general knowledge rather than the specific patient's timeline, and rarely treat verification and faithful auditability as measured components. These gaps motivate the proposed Agentic AI Framework for Intelligent Patient Monitoring and Clinical Decision Support, which grounds retrieval in the patient's longitudinal EHR timeline, coordinates specialized agents with persistent memory and ReAct-based reasoning, and embeds a verification gate and human-in-the-loop validation, all grounded in the MIMIC-IV dataset [14][5][15]. The findings established here provide the theoretical and technical foundation for the research methodology and proposed architecture presented in the next chapter.</w:t>
      </w:r>
    </w:p>
    <w:p>
      <w:pPr>
        <w:pStyle w:val="Normal"/>
        <w:rPr/>
      </w:pPr>
      <w:r>
        <w:rPr/>
      </w:r>
      <w:r>
        <w:br w:type="page"/>
      </w:r>
    </w:p>
    <w:p>
      <w:pPr>
        <w:pStyle w:val="Normal"/>
        <w:numPr>
          <w:ilvl w:val="0"/>
          <w:numId w:val="0"/>
        </w:numPr>
        <w:spacing w:lineRule="auto" w:line="360" w:before="0" w:after="360"/>
        <w:jc w:val="center"/>
        <w:outlineLvl w:val="0"/>
        <w:rPr/>
      </w:pPr>
      <w:bookmarkStart w:id="45" w:name="__RefHeading___Toc498_2726808859"/>
      <w:bookmarkEnd w:id="45"/>
      <w:r>
        <w:rPr>
          <w:rFonts w:cs="Times New Roman"/>
          <w:b/>
          <w:i w:val="false"/>
          <w:sz w:val="32"/>
        </w:rPr>
        <w:t>REFERENCES</w:t>
      </w:r>
    </w:p>
    <w:p>
      <w:pPr>
        <w:pStyle w:val="Normal"/>
        <w:spacing w:lineRule="auto" w:line="360" w:before="0" w:after="120"/>
        <w:ind w:hanging="720" w:left="720"/>
        <w:jc w:val="both"/>
        <w:rPr/>
      </w:pPr>
      <w:r>
        <w:rPr>
          <w:rFonts w:cs="Times New Roman"/>
          <w:b w:val="false"/>
          <w:i w:val="false"/>
          <w:sz w:val="24"/>
        </w:rPr>
        <w:t>[1]  A. J. Thirunavukarasu, D. S. J. Ting, K. Elangovan, L. Gutierrez, T. F. Tan, and D. S. W. Ting, "Large language models in medicine," Nat. Med., vol. 29, no. 8, pp. 1930–1940, 2023.</w:t>
      </w:r>
    </w:p>
    <w:p>
      <w:pPr>
        <w:pStyle w:val="Normal"/>
        <w:spacing w:lineRule="auto" w:line="360" w:before="0" w:after="120"/>
        <w:ind w:hanging="720" w:left="720"/>
        <w:jc w:val="both"/>
        <w:rPr/>
      </w:pPr>
      <w:r>
        <w:rPr>
          <w:rFonts w:cs="Times New Roman"/>
          <w:b w:val="false"/>
          <w:i w:val="false"/>
          <w:sz w:val="24"/>
        </w:rPr>
        <w:t>[2]  K. Singhal et al., "Large language models encode clinical knowledge," Nature, vol. 620, no. 7972, pp. 172–180, 2023.</w:t>
      </w:r>
    </w:p>
    <w:p>
      <w:pPr>
        <w:pStyle w:val="Normal"/>
        <w:spacing w:lineRule="auto" w:line="360" w:before="0" w:after="120"/>
        <w:ind w:hanging="720" w:left="720"/>
        <w:jc w:val="both"/>
        <w:rPr/>
      </w:pPr>
      <w:r>
        <w:rPr>
          <w:rFonts w:cs="Times New Roman"/>
          <w:b w:val="false"/>
          <w:i w:val="false"/>
          <w:sz w:val="24"/>
        </w:rPr>
        <w:t>[3]  Z. Xi et al., "The rise and potential of large language model based agents: A survey," arXiv:2309.07864, 2023.</w:t>
      </w:r>
    </w:p>
    <w:p>
      <w:pPr>
        <w:pStyle w:val="Normal"/>
        <w:spacing w:lineRule="auto" w:line="360" w:before="0" w:after="120"/>
        <w:ind w:hanging="720" w:left="720"/>
        <w:jc w:val="both"/>
        <w:rPr/>
      </w:pPr>
      <w:r>
        <w:rPr>
          <w:rFonts w:cs="Times New Roman"/>
          <w:b w:val="false"/>
          <w:i w:val="false"/>
          <w:sz w:val="24"/>
        </w:rPr>
        <w:t>[4]  L. Wang et al., "A survey on large language model based autonomous agents," Front. Comput. Sci., vol. 18, no. 6, p. 186345, 2024.</w:t>
      </w:r>
    </w:p>
    <w:p>
      <w:pPr>
        <w:pStyle w:val="Normal"/>
        <w:spacing w:lineRule="auto" w:line="360" w:before="0" w:after="120"/>
        <w:ind w:hanging="720" w:left="720"/>
        <w:jc w:val="both"/>
        <w:rPr/>
      </w:pPr>
      <w:r>
        <w:rPr>
          <w:rFonts w:cs="Times New Roman"/>
          <w:b w:val="false"/>
          <w:i w:val="false"/>
          <w:sz w:val="24"/>
        </w:rPr>
        <w:t>[5]  S. Yao, J. Zhao, D. Yu, N. Du, I. Shafran, K. Narasimhan, and Y. Cao, "ReAct: Synergizing reasoning and acting in language models," in Proc. Int. Conf. Learn. Represent. (ICLR), 2023.</w:t>
      </w:r>
    </w:p>
    <w:p>
      <w:pPr>
        <w:pStyle w:val="Normal"/>
        <w:spacing w:lineRule="auto" w:line="360" w:before="0" w:after="120"/>
        <w:ind w:hanging="720" w:left="720"/>
        <w:jc w:val="both"/>
        <w:rPr/>
      </w:pPr>
      <w:r>
        <w:rPr>
          <w:rFonts w:cs="Times New Roman"/>
          <w:b w:val="false"/>
          <w:i w:val="false"/>
          <w:sz w:val="24"/>
        </w:rPr>
        <w:t>[6]  Q. Wu et al., "AutoGen: Enabling next-gen LLM applications via multi-agent conversation," in Proc. Conf. Lang. Model. (COLM), 2024.</w:t>
      </w:r>
    </w:p>
    <w:p>
      <w:pPr>
        <w:pStyle w:val="Normal"/>
        <w:spacing w:lineRule="auto" w:line="360" w:before="0" w:after="120"/>
        <w:ind w:hanging="720" w:left="720"/>
        <w:jc w:val="both"/>
        <w:rPr/>
      </w:pPr>
      <w:r>
        <w:rPr>
          <w:rFonts w:cs="Times New Roman"/>
          <w:b w:val="false"/>
          <w:i w:val="false"/>
          <w:sz w:val="24"/>
        </w:rPr>
        <w:t>[7]  G. Li, H. A. A. K. Hammoud, H. Itani, D. Khizbullin, and B. Ghanem, "CAMEL: Communicative agents for ‘mind’ exploration of large language model society," in Proc. Adv. Neural Inf. Process. Syst. (NeurIPS), 2023.</w:t>
      </w:r>
    </w:p>
    <w:p>
      <w:pPr>
        <w:pStyle w:val="Normal"/>
        <w:spacing w:lineRule="auto" w:line="360" w:before="0" w:after="120"/>
        <w:ind w:hanging="720" w:left="720"/>
        <w:jc w:val="both"/>
        <w:rPr/>
      </w:pPr>
      <w:r>
        <w:rPr>
          <w:rFonts w:cs="Times New Roman"/>
          <w:b w:val="false"/>
          <w:i w:val="false"/>
          <w:sz w:val="24"/>
        </w:rPr>
        <w:t>[8]  J. S. Park, J. C. O’Brien, C. J. Cai, M. R. Morris, P. Liang, and M. S. Bernstein, "Generative agents: Interactive simulacra of human behavior," in Proc. 36th ACM Symp. User Interface Softw. Technol. (UIST), 2023.</w:t>
      </w:r>
    </w:p>
    <w:p>
      <w:pPr>
        <w:pStyle w:val="Normal"/>
        <w:spacing w:lineRule="auto" w:line="360" w:before="0" w:after="120"/>
        <w:ind w:hanging="720" w:left="720"/>
        <w:jc w:val="both"/>
        <w:rPr/>
      </w:pPr>
      <w:r>
        <w:rPr>
          <w:rFonts w:cs="Times New Roman"/>
          <w:b w:val="false"/>
          <w:i w:val="false"/>
          <w:sz w:val="24"/>
        </w:rPr>
        <w:t>[9]  R. Sapkota, K. I. Roumeliotis, and M. Karkee, "AI agents vs. Agentic AI: A conceptual taxonomy, applications and challenges," arXiv:2505.10468, 2025.</w:t>
      </w:r>
    </w:p>
    <w:p>
      <w:pPr>
        <w:pStyle w:val="Normal"/>
        <w:spacing w:lineRule="auto" w:line="360" w:before="0" w:after="120"/>
        <w:ind w:hanging="720" w:left="720"/>
        <w:jc w:val="both"/>
        <w:rPr/>
      </w:pPr>
      <w:r>
        <w:rPr>
          <w:rFonts w:cs="Times New Roman"/>
          <w:b w:val="false"/>
          <w:i w:val="false"/>
          <w:sz w:val="24"/>
        </w:rPr>
        <w:t>[10]  X. Tang, A. Zou, Z. Zhang, Z. Li, Y. Zhao, X. Zhang, A. Cohan, and M. Gerstein, "MedAgents: Large language models as collaborators for zero-shot medical reasoning," in Findings Assoc. Comput. Linguist. (ACL Findings), 2024.</w:t>
      </w:r>
    </w:p>
    <w:p>
      <w:pPr>
        <w:pStyle w:val="Normal"/>
        <w:spacing w:lineRule="auto" w:line="360" w:before="0" w:after="120"/>
        <w:ind w:hanging="720" w:left="720"/>
        <w:jc w:val="both"/>
        <w:rPr/>
      </w:pPr>
      <w:r>
        <w:rPr>
          <w:rFonts w:cs="Times New Roman"/>
          <w:b w:val="false"/>
          <w:i w:val="false"/>
          <w:sz w:val="24"/>
        </w:rPr>
        <w:t>[11]  X. Zhao, S. Liu, S.-Y. Yang, and C. Miao, "MedRAG: Enhancing retrieval-augmented generation with knowledge graph-elicited reasoning for healthcare copilot," in Proc. ACM Web Conf. (WWW), 2025.</w:t>
      </w:r>
    </w:p>
    <w:p>
      <w:pPr>
        <w:pStyle w:val="Normal"/>
        <w:spacing w:lineRule="auto" w:line="360" w:before="0" w:after="120"/>
        <w:ind w:hanging="720" w:left="720"/>
        <w:jc w:val="both"/>
        <w:rPr/>
      </w:pPr>
      <w:r>
        <w:rPr>
          <w:rFonts w:cs="Times New Roman"/>
          <w:b w:val="false"/>
          <w:i w:val="false"/>
          <w:sz w:val="24"/>
        </w:rPr>
        <w:t>[12]  J. Li et al., "Agent hospital: A simulacrum of hospital with evolvable medical agents," arXiv:2405.02957, 2024.</w:t>
      </w:r>
    </w:p>
    <w:p>
      <w:pPr>
        <w:pStyle w:val="Normal"/>
        <w:spacing w:lineRule="auto" w:line="360" w:before="0" w:after="120"/>
        <w:ind w:hanging="720" w:left="720"/>
        <w:jc w:val="both"/>
        <w:rPr/>
      </w:pPr>
      <w:r>
        <w:rPr>
          <w:rFonts w:cs="Times New Roman"/>
          <w:b w:val="false"/>
          <w:i w:val="false"/>
          <w:sz w:val="24"/>
        </w:rPr>
        <w:t>[13]  A. Toma, P. R. Lawler, J. Ba, R. G. Krishnan, B. B. Rubin, and B. Wang, "Clinical Camel: An open expert-level medical language model with dialogue-based knowledge encoding," arXiv:2305.12031, 2023.</w:t>
      </w:r>
    </w:p>
    <w:p>
      <w:pPr>
        <w:pStyle w:val="Normal"/>
        <w:spacing w:lineRule="auto" w:line="360" w:before="0" w:after="120"/>
        <w:ind w:hanging="720" w:left="720"/>
        <w:jc w:val="both"/>
        <w:rPr/>
      </w:pPr>
      <w:r>
        <w:rPr>
          <w:rFonts w:cs="Times New Roman"/>
          <w:b w:val="false"/>
          <w:i w:val="false"/>
          <w:sz w:val="24"/>
        </w:rPr>
        <w:t>[14]  A. E. W. Johnson et al., "MIMIC-IV, a freely accessible electronic health record dataset," Sci. Data, vol. 10, no. 1, p. 1, 2023.</w:t>
      </w:r>
    </w:p>
    <w:p>
      <w:pPr>
        <w:pStyle w:val="Normal"/>
        <w:spacing w:lineRule="auto" w:line="360" w:before="0" w:after="120"/>
        <w:ind w:hanging="720" w:left="720"/>
        <w:jc w:val="both"/>
        <w:rPr/>
      </w:pPr>
      <w:r>
        <w:rPr>
          <w:rFonts w:cs="Times New Roman"/>
          <w:b w:val="false"/>
          <w:i w:val="false"/>
          <w:sz w:val="24"/>
        </w:rPr>
        <w:t>[15]  P. Lewis et al., "Retrieval-augmented generation for knowledge-intensive NLP tasks," in Proc. Adv. Neural Inf. Process. Syst. (NeurIPS), 2020.</w:t>
      </w:r>
    </w:p>
    <w:p>
      <w:pPr>
        <w:pStyle w:val="Normal"/>
        <w:spacing w:lineRule="auto" w:line="360" w:before="0" w:after="120"/>
        <w:ind w:hanging="720" w:left="720"/>
        <w:jc w:val="both"/>
        <w:rPr/>
      </w:pPr>
      <w:r>
        <w:rPr>
          <w:rFonts w:cs="Times New Roman"/>
          <w:b w:val="false"/>
          <w:i w:val="false"/>
          <w:sz w:val="24"/>
        </w:rPr>
        <w:t>[16]  H. Zhou et al., "A survey of large language models in medicine: Progress, application, and challenge," arXiv:2311.05112, 2024.</w:t>
      </w:r>
    </w:p>
    <w:p>
      <w:pPr>
        <w:pStyle w:val="Normal"/>
        <w:spacing w:lineRule="auto" w:line="360" w:before="0" w:after="120"/>
        <w:ind w:hanging="720" w:left="720"/>
        <w:jc w:val="both"/>
        <w:rPr/>
      </w:pPr>
      <w:r>
        <w:rPr>
          <w:rFonts w:cs="Times New Roman"/>
          <w:b w:val="false"/>
          <w:i w:val="false"/>
          <w:sz w:val="24"/>
        </w:rPr>
        <w:t>[17]  Y. Gao et al., "Retrieval-augmented generation for large language models: A survey," arXiv:2312.10997, 2023.</w:t>
      </w:r>
    </w:p>
    <w:p>
      <w:pPr>
        <w:pStyle w:val="Normal"/>
        <w:spacing w:lineRule="auto" w:line="360" w:before="0" w:after="120"/>
        <w:ind w:hanging="720" w:left="720"/>
        <w:jc w:val="both"/>
        <w:rPr/>
      </w:pPr>
      <w:r>
        <w:rPr>
          <w:rFonts w:cs="Times New Roman"/>
          <w:b w:val="false"/>
          <w:i w:val="false"/>
          <w:sz w:val="24"/>
        </w:rPr>
        <w:t>[18]  S. Hong et al., "MetaGPT: Meta programming for a multi-agent collaborative framework," in Proc. Int. Conf. Learn. Represent. (ICLR), 2024.</w:t>
      </w:r>
    </w:p>
    <w:p>
      <w:pPr>
        <w:pStyle w:val="Normal"/>
        <w:spacing w:lineRule="auto" w:line="360" w:before="0" w:after="120"/>
        <w:ind w:hanging="720" w:left="720"/>
        <w:jc w:val="both"/>
        <w:rPr/>
      </w:pPr>
      <w:r>
        <w:rPr>
          <w:rFonts w:cs="Times New Roman"/>
          <w:b w:val="false"/>
          <w:i w:val="false"/>
          <w:sz w:val="24"/>
        </w:rPr>
        <w:t>[19]  N. Shinn, F. Cassano, E. Berman, A. Gopinath, K. Narasimhan, and S. Yao, "Reflexion: Language agents with verbal reinforcement learning," in Proc. Adv. Neural Inf. Process. Syst. (NeurIPS), 2023.</w:t>
      </w:r>
    </w:p>
    <w:p>
      <w:pPr>
        <w:pStyle w:val="Normal"/>
        <w:spacing w:lineRule="auto" w:line="360" w:before="0" w:after="120"/>
        <w:ind w:hanging="720" w:left="720"/>
        <w:jc w:val="both"/>
        <w:rPr/>
      </w:pPr>
      <w:r>
        <w:rPr>
          <w:rFonts w:cs="Times New Roman"/>
          <w:b w:val="false"/>
          <w:i w:val="false"/>
          <w:sz w:val="24"/>
        </w:rPr>
        <w:t>[20]  J. Wei et al., "Chain-of-thought prompting elicits reasoning in large language models," in Proc. Adv. Neural Inf. Process. Syst. (NeurIPS), 2022.</w:t>
      </w:r>
    </w:p>
    <w:p>
      <w:pPr>
        <w:pStyle w:val="Normal"/>
        <w:spacing w:lineRule="auto" w:line="360" w:before="0" w:after="120"/>
        <w:ind w:hanging="720" w:left="720"/>
        <w:jc w:val="both"/>
        <w:rPr/>
      </w:pPr>
      <w:r>
        <w:rPr>
          <w:rFonts w:cs="Times New Roman"/>
          <w:b w:val="false"/>
          <w:i w:val="false"/>
          <w:sz w:val="24"/>
        </w:rPr>
        <w:t>[21]  X. Wang et al., "Self-consistency improves chain of thought reasoning in language models," in Proc. Int. Conf. Learn. Represent. (ICLR), 2023.</w:t>
      </w:r>
    </w:p>
    <w:p>
      <w:pPr>
        <w:pStyle w:val="Normal"/>
        <w:spacing w:lineRule="auto" w:line="360" w:before="0" w:after="120"/>
        <w:ind w:hanging="720" w:left="720"/>
        <w:jc w:val="both"/>
        <w:rPr/>
      </w:pPr>
      <w:r>
        <w:rPr>
          <w:rFonts w:cs="Times New Roman"/>
          <w:b w:val="false"/>
          <w:i w:val="false"/>
          <w:sz w:val="24"/>
        </w:rPr>
        <w:t>[22]  S. Yao et al., "Tree of thoughts: Deliberate problem solving with large language models," in Proc. Adv. Neural Inf. Process. Syst. (NeurIPS), 2023.</w:t>
      </w:r>
    </w:p>
    <w:p>
      <w:pPr>
        <w:pStyle w:val="Normal"/>
        <w:spacing w:lineRule="auto" w:line="360" w:before="0" w:after="120"/>
        <w:ind w:hanging="720" w:left="720"/>
        <w:jc w:val="both"/>
        <w:rPr/>
      </w:pPr>
      <w:r>
        <w:rPr>
          <w:rFonts w:cs="Times New Roman"/>
          <w:b w:val="false"/>
          <w:i w:val="false"/>
          <w:sz w:val="24"/>
        </w:rPr>
        <w:t>[23]  T. Schick et al., "Toolformer: Language models can teach themselves to use tools," in Proc. Adv. Neural Inf. Process. Syst. (NeurIPS), 2023.</w:t>
      </w:r>
    </w:p>
    <w:p>
      <w:pPr>
        <w:pStyle w:val="Normal"/>
        <w:spacing w:lineRule="auto" w:line="360" w:before="0" w:after="120"/>
        <w:ind w:hanging="720" w:left="720"/>
        <w:jc w:val="both"/>
        <w:rPr/>
      </w:pPr>
      <w:r>
        <w:rPr>
          <w:rFonts w:cs="Times New Roman"/>
          <w:b w:val="false"/>
          <w:i w:val="false"/>
          <w:sz w:val="24"/>
        </w:rPr>
        <w:t>[24]  G. Wang et al., "Voyager: An open-ended embodied agent with large language models," Trans. Mach. Learn. Res. (TMLR), 2024.</w:t>
      </w:r>
    </w:p>
    <w:p>
      <w:pPr>
        <w:pStyle w:val="Normal"/>
        <w:spacing w:lineRule="auto" w:line="360" w:before="0" w:after="120"/>
        <w:ind w:hanging="720" w:left="720"/>
        <w:jc w:val="both"/>
        <w:rPr/>
      </w:pPr>
      <w:r>
        <w:rPr>
          <w:rFonts w:cs="Times New Roman"/>
          <w:b w:val="false"/>
          <w:i w:val="false"/>
          <w:sz w:val="24"/>
        </w:rPr>
        <w:t>[25]  T. Tu et al., "Towards generalist biomedical AI," NEJM AI, vol. 1, no. 3, 2024.</w:t>
      </w:r>
    </w:p>
    <w:p>
      <w:pPr>
        <w:pStyle w:val="Normal"/>
        <w:spacing w:lineRule="auto" w:line="360" w:before="0" w:after="120"/>
        <w:ind w:hanging="720" w:left="720"/>
        <w:jc w:val="both"/>
        <w:rPr/>
      </w:pPr>
      <w:r>
        <w:rPr>
          <w:rFonts w:cs="Times New Roman"/>
          <w:b w:val="false"/>
          <w:i w:val="false"/>
          <w:sz w:val="24"/>
        </w:rPr>
        <w:t>[26]  K. Singhal et al., "Toward expert-level medical question answering with large language models," Nat. Med., vol. 31, pp. 943–950, 2025.</w:t>
      </w:r>
    </w:p>
    <w:p>
      <w:pPr>
        <w:pStyle w:val="Normal"/>
        <w:spacing w:lineRule="auto" w:line="360" w:before="0" w:after="120"/>
        <w:ind w:hanging="720" w:left="720"/>
        <w:jc w:val="both"/>
        <w:rPr/>
      </w:pPr>
      <w:r>
        <w:rPr>
          <w:rFonts w:cs="Times New Roman"/>
          <w:b w:val="false"/>
          <w:i w:val="false"/>
          <w:sz w:val="24"/>
        </w:rPr>
        <w:t>[27]  T. Tu et al., "Towards conversational diagnostic AI," Nature, 2025.</w:t>
      </w:r>
    </w:p>
    <w:p>
      <w:pPr>
        <w:pStyle w:val="Normal"/>
        <w:spacing w:lineRule="auto" w:line="360" w:before="0" w:after="120"/>
        <w:ind w:hanging="720" w:left="720"/>
        <w:jc w:val="both"/>
        <w:rPr/>
      </w:pPr>
      <w:r>
        <w:rPr>
          <w:rFonts w:cs="Times New Roman"/>
          <w:b w:val="false"/>
          <w:i w:val="false"/>
          <w:sz w:val="24"/>
        </w:rPr>
        <w:t>[28]  A. Asai, Z. Wu, Y. Wang, A. Sil, and H. Hajishirzi, "Self-RAG: Learning to retrieve, generate, and critique through self-reflection," in Proc. Int. Conf. Learn. Represent. (ICLR), 2024.</w:t>
      </w:r>
    </w:p>
    <w:p>
      <w:pPr>
        <w:pStyle w:val="Normal"/>
        <w:spacing w:lineRule="auto" w:line="360" w:before="0" w:after="120"/>
        <w:ind w:hanging="720" w:left="720"/>
        <w:jc w:val="both"/>
        <w:rPr/>
      </w:pPr>
      <w:r>
        <w:rPr>
          <w:rFonts w:cs="Times New Roman"/>
          <w:b w:val="false"/>
          <w:i w:val="false"/>
          <w:sz w:val="24"/>
        </w:rPr>
        <w:t>[29]  A. L. Goldberger et al., "PhysioBank, PhysioToolkit, and PhysioNet: Components of a new research resource for complex physiologic signals," Circulation, vol. 101, no. 23, pp. e215–e220, 2000.</w:t>
      </w:r>
    </w:p>
    <w:p>
      <w:pPr>
        <w:pStyle w:val="Normal"/>
        <w:spacing w:lineRule="auto" w:line="360" w:before="0" w:after="120"/>
        <w:ind w:hanging="720" w:left="720"/>
        <w:jc w:val="both"/>
        <w:rPr/>
      </w:pPr>
      <w:r>
        <w:rPr>
          <w:rFonts w:cs="Times New Roman"/>
          <w:b w:val="false"/>
          <w:i w:val="false"/>
          <w:sz w:val="24"/>
        </w:rPr>
        <w:t>[30]  K. Rasheed, A. Qayyum, M. Ghaly, A. Al-Fuqaha, A. Razi, and J. Qadir, "Explainable, trustworthy, and ethical machine learning for healthcare: A survey," Comput. Biol. Med., vol. 149, p. 106043, 2022.</w:t>
      </w:r>
    </w:p>
    <w:p>
      <w:pPr>
        <w:pStyle w:val="Normal"/>
        <w:spacing w:lineRule="auto" w:line="360" w:before="0" w:after="120"/>
        <w:ind w:hanging="720" w:left="720"/>
        <w:jc w:val="both"/>
        <w:rPr/>
      </w:pPr>
      <w:r>
        <w:rPr>
          <w:rFonts w:cs="Times New Roman"/>
          <w:b w:val="false"/>
          <w:i w:val="false"/>
          <w:sz w:val="24"/>
        </w:rPr>
        <w:t>[31]  D. Jin, E. Pan, N. Oufattole, W.-H. Weng, H. Fang, and P. Szolovits, "What disease does this patient have? A large-scale open domain question answering dataset from medical exams," Appl. Sci., vol. 11, no. 14, p. 6421, 2021.</w:t>
      </w:r>
    </w:p>
    <w:p>
      <w:pPr>
        <w:pStyle w:val="Normal"/>
        <w:spacing w:lineRule="auto" w:line="360" w:before="0" w:after="120"/>
        <w:ind w:hanging="720" w:left="720"/>
        <w:jc w:val="both"/>
        <w:rPr/>
      </w:pPr>
      <w:r>
        <w:rPr>
          <w:rFonts w:cs="Times New Roman"/>
          <w:b w:val="false"/>
          <w:i w:val="false"/>
          <w:sz w:val="24"/>
        </w:rPr>
        <w:t>[32]  S. Schmidgall, R. Ziaei, C. Harris, E. Reis, J. Jopling, and M. Moor, "AgentClinic: A multimodal agent benchmark to evaluate AI in simulated clinical environments," arXiv:2405.07960, 2024.</w:t>
      </w:r>
    </w:p>
    <w:p>
      <w:pPr>
        <w:pStyle w:val="Normal"/>
        <w:spacing w:lineRule="auto" w:line="360" w:before="0" w:after="120"/>
        <w:ind w:hanging="720" w:left="720"/>
        <w:jc w:val="both"/>
        <w:rPr/>
      </w:pPr>
      <w:r>
        <w:rPr>
          <w:rFonts w:cs="Times New Roman"/>
          <w:b w:val="false"/>
          <w:i w:val="false"/>
          <w:sz w:val="24"/>
        </w:rPr>
        <w:t>[33]  W. Shi et al., "EHRAgent: Code empowers large language models for few-shot complex tabular reasoning on electronic health records," in Proc. EMNLP, 2024.</w:t>
      </w:r>
    </w:p>
    <w:sectPr>
      <w:footerReference w:type="even" r:id="rId9"/>
      <w:footerReference w:type="default" r:id="rId10"/>
      <w:footerReference w:type="first" r:id="rId11"/>
      <w:type w:val="nextPage"/>
      <w:pgSz w:w="11906" w:h="16838"/>
      <w:pgMar w:left="1800" w:right="1440" w:gutter="0" w:header="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XII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XII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cs="Times New Roman"/>
        <w:b w:val="false"/>
        <w:i w:val="false"/>
        <w:sz w:val="24"/>
      </w:rPr>
      <w:fldChar w:fldCharType="begin"/>
    </w:r>
    <w:r>
      <w:rPr>
        <w:rFonts w:cs="Times New Roman"/>
        <w:b w:val="false"/>
        <w:i w:val="false"/>
        <w:sz w:val="24"/>
      </w:rPr>
      <w:instrText xml:space="preserve"> PAGE </w:instrText>
    </w:r>
    <w:r>
      <w:rPr>
        <w:rFonts w:cs="Times New Roman"/>
        <w:b w:val="false"/>
        <w:i w:val="false"/>
        <w:sz w:val="24"/>
      </w:rPr>
      <w:fldChar w:fldCharType="separate"/>
    </w:r>
    <w:r>
      <w:rPr>
        <w:rFonts w:cs="Times New Roman"/>
        <w:b w:val="false"/>
        <w:i w:val="false"/>
        <w:sz w:val="24"/>
      </w:rPr>
      <w:t>36</w:t>
    </w:r>
    <w:r>
      <w:rPr>
        <w:rFonts w:cs="Times New Roman"/>
        <w:b w:val="false"/>
        <w:i w:val="false"/>
        <w:sz w:val="24"/>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cs="Times New Roman"/>
        <w:b w:val="false"/>
        <w:i w:val="false"/>
        <w:sz w:val="24"/>
      </w:rPr>
      <w:fldChar w:fldCharType="begin"/>
    </w:r>
    <w:r>
      <w:rPr>
        <w:rFonts w:cs="Times New Roman"/>
        <w:b w:val="false"/>
        <w:i w:val="false"/>
        <w:sz w:val="24"/>
      </w:rPr>
      <w:instrText xml:space="preserve"> PAGE </w:instrText>
    </w:r>
    <w:r>
      <w:rPr>
        <w:rFonts w:cs="Times New Roman"/>
        <w:b w:val="false"/>
        <w:i w:val="false"/>
        <w:sz w:val="24"/>
      </w:rPr>
      <w:fldChar w:fldCharType="separate"/>
    </w:r>
    <w:r>
      <w:rPr>
        <w:rFonts w:cs="Times New Roman"/>
        <w:b w:val="false"/>
        <w:i w:val="false"/>
        <w:sz w:val="24"/>
      </w:rPr>
      <w:t>36</w:t>
    </w:r>
    <w:r>
      <w:rPr>
        <w:rFonts w:cs="Times New Roman"/>
        <w:b w:val="false"/>
        <w:i w:val="false"/>
        <w:sz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8666" w:leader="dot"/>
      </w:tabs>
      <w:ind w:hanging="0" w:left="0"/>
    </w:pPr>
    <w:rPr/>
  </w:style>
  <w:style w:type="paragraph" w:styleId="TOC2">
    <w:name w:val="toc 2"/>
    <w:basedOn w:val="Index"/>
    <w:pPr>
      <w:tabs>
        <w:tab w:val="clear" w:pos="720"/>
        <w:tab w:val="right" w:pos="8383" w:leader="dot"/>
      </w:tabs>
      <w:ind w:hanging="0" w:left="283"/>
    </w:pPr>
    <w:rPr/>
  </w:style>
  <w:style w:type="paragraph" w:styleId="TOC3">
    <w:name w:val="toc 3"/>
    <w:basedOn w:val="Index"/>
    <w:pPr>
      <w:tabs>
        <w:tab w:val="clear" w:pos="720"/>
        <w:tab w:val="right" w:pos="8099" w:leader="dot"/>
      </w:tabs>
      <w:ind w:hanging="0"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LibreOffice/26.2.4.2$Windows_X86_64 LibreOffice_project/0229ac93fcf0d7cbc6376066c6f35021cef002dc</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2026-07-24T15:56:30Z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