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 [Department], [University] · Supervisor: Dr. Fawad Nasim · [email]</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agent interoperability protocols (MCP, A2A);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the Model Context Protocol (MCP), and inter-agent exchange will follow Agent-to-Agent (A2A)-style conventions, the two interoperability protocols named in the index terms [30], keeping the prototype composable with hospital tooling. External tools will follow the validated-tool principle of RiskAgent and TxAgent: calculations and lookups will be delegated to auditable components rather than generated [1], [2].</w:t>
      </w:r>
    </w:p>
    <w:p>
      <w:pPr>
        <w:pStyle w:val="Heading2"/>
      </w:pPr>
      <w:r>
        <w:t>3.4 Verification Gate and Audit Trail</w:t>
      </w:r>
    </w:p>
    <w:p>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of a random sample sized to bound the faithfulness estimate within ±5 percentage points at 95% confidence, assuming the maximum-variance baseline p = 0.5 (approximately 385 references, or the full trail when smaller). Adjudication is strictly binary: a reference that is partially correct, for example resolving to the right table but the wrong row or to a superseded value, counts as unfaithful.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pPr>
        <w:pStyle w:val="Heading2"/>
      </w:pPr>
      <w:r>
        <w:t>4.5 Safety Consideration: The Gate's Sensitivity Floor</w:t>
      </w:r>
    </w:p>
    <w:p>
      <w:pPr>
        <w:jc w:val="both"/>
      </w:pPr>
      <w:r>
        <w:t>The pilot's most consequential finding for deployment is not the gate's specificity but its sensitivity floor, and it warrants treatment as a first-class safety issue rather than a footnote to the results. At the strictest informative threshold the rule-based gate blocked three of the seven true alerts; a deployed system that suppressed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pPr>
        <w:pStyle w:val="Heading2"/>
      </w:pPr>
      <w:r>
        <w:t>4.6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This figure measures the retrieval substrate alone: in the full system, each recommendation will additionally incur multiple LLM inference calls, so total response time will be dominated by agentic reasoning, not retrieval, and will be measured separately in the planned evaluation.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Ethics Statement</w:t>
      </w:r>
    </w:p>
    <w:p>
      <w:r>
        <w:t>This study uses only the MIMIC-IV Clinical Database Demo v2.2, a fully de-identified, openly licensed public dataset distributed by PhysioNet that requires no credentialing and involves no interaction with patients or clinicians; no additional ethics approval was required for its use. The planned full evaluation will use the credentialed MIMIC-IV database under the PhysioNet Credentialed Health Data Use Agreement and completed human subjects research training. The system described is an academic proof-of-concept evaluated on de-identified and synthetic data only; it is not a medical device and is not intended for clinical use, and any output it produces requires review by a qualified licensed clinician.</w:t>
      </w:r>
    </w:p>
    <w:p>
      <w:pPr>
        <w:pStyle w:val="Heading1"/>
      </w:pPr>
      <w:r>
        <w:t>Data Availability</w:t>
      </w:r>
    </w:p>
    <w:p>
      <w:r>
        <w:t>The MIMIC-IV Clinical Database Demo v2.2 is publicly available from PhysioNet. The pilot implementation (timeline construction, timestamp-aware retrieval, early-warning baseline, and verification gate) and the aggregate pilot metrics reported in Section 5 are available in the project repository; no patient-level data is redistributed. The full MIMIC-IV database is available to credentialed researchers via PhysioNet.</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Küttler,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J. Vincent, R. Moreno, J. Takala, S. Willatts, A. De Mendonça, H. Bruining, C. K. Reinhart, P. M. Suter, L. G. Thijs,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