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6367A7">
      <w:pPr>
        <w:jc w:val="center"/>
      </w:pPr>
      <w:r>
        <w:rPr>
          <w:b/>
          <w:sz w:val="30"/>
        </w:rPr>
        <w:t>An Agentic AI Framework for Intelligent Patient Monitoring and Clinical Decision Support with Patient-Timeline Retrieval and Verified Recommendations</w:t>
      </w:r>
    </w:p>
    <w:p w14:paraId="249FE0AB">
      <w:pPr>
        <w:jc w:val="center"/>
      </w:pPr>
      <w:r>
        <w:t>Adeel Masih</w:t>
      </w:r>
      <w:r>
        <w:rPr>
          <w:rFonts w:hint="default"/>
          <w:lang w:val="en-US"/>
        </w:rPr>
        <w:t>,</w:t>
      </w:r>
      <w:bookmarkStart w:id="0" w:name="_GoBack"/>
      <w:bookmarkEnd w:id="0"/>
      <w:r>
        <w:t xml:space="preserve"> Department of Computer Science, The Superior University, Lahore, Pakistan · Supervisor: Dr. Fawad Nasim · adeel_gill@outlook.com</w:t>
      </w:r>
    </w:p>
    <w:p w14:paraId="53C41901">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14:paraId="03F57C4C">
      <w:r>
        <w:rPr>
          <w:b/>
        </w:rPr>
        <w:t xml:space="preserve">Index Terms— </w:t>
      </w:r>
      <w:r>
        <w:t>agentic AI; clinical decision support; patient monitoring; large language models; retrieval-augmented generation; verification; audit trail; human-in-the-loop; agent interoperability protocols (MCP, A2A); MIMIC-IV</w:t>
      </w:r>
    </w:p>
    <w:p w14:paraId="487D77B5">
      <w:pPr>
        <w:pStyle w:val="2"/>
      </w:pPr>
      <w:r>
        <w:t>1. Introduction</w:t>
      </w:r>
    </w:p>
    <w:p w14:paraId="229E5CDC">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14:paraId="15B47010">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14:paraId="3EBF61C6">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14:paraId="2CE40C81">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14:paraId="04A588C3">
      <w:pPr>
        <w:jc w:val="both"/>
      </w:pPr>
      <w:r>
        <w:t>The remainder of the paper reviews related work (Section 2), details the framework and its evaluation design (Section 3), discusses implications and limitations (Section 4), and reports the pilot study (Section 5).</w:t>
      </w:r>
    </w:p>
    <w:p w14:paraId="4D6B98FF">
      <w:pPr>
        <w:pStyle w:val="2"/>
      </w:pPr>
      <w:r>
        <w:t>2. Related Work</w:t>
      </w:r>
    </w:p>
    <w:p w14:paraId="1389E55E">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14:paraId="77FDEE1A">
      <w:pPr>
        <w:pStyle w:val="3"/>
      </w:pPr>
      <w:r>
        <w:t>2.1 How Agents Are Built</w:t>
      </w:r>
    </w:p>
    <w:p w14:paraId="4E5436E5">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14:paraId="4ED937CD">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14:paraId="6835BD7C">
      <w:pPr>
        <w:pStyle w:val="3"/>
      </w:pPr>
      <w:r>
        <w:t>2.2 What Medical Agents Do</w:t>
      </w:r>
    </w:p>
    <w:p w14:paraId="17FB165C">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14:paraId="56767E26">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14:paraId="5F7DCAAD">
      <w:pPr>
        <w:pStyle w:val="3"/>
      </w:pPr>
      <w:r>
        <w:t>2.3 What Retrieval Is Grounded In</w:t>
      </w:r>
    </w:p>
    <w:p w14:paraId="5019E0FA">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14:paraId="6B9D6AF6">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14:paraId="5915A2D4">
      <w:pPr>
        <w:pStyle w:val="3"/>
      </w:pPr>
      <w:r>
        <w:t>2.4 How Trust Would Be Established</w:t>
      </w:r>
    </w:p>
    <w:p w14:paraId="5CEECF83">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14:paraId="106FC4E7">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14:paraId="0E743273">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14:paraId="7CC31F41">
      <w:pPr>
        <w:pStyle w:val="2"/>
      </w:pPr>
      <w:r>
        <w:t>3. Methodology</w:t>
      </w:r>
    </w:p>
    <w:p w14:paraId="64ED0F7D">
      <w:pPr>
        <w:pStyle w:val="3"/>
      </w:pPr>
      <w:r>
        <w:t>3.1 Design Overview</w:t>
      </w:r>
    </w:p>
    <w:p w14:paraId="229E1739">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14:paraId="3A7F3213">
      <w:r>
        <w:rPr>
          <w:b/>
          <w:sz w:val="18"/>
        </w:rPr>
        <w:t>TABLE. Component status: designed, implemented, and evaluated.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D6A4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D5085F4">
            <w:pPr>
              <w:spacing w:after="0" w:line="240" w:lineRule="auto"/>
            </w:pPr>
            <w:r>
              <w:rPr>
                <w:b/>
                <w:sz w:val="18"/>
              </w:rPr>
              <w:t>Component</w:t>
            </w:r>
          </w:p>
        </w:tc>
        <w:tc>
          <w:tcPr>
            <w:tcW w:w="2160" w:type="dxa"/>
          </w:tcPr>
          <w:p w14:paraId="5240ED13">
            <w:pPr>
              <w:spacing w:after="0" w:line="240" w:lineRule="auto"/>
            </w:pPr>
            <w:r>
              <w:rPr>
                <w:b/>
                <w:sz w:val="18"/>
              </w:rPr>
              <w:t>Designed</w:t>
            </w:r>
          </w:p>
        </w:tc>
        <w:tc>
          <w:tcPr>
            <w:tcW w:w="2160" w:type="dxa"/>
          </w:tcPr>
          <w:p w14:paraId="428F42AA">
            <w:pPr>
              <w:spacing w:after="0" w:line="240" w:lineRule="auto"/>
            </w:pPr>
            <w:r>
              <w:rPr>
                <w:b/>
                <w:sz w:val="18"/>
              </w:rPr>
              <w:t>Implemented</w:t>
            </w:r>
          </w:p>
        </w:tc>
        <w:tc>
          <w:tcPr>
            <w:tcW w:w="2160" w:type="dxa"/>
          </w:tcPr>
          <w:p w14:paraId="00790D44">
            <w:pPr>
              <w:spacing w:after="0" w:line="240" w:lineRule="auto"/>
            </w:pPr>
            <w:r>
              <w:rPr>
                <w:b/>
                <w:sz w:val="18"/>
              </w:rPr>
              <w:t>Evaluated</w:t>
            </w:r>
          </w:p>
        </w:tc>
      </w:tr>
      <w:tr w14:paraId="095D7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B5C107E">
            <w:pPr>
              <w:spacing w:after="0" w:line="240" w:lineRule="auto"/>
            </w:pPr>
            <w:r>
              <w:rPr>
                <w:sz w:val="18"/>
              </w:rPr>
              <w:t>Patient-timeline memory (construction, management, retrieval)</w:t>
            </w:r>
          </w:p>
        </w:tc>
        <w:tc>
          <w:tcPr>
            <w:tcW w:w="2160" w:type="dxa"/>
          </w:tcPr>
          <w:p w14:paraId="6561E392">
            <w:pPr>
              <w:spacing w:after="0" w:line="240" w:lineRule="auto"/>
            </w:pPr>
            <w:r>
              <w:rPr>
                <w:sz w:val="18"/>
              </w:rPr>
              <w:t>Yes</w:t>
            </w:r>
          </w:p>
        </w:tc>
        <w:tc>
          <w:tcPr>
            <w:tcW w:w="2160" w:type="dxa"/>
          </w:tcPr>
          <w:p w14:paraId="3103B026">
            <w:pPr>
              <w:spacing w:after="0" w:line="240" w:lineRule="auto"/>
            </w:pPr>
            <w:r>
              <w:rPr>
                <w:sz w:val="18"/>
              </w:rPr>
              <w:t>Yes (non-LLM)</w:t>
            </w:r>
          </w:p>
        </w:tc>
        <w:tc>
          <w:tcPr>
            <w:tcW w:w="2160" w:type="dxa"/>
          </w:tcPr>
          <w:p w14:paraId="35FCB190">
            <w:pPr>
              <w:spacing w:after="0" w:line="240" w:lineRule="auto"/>
            </w:pPr>
            <w:r>
              <w:rPr>
                <w:sz w:val="18"/>
              </w:rPr>
              <w:t>Pilot (Section 5)</w:t>
            </w:r>
          </w:p>
        </w:tc>
      </w:tr>
      <w:tr w14:paraId="61CAA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157F67">
            <w:pPr>
              <w:spacing w:after="0" w:line="240" w:lineRule="auto"/>
            </w:pPr>
            <w:r>
              <w:rPr>
                <w:sz w:val="18"/>
              </w:rPr>
              <w:t>Timestamp-aware retrieval</w:t>
            </w:r>
          </w:p>
        </w:tc>
        <w:tc>
          <w:tcPr>
            <w:tcW w:w="2160" w:type="dxa"/>
          </w:tcPr>
          <w:p w14:paraId="4DD1D83A">
            <w:pPr>
              <w:spacing w:after="0" w:line="240" w:lineRule="auto"/>
            </w:pPr>
            <w:r>
              <w:rPr>
                <w:sz w:val="18"/>
              </w:rPr>
              <w:t>Yes</w:t>
            </w:r>
          </w:p>
        </w:tc>
        <w:tc>
          <w:tcPr>
            <w:tcW w:w="2160" w:type="dxa"/>
          </w:tcPr>
          <w:p w14:paraId="3DD2B353">
            <w:pPr>
              <w:spacing w:after="0" w:line="240" w:lineRule="auto"/>
            </w:pPr>
            <w:r>
              <w:rPr>
                <w:sz w:val="18"/>
              </w:rPr>
              <w:t>Yes</w:t>
            </w:r>
          </w:p>
        </w:tc>
        <w:tc>
          <w:tcPr>
            <w:tcW w:w="2160" w:type="dxa"/>
          </w:tcPr>
          <w:p w14:paraId="03AFAD7D">
            <w:pPr>
              <w:spacing w:after="0" w:line="240" w:lineRule="auto"/>
            </w:pPr>
            <w:r>
              <w:rPr>
                <w:sz w:val="18"/>
              </w:rPr>
              <w:t>Pilot: latency, no future data</w:t>
            </w:r>
          </w:p>
        </w:tc>
      </w:tr>
      <w:tr w14:paraId="219EE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25D22D">
            <w:pPr>
              <w:spacing w:after="0" w:line="240" w:lineRule="auto"/>
            </w:pPr>
            <w:r>
              <w:rPr>
                <w:sz w:val="18"/>
              </w:rPr>
              <w:t>Early-warning baseline</w:t>
            </w:r>
          </w:p>
        </w:tc>
        <w:tc>
          <w:tcPr>
            <w:tcW w:w="2160" w:type="dxa"/>
          </w:tcPr>
          <w:p w14:paraId="7134327D">
            <w:pPr>
              <w:spacing w:after="0" w:line="240" w:lineRule="auto"/>
            </w:pPr>
            <w:r>
              <w:rPr>
                <w:sz w:val="18"/>
              </w:rPr>
              <w:t>Yes</w:t>
            </w:r>
          </w:p>
        </w:tc>
        <w:tc>
          <w:tcPr>
            <w:tcW w:w="2160" w:type="dxa"/>
          </w:tcPr>
          <w:p w14:paraId="38E0CDEA">
            <w:pPr>
              <w:spacing w:after="0" w:line="240" w:lineRule="auto"/>
            </w:pPr>
            <w:r>
              <w:rPr>
                <w:sz w:val="18"/>
              </w:rPr>
              <w:t>Yes</w:t>
            </w:r>
          </w:p>
        </w:tc>
        <w:tc>
          <w:tcPr>
            <w:tcW w:w="2160" w:type="dxa"/>
          </w:tcPr>
          <w:p w14:paraId="6A7CBFF9">
            <w:pPr>
              <w:spacing w:after="0" w:line="240" w:lineRule="auto"/>
            </w:pPr>
            <w:r>
              <w:rPr>
                <w:sz w:val="18"/>
              </w:rPr>
              <w:t>Pilot: AUROC with proxy labels</w:t>
            </w:r>
          </w:p>
        </w:tc>
      </w:tr>
      <w:tr w14:paraId="7C7D2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0FEEAD3">
            <w:pPr>
              <w:spacing w:after="0" w:line="240" w:lineRule="auto"/>
            </w:pPr>
            <w:r>
              <w:rPr>
                <w:sz w:val="18"/>
              </w:rPr>
              <w:t>Verification gate (rule-based form)</w:t>
            </w:r>
          </w:p>
        </w:tc>
        <w:tc>
          <w:tcPr>
            <w:tcW w:w="2160" w:type="dxa"/>
          </w:tcPr>
          <w:p w14:paraId="3FA6E17B">
            <w:pPr>
              <w:spacing w:after="0" w:line="240" w:lineRule="auto"/>
            </w:pPr>
            <w:r>
              <w:rPr>
                <w:sz w:val="18"/>
              </w:rPr>
              <w:t>Yes</w:t>
            </w:r>
          </w:p>
        </w:tc>
        <w:tc>
          <w:tcPr>
            <w:tcW w:w="2160" w:type="dxa"/>
          </w:tcPr>
          <w:p w14:paraId="24472CE0">
            <w:pPr>
              <w:spacing w:after="0" w:line="240" w:lineRule="auto"/>
            </w:pPr>
            <w:r>
              <w:rPr>
                <w:sz w:val="18"/>
              </w:rPr>
              <w:t>Yes</w:t>
            </w:r>
          </w:p>
        </w:tc>
        <w:tc>
          <w:tcPr>
            <w:tcW w:w="2160" w:type="dxa"/>
          </w:tcPr>
          <w:p w14:paraId="01F7D1E5">
            <w:pPr>
              <w:spacing w:after="0" w:line="240" w:lineRule="auto"/>
            </w:pPr>
            <w:r>
              <w:rPr>
                <w:sz w:val="18"/>
              </w:rPr>
              <w:t>Pilot: operating curve</w:t>
            </w:r>
          </w:p>
        </w:tc>
      </w:tr>
      <w:tr w14:paraId="62986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7C463C5">
            <w:pPr>
              <w:spacing w:after="0" w:line="240" w:lineRule="auto"/>
            </w:pPr>
            <w:r>
              <w:rPr>
                <w:sz w:val="18"/>
              </w:rPr>
              <w:t>Audit trail with measured resolvability</w:t>
            </w:r>
          </w:p>
        </w:tc>
        <w:tc>
          <w:tcPr>
            <w:tcW w:w="2160" w:type="dxa"/>
          </w:tcPr>
          <w:p w14:paraId="720026B2">
            <w:pPr>
              <w:spacing w:after="0" w:line="240" w:lineRule="auto"/>
            </w:pPr>
            <w:r>
              <w:rPr>
                <w:sz w:val="18"/>
              </w:rPr>
              <w:t>Yes</w:t>
            </w:r>
          </w:p>
        </w:tc>
        <w:tc>
          <w:tcPr>
            <w:tcW w:w="2160" w:type="dxa"/>
          </w:tcPr>
          <w:p w14:paraId="6E191DEB">
            <w:pPr>
              <w:spacing w:after="0" w:line="240" w:lineRule="auto"/>
            </w:pPr>
            <w:r>
              <w:rPr>
                <w:sz w:val="18"/>
              </w:rPr>
              <w:t>Yes</w:t>
            </w:r>
          </w:p>
        </w:tc>
        <w:tc>
          <w:tcPr>
            <w:tcW w:w="2160" w:type="dxa"/>
          </w:tcPr>
          <w:p w14:paraId="1376C792">
            <w:pPr>
              <w:spacing w:after="0" w:line="240" w:lineRule="auto"/>
            </w:pPr>
            <w:r>
              <w:rPr>
                <w:sz w:val="18"/>
              </w:rPr>
              <w:t>Pilot: 183/183 references</w:t>
            </w:r>
          </w:p>
        </w:tc>
      </w:tr>
      <w:tr w14:paraId="35295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84E6557">
            <w:pPr>
              <w:spacing w:after="0" w:line="240" w:lineRule="auto"/>
            </w:pPr>
            <w:r>
              <w:rPr>
                <w:sz w:val="18"/>
              </w:rPr>
              <w:t>Seven LLM agents and coordinator</w:t>
            </w:r>
          </w:p>
        </w:tc>
        <w:tc>
          <w:tcPr>
            <w:tcW w:w="2160" w:type="dxa"/>
          </w:tcPr>
          <w:p w14:paraId="49280200">
            <w:pPr>
              <w:spacing w:after="0" w:line="240" w:lineRule="auto"/>
            </w:pPr>
            <w:r>
              <w:rPr>
                <w:sz w:val="18"/>
              </w:rPr>
              <w:t>Yes</w:t>
            </w:r>
          </w:p>
        </w:tc>
        <w:tc>
          <w:tcPr>
            <w:tcW w:w="2160" w:type="dxa"/>
          </w:tcPr>
          <w:p w14:paraId="5950600B">
            <w:pPr>
              <w:spacing w:after="0" w:line="240" w:lineRule="auto"/>
            </w:pPr>
            <w:r>
              <w:rPr>
                <w:sz w:val="18"/>
              </w:rPr>
              <w:t>Scaffold only</w:t>
            </w:r>
          </w:p>
        </w:tc>
        <w:tc>
          <w:tcPr>
            <w:tcW w:w="2160" w:type="dxa"/>
          </w:tcPr>
          <w:p w14:paraId="204F70CD">
            <w:pPr>
              <w:spacing w:after="0" w:line="240" w:lineRule="auto"/>
            </w:pPr>
            <w:r>
              <w:rPr>
                <w:sz w:val="18"/>
              </w:rPr>
              <w:t>Planned (Section 3.6)</w:t>
            </w:r>
          </w:p>
        </w:tc>
      </w:tr>
      <w:tr w14:paraId="77A8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8462FB">
            <w:pPr>
              <w:spacing w:after="0" w:line="240" w:lineRule="auto"/>
            </w:pPr>
            <w:r>
              <w:rPr>
                <w:sz w:val="18"/>
              </w:rPr>
              <w:t>Guideline and literature RAG</w:t>
            </w:r>
          </w:p>
        </w:tc>
        <w:tc>
          <w:tcPr>
            <w:tcW w:w="2160" w:type="dxa"/>
          </w:tcPr>
          <w:p w14:paraId="3430376A">
            <w:pPr>
              <w:spacing w:after="0" w:line="240" w:lineRule="auto"/>
            </w:pPr>
            <w:r>
              <w:rPr>
                <w:sz w:val="18"/>
              </w:rPr>
              <w:t>Yes</w:t>
            </w:r>
          </w:p>
        </w:tc>
        <w:tc>
          <w:tcPr>
            <w:tcW w:w="2160" w:type="dxa"/>
          </w:tcPr>
          <w:p w14:paraId="3C63083D">
            <w:pPr>
              <w:spacing w:after="0" w:line="240" w:lineRule="auto"/>
            </w:pPr>
            <w:r>
              <w:rPr>
                <w:sz w:val="18"/>
              </w:rPr>
              <w:t>No</w:t>
            </w:r>
          </w:p>
        </w:tc>
        <w:tc>
          <w:tcPr>
            <w:tcW w:w="2160" w:type="dxa"/>
          </w:tcPr>
          <w:p w14:paraId="24D53538">
            <w:pPr>
              <w:spacing w:after="0" w:line="240" w:lineRule="auto"/>
            </w:pPr>
            <w:r>
              <w:rPr>
                <w:sz w:val="18"/>
              </w:rPr>
              <w:t>Planned (Section 3.6)</w:t>
            </w:r>
          </w:p>
        </w:tc>
      </w:tr>
      <w:tr w14:paraId="51577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26DE80E">
            <w:pPr>
              <w:spacing w:after="0" w:line="240" w:lineRule="auto"/>
            </w:pPr>
            <w:r>
              <w:rPr>
                <w:sz w:val="18"/>
              </w:rPr>
              <w:t>Calibrated confidence estimation</w:t>
            </w:r>
          </w:p>
        </w:tc>
        <w:tc>
          <w:tcPr>
            <w:tcW w:w="2160" w:type="dxa"/>
          </w:tcPr>
          <w:p w14:paraId="4982226A">
            <w:pPr>
              <w:spacing w:after="0" w:line="240" w:lineRule="auto"/>
            </w:pPr>
            <w:r>
              <w:rPr>
                <w:sz w:val="18"/>
              </w:rPr>
              <w:t>Yes</w:t>
            </w:r>
          </w:p>
        </w:tc>
        <w:tc>
          <w:tcPr>
            <w:tcW w:w="2160" w:type="dxa"/>
          </w:tcPr>
          <w:p w14:paraId="792234D2">
            <w:pPr>
              <w:spacing w:after="0" w:line="240" w:lineRule="auto"/>
            </w:pPr>
            <w:r>
              <w:rPr>
                <w:sz w:val="18"/>
              </w:rPr>
              <w:t>No</w:t>
            </w:r>
          </w:p>
        </w:tc>
        <w:tc>
          <w:tcPr>
            <w:tcW w:w="2160" w:type="dxa"/>
          </w:tcPr>
          <w:p w14:paraId="5A6C81E9">
            <w:pPr>
              <w:spacing w:after="0" w:line="240" w:lineRule="auto"/>
            </w:pPr>
            <w:r>
              <w:rPr>
                <w:sz w:val="18"/>
              </w:rPr>
              <w:t>Planned (Section 3.6)</w:t>
            </w:r>
          </w:p>
        </w:tc>
      </w:tr>
      <w:tr w14:paraId="516F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79FC329">
            <w:pPr>
              <w:spacing w:after="0" w:line="240" w:lineRule="auto"/>
            </w:pPr>
            <w:r>
              <w:rPr>
                <w:sz w:val="18"/>
              </w:rPr>
              <w:t>Human-in-the-loop review protocol</w:t>
            </w:r>
          </w:p>
        </w:tc>
        <w:tc>
          <w:tcPr>
            <w:tcW w:w="2160" w:type="dxa"/>
          </w:tcPr>
          <w:p w14:paraId="4FE5BAC0">
            <w:pPr>
              <w:spacing w:after="0" w:line="240" w:lineRule="auto"/>
            </w:pPr>
            <w:r>
              <w:rPr>
                <w:sz w:val="18"/>
              </w:rPr>
              <w:t>Yes</w:t>
            </w:r>
          </w:p>
        </w:tc>
        <w:tc>
          <w:tcPr>
            <w:tcW w:w="2160" w:type="dxa"/>
          </w:tcPr>
          <w:p w14:paraId="2B24AC62">
            <w:pPr>
              <w:spacing w:after="0" w:line="240" w:lineRule="auto"/>
            </w:pPr>
            <w:r>
              <w:rPr>
                <w:sz w:val="18"/>
              </w:rPr>
              <w:t>UI prototype</w:t>
            </w:r>
          </w:p>
        </w:tc>
        <w:tc>
          <w:tcPr>
            <w:tcW w:w="2160" w:type="dxa"/>
          </w:tcPr>
          <w:p w14:paraId="5C0C007B">
            <w:pPr>
              <w:spacing w:after="0" w:line="240" w:lineRule="auto"/>
            </w:pPr>
            <w:r>
              <w:rPr>
                <w:sz w:val="18"/>
              </w:rPr>
              <w:t>Planned (Section 3.6)</w:t>
            </w:r>
          </w:p>
        </w:tc>
      </w:tr>
      <w:tr w14:paraId="2E1D6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F2491EF">
            <w:pPr>
              <w:spacing w:after="0" w:line="240" w:lineRule="auto"/>
            </w:pPr>
            <w:r>
              <w:rPr>
                <w:sz w:val="18"/>
              </w:rPr>
              <w:t>Longitudinal evaluation on full MIMIC-IV</w:t>
            </w:r>
          </w:p>
        </w:tc>
        <w:tc>
          <w:tcPr>
            <w:tcW w:w="2160" w:type="dxa"/>
          </w:tcPr>
          <w:p w14:paraId="3DAF84EC">
            <w:pPr>
              <w:spacing w:after="0" w:line="240" w:lineRule="auto"/>
            </w:pPr>
            <w:r>
              <w:rPr>
                <w:sz w:val="18"/>
              </w:rPr>
              <w:t>Yes</w:t>
            </w:r>
          </w:p>
        </w:tc>
        <w:tc>
          <w:tcPr>
            <w:tcW w:w="2160" w:type="dxa"/>
          </w:tcPr>
          <w:p w14:paraId="21D23FE3">
            <w:pPr>
              <w:spacing w:after="0" w:line="240" w:lineRule="auto"/>
            </w:pPr>
            <w:r>
              <w:rPr>
                <w:sz w:val="18"/>
              </w:rPr>
              <w:t>No</w:t>
            </w:r>
          </w:p>
        </w:tc>
        <w:tc>
          <w:tcPr>
            <w:tcW w:w="2160" w:type="dxa"/>
          </w:tcPr>
          <w:p w14:paraId="0FD9EEDD">
            <w:pPr>
              <w:spacing w:after="0" w:line="240" w:lineRule="auto"/>
            </w:pPr>
            <w:r>
              <w:rPr>
                <w:sz w:val="18"/>
              </w:rPr>
              <w:t>Planned (Section 3.6)</w:t>
            </w:r>
          </w:p>
        </w:tc>
      </w:tr>
    </w:tbl>
    <w:p w14:paraId="7D259B5F">
      <w:pPr>
        <w:pStyle w:val="3"/>
      </w:pPr>
      <w:r>
        <w:t>3.2 Patient-Timeline Retrieval</w:t>
      </w:r>
    </w:p>
    <w:p w14:paraId="2D31AF66">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14:paraId="74C67F0A">
      <w:pPr>
        <w:pStyle w:val="3"/>
      </w:pPr>
      <w:r>
        <w:t>3.3 Agent Orchestration</w:t>
      </w:r>
    </w:p>
    <w:p w14:paraId="2D08EA01">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the Model Context Protocol (MCP), and inter-agent exchange will follow Agent-to-Agent (A2A)-style conventions, the two interoperability protocols named in the index terms [30], keeping the prototype composable with hospital tooling. External tools will follow the validated-tool principle of RiskAgent and TxAgent: calculations and lookups will be delegated to auditable components rather than generated [1], [2].</w:t>
      </w:r>
    </w:p>
    <w:p w14:paraId="45ABC465">
      <w:pPr>
        <w:pStyle w:val="3"/>
      </w:pPr>
      <w:r>
        <w:t>3.4 Verification Gate and Audit Trail</w:t>
      </w:r>
    </w:p>
    <w:p w14:paraId="202CC7E3">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14:paraId="09DCE348">
      <w:pPr>
        <w:pStyle w:val="3"/>
      </w:pPr>
      <w:r>
        <w:t>3.5 Human-in-the-Loop Protocol</w:t>
      </w:r>
    </w:p>
    <w:p w14:paraId="7613B18D">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14:paraId="25A1D3F3">
      <w:pPr>
        <w:pStyle w:val="3"/>
      </w:pPr>
      <w:r>
        <w:t>3.6 Planned Evaluation Design</w:t>
      </w:r>
    </w:p>
    <w:p w14:paraId="0FD6A289">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of a random sample sized to bound the faithfulness estimate within ±5 percentage points at 95% confidence, assuming the maximum-variance baseline p = 0.5 (approximately 385 references, or the full trail when smaller). Adjudication is strictly binary: a reference that is partially correct, for example resolving to the right table but the wrong row or to a superseded value, counts as unfaithful.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14:paraId="15784701">
      <w:pPr>
        <w:pStyle w:val="2"/>
      </w:pPr>
      <w:r>
        <w:t>4. Discussion</w:t>
      </w:r>
    </w:p>
    <w:p w14:paraId="58EC3F83">
      <w:pPr>
        <w:pStyle w:val="3"/>
      </w:pPr>
      <w:r>
        <w:t>4.1 What the Framework Claims and What It Does Not</w:t>
      </w:r>
    </w:p>
    <w:p w14:paraId="6ADD20BA">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14:paraId="7609899C">
      <w:pPr>
        <w:pStyle w:val="3"/>
      </w:pPr>
      <w:r>
        <w:t>4.2 Relation to Contemporary Evaluation Practice</w:t>
      </w:r>
    </w:p>
    <w:p w14:paraId="476BD255">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14:paraId="77CFB84C">
      <w:pPr>
        <w:pStyle w:val="3"/>
      </w:pPr>
      <w:r>
        <w:t>4.3 Safety, Oversight, and Regulation</w:t>
      </w:r>
    </w:p>
    <w:p w14:paraId="4301BA61">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14:paraId="40389EB5">
      <w:pPr>
        <w:pStyle w:val="3"/>
      </w:pPr>
      <w:r>
        <w:t>4.4 Limitations</w:t>
      </w:r>
    </w:p>
    <w:p w14:paraId="048EED88">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14:paraId="17BAE5DC">
      <w:pPr>
        <w:pStyle w:val="3"/>
      </w:pPr>
      <w:r>
        <w:t>4.5 Safety Consideration: The Gate's Sensitivity Floor</w:t>
      </w:r>
    </w:p>
    <w:p w14:paraId="2A141561">
      <w:pPr>
        <w:jc w:val="both"/>
      </w:pPr>
      <w:r>
        <w:t>The pilot's most consequential finding for deployment is not the gate's specificity but its sensitivity floor, and it warrants treatment as a first-class safety issue rather than a footnote to the results. At the strictest informative threshold (m = 4) the rule-based gate blocked four of the seven true alerts, three of which carried no deterioration-relevant signal in the evidence window at all; a deployed system that suppressed more than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14:paraId="2C52F5CE">
      <w:pPr>
        <w:pStyle w:val="3"/>
      </w:pPr>
      <w:r>
        <w:t>4.6 Future Work</w:t>
      </w:r>
    </w:p>
    <w:p w14:paraId="228058D0">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14:paraId="62BC5C57">
      <w:pPr>
        <w:pStyle w:val="2"/>
      </w:pPr>
      <w:r>
        <w:t>5. Pilot Feasibility Study</w:t>
      </w:r>
    </w:p>
    <w:p w14:paraId="75399F2E">
      <w:pPr>
        <w:pStyle w:val="3"/>
      </w:pPr>
      <w:r>
        <w:t>5.1 Rationale and Scope</w:t>
      </w:r>
    </w:p>
    <w:p w14:paraId="37BD1569">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14:paraId="6884FC51">
      <w:pPr>
        <w:pStyle w:val="3"/>
      </w:pPr>
      <w:r>
        <w:t>5.2 Setup</w:t>
      </w:r>
    </w:p>
    <w:p w14:paraId="4D64D864">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14:paraId="2EA20256">
      <w:pPr>
        <w:pStyle w:val="3"/>
      </w:pPr>
      <w:r>
        <w:t>5.3 Results</w:t>
      </w:r>
    </w:p>
    <w:p w14:paraId="2A08DD69">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This figure measures the retrieval substrate alone: in the full system, each recommendation will additionally incur multiple LLM inference calls, so total response time will be dominated by agentic reasoning, not retrieval, and will be measured separately in the planned evaluation.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14:paraId="3C496344">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14:paraId="0195E6B9">
      <w:pPr>
        <w:pStyle w:val="3"/>
      </w:pPr>
      <w:r>
        <w:t>5.4 What the Pilot Does and Does Not Show</w:t>
      </w:r>
    </w:p>
    <w:p w14:paraId="79BC20D7">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14:paraId="62CC1BC6">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14:paraId="55E39513">
      <w:pPr>
        <w:pStyle w:val="2"/>
      </w:pPr>
      <w:r>
        <w:t>6. Conclusion</w:t>
      </w:r>
    </w:p>
    <w:p w14:paraId="478C39B9">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14:paraId="6D96839B">
      <w:pPr>
        <w:pStyle w:val="3"/>
      </w:pPr>
      <w:r>
        <w:t>Figure 1</w:t>
      </w:r>
    </w:p>
    <w:p w14:paraId="5D119E61">
      <w:r>
        <w:drawing>
          <wp:inline distT="0" distB="0" distL="114300" distR="114300">
            <wp:extent cx="5760720" cy="4954905"/>
            <wp:effectExtent l="0" t="0" r="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60720" cy="4955161"/>
                    </a:xfrm>
                    <a:prstGeom prst="rect">
                      <a:avLst/>
                    </a:prstGeom>
                  </pic:spPr>
                </pic:pic>
              </a:graphicData>
            </a:graphic>
          </wp:inline>
        </w:drawing>
      </w:r>
    </w:p>
    <w:p w14:paraId="7BA80606">
      <w:pPr>
        <w:jc w:val="center"/>
      </w:pPr>
      <w:r>
        <w:rPr>
          <w:sz w:val="18"/>
        </w:rPr>
        <w:t>Fig. 1. The proposed agentic AI framework over MIMIC-IV: six layers closed by human-in-the-loop validation, governed by a cross-cutting trustworthy-AI panel.</w:t>
      </w:r>
    </w:p>
    <w:p w14:paraId="350AFF08">
      <w:pPr>
        <w:pStyle w:val="2"/>
      </w:pPr>
      <w:r>
        <w:t>Ethics Statement</w:t>
      </w:r>
    </w:p>
    <w:p w14:paraId="71FA9ACC">
      <w:r>
        <w:t>This study uses only the MIMIC-IV Clinical Database Demo v2.2, a fully de-identified, openly licensed public dataset distributed by PhysioNet that requires no credentialing and involves no interaction with patients or clinicians; no additional ethics approval was required for its use. The planned full evaluation will use the credentialed MIMIC-IV database under the PhysioNet Credentialed Health Data Use Agreement and completed human subjects research training. The system described is an academic proof-of-concept evaluated on de-identified and synthetic data only; it is not a medical device and is not intended for clinical use, and any output it produces requires review by a qualified licensed clinician.</w:t>
      </w:r>
    </w:p>
    <w:p w14:paraId="10A0F1D5">
      <w:pPr>
        <w:pStyle w:val="2"/>
      </w:pPr>
      <w:r>
        <w:t>Data Availability</w:t>
      </w:r>
    </w:p>
    <w:p w14:paraId="298D24D4">
      <w:r>
        <w:t>The MIMIC-IV Clinical Database Demo v2.2 is publicly available from PhysioNet. The pilot implementation (timeline construction, timestamp-aware retrieval, early-warning baseline, and verification gate) and the aggregate pilot metrics reported in Section 5 are available in the project repository; no patient-level data is redistributed. The full MIMIC-IV database is available to credentialed researchers via PhysioNet.</w:t>
      </w:r>
    </w:p>
    <w:p w14:paraId="7BD0554E">
      <w:pPr>
        <w:pStyle w:val="2"/>
      </w:pPr>
      <w:r>
        <w:t>Funding</w:t>
      </w:r>
    </w:p>
    <w:p w14:paraId="7DA33802">
      <w:r>
        <w:t>The authors received no specific funding for this work.</w:t>
      </w:r>
    </w:p>
    <w:p w14:paraId="5E283E2E">
      <w:pPr>
        <w:pStyle w:val="2"/>
      </w:pPr>
      <w:r>
        <w:t>Competing Interests</w:t>
      </w:r>
    </w:p>
    <w:p w14:paraId="14A58655">
      <w:r>
        <w:t>The authors declare no competing interests.</w:t>
      </w:r>
    </w:p>
    <w:p w14:paraId="13324628">
      <w:pPr>
        <w:pStyle w:val="2"/>
      </w:pPr>
      <w:r>
        <w:t>Author Contributions</w:t>
      </w:r>
    </w:p>
    <w:p w14:paraId="6A6943D0">
      <w:r>
        <w:t>A.M. designed the framework, implemented the pilot study and platform prototype, and wrote the manuscript. F.N. supervised the research and reviewed the manuscript.</w:t>
      </w:r>
    </w:p>
    <w:p w14:paraId="07A9988F">
      <w:pPr>
        <w:pStyle w:val="2"/>
      </w:pPr>
      <w:r>
        <w:t>AI-Assistance Disclosure</w:t>
      </w:r>
    </w:p>
    <w:p w14:paraId="6150C2CA">
      <w:r>
        <w:t>Large language model tools were used, under the authors' direction, to assist with literature search, drafting, and editing of this manuscript and with the implementation of the pilot software. The authors reviewed and verified all content, citations, analyses, and results, and take full responsibility for the manuscript.</w:t>
      </w:r>
    </w:p>
    <w:p w14:paraId="5FE080F8">
      <w:pPr>
        <w:pStyle w:val="2"/>
      </w:pPr>
      <w:r>
        <w:t>References</w:t>
      </w:r>
    </w:p>
    <w:p w14:paraId="4F78CF94">
      <w:pPr>
        <w:spacing w:after="80"/>
      </w:pPr>
      <w:r>
        <w:rPr>
          <w:sz w:val="20"/>
        </w:rPr>
        <w:t>[1] S. Gao, R. Zhu, Z. Kong, et al., "TxAgent: An AI Agent for Therapeutic Reasoning Across a Universe of Tools," arXiv preprint arXiv:2503.10970, 2025, doi: 10.48550/arXiv.2503.10970.</w:t>
      </w:r>
    </w:p>
    <w:p w14:paraId="054AEE9F">
      <w:pPr>
        <w:spacing w:after="80"/>
      </w:pPr>
      <w:r>
        <w:rPr>
          <w:sz w:val="20"/>
        </w:rPr>
        <w:t>[2] F. Liu, J. Wu, H. Zhou, et al., "RiskAgent: Synergizing Language Models with Validated Tools for Evidence-Based Risk Prediction," arXiv preprint arXiv:2503.03802, 2025, doi: 10.48550/arXiv.2503.03802.</w:t>
      </w:r>
    </w:p>
    <w:p w14:paraId="0A2B2AAC">
      <w:pPr>
        <w:spacing w:after="80"/>
      </w:pPr>
      <w:r>
        <w:rPr>
          <w:sz w:val="20"/>
        </w:rPr>
        <w:t>[3] A. Palepu, V. Lievin, W. Weng, et al., "Towards Conversational AI for Disease Management," arXiv preprint arXiv:2503.06074, 2025, doi: 10.48550/arXiv.2503.06074.</w:t>
      </w:r>
    </w:p>
    <w:p w14:paraId="3DAD8BEE">
      <w:pPr>
        <w:spacing w:after="80"/>
      </w:pPr>
      <w:r>
        <w:rPr>
          <w:sz w:val="20"/>
        </w:rPr>
        <w:t>[4] K. Saab, J. Freyberg, C. Park, et al., "Advancing Conversational Diagnostic AI with Multimodal Reasoning," arXiv preprint arXiv:2505.04653, 2025, doi: 10.48550/arXiv.2505.04653.</w:t>
      </w:r>
    </w:p>
    <w:p w14:paraId="047093BD">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14:paraId="64E185DC">
      <w:pPr>
        <w:spacing w:after="80"/>
      </w:pPr>
      <w:r>
        <w:rPr>
          <w:sz w:val="20"/>
        </w:rPr>
        <w:t>[6] S. Yao, J. Zhao, D. Yu, N. Du, I. Shafran, K. Narasimhan, Y. Cao, "ReAct: Synergizing Reasoning and Acting in Language Models," International Conference on Learning Representations (ICLR), 2023.</w:t>
      </w:r>
    </w:p>
    <w:p w14:paraId="7F7B5DC8">
      <w:pPr>
        <w:spacing w:after="80"/>
      </w:pPr>
      <w:r>
        <w:rPr>
          <w:sz w:val="20"/>
        </w:rPr>
        <w:t>[7] P. Lewis, E. Perez, A. Piktus, F. Petroni, V. Karpukhin, N. Goyal, H. Küttler, M. Lewis, W. Yih, T. Rockt\"aschel, S. Riedel, D. Kiela, "Retrieval-Augmented Generation for Knowledge-Intensive NLP Tasks," Advances in Neural Information Processing Systems (NeurIPS), 2020.</w:t>
      </w:r>
    </w:p>
    <w:p w14:paraId="4982F970">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14:paraId="21F1ABC7">
      <w:pPr>
        <w:spacing w:after="80"/>
      </w:pPr>
      <w:r>
        <w:rPr>
          <w:sz w:val="20"/>
        </w:rPr>
        <w:t>[9] Y. Wu, S. Liang, C. Zhang, et al., "From Human Memory to AI Memory: A Survey on Memory Mechanisms in the Era of LLMs," arXiv preprint arXiv:2504.15965, 2025, doi: 10.48550/arXiv.2504.15965.</w:t>
      </w:r>
    </w:p>
    <w:p w14:paraId="7BB81FB0">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14:paraId="040CE7B9">
      <w:pPr>
        <w:spacing w:after="80"/>
      </w:pPr>
      <w:r>
        <w:rPr>
          <w:sz w:val="20"/>
        </w:rPr>
        <w:t>[11] J. Li, S. Wang, M. Zhang, W. Li, Y. Lai, X. Kang, W. Ma, Y. Liu, "Agent Hospital: A Simulacrum of Hospital with Evolvable Medical Agents," arXiv preprint arXiv:2405.02957, 2024.</w:t>
      </w:r>
    </w:p>
    <w:p w14:paraId="042411DA">
      <w:pPr>
        <w:spacing w:after="80"/>
      </w:pPr>
      <w:r>
        <w:rPr>
          <w:sz w:val="20"/>
        </w:rPr>
        <w:t>[12] Y. Jiang, K. C. Black, G. Geng, et al., "MedAgentBench: A Virtual EHR Environment to Benchmark Medical LLM Agents," NEJM AI, vol. 2, no. 9, 2025, doi: 10.1056/AIdbp2500144.</w:t>
      </w:r>
    </w:p>
    <w:p w14:paraId="26A2E069">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14:paraId="0327F017">
      <w:pPr>
        <w:spacing w:after="80"/>
      </w:pPr>
      <w:r>
        <w:rPr>
          <w:sz w:val="20"/>
        </w:rPr>
        <w:t>[14] X. Zhao, S. Liu, S. Yang, C. Miao, "MedRAG: Enhancing Retrieval-augmented Generation with Knowledge Graph-Elicited Reasoning for Healthcare Copilot," Proceedings of the ACM Web Conference (WWW), 2025.</w:t>
      </w:r>
    </w:p>
    <w:p w14:paraId="7129AAF0">
      <w:pPr>
        <w:spacing w:after="80"/>
      </w:pPr>
      <w:r>
        <w:rPr>
          <w:sz w:val="20"/>
        </w:rPr>
        <w:t>[15] Y. H. Ke, L. Jin, K. Elangovan, et al., "Retrieval Augmented Generation for 10 Large Language Models and its Generalizability in Assessing Medical Fitness," npj Digital Medicine, 2025, doi: 10.1038/s41746-025-01519-z.</w:t>
      </w:r>
    </w:p>
    <w:p w14:paraId="0E18CA5C">
      <w:pPr>
        <w:spacing w:after="80"/>
      </w:pPr>
      <w:r>
        <w:rPr>
          <w:sz w:val="20"/>
        </w:rPr>
        <w:t>[16] Y. Kim, H. Jeong, S. Chen, et al., "Medical Hallucinations in Foundation Models and Their Impact on Healthcare," arXiv preprint arXiv:2503.05777, 2025, doi: 10.48550/arXiv.2503.05777.</w:t>
      </w:r>
    </w:p>
    <w:p w14:paraId="4A338E52">
      <w:pPr>
        <w:spacing w:after="80"/>
      </w:pPr>
      <w:r>
        <w:rPr>
          <w:sz w:val="20"/>
        </w:rPr>
        <w:t>[17] Z. Atf, S. A. A. Safavi-Naini, P. R. Lewis, et al., "The Challenge of Uncertainty Quantification of Large Language Models in Medicine," arXiv preprint arXiv:2504.05278, 2025, doi: 10.48550/arXiv.2504.05278.</w:t>
      </w:r>
    </w:p>
    <w:p w14:paraId="0790FB1E">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14:paraId="6EDBCEE5">
      <w:pPr>
        <w:spacing w:after="80"/>
      </w:pPr>
      <w:r>
        <w:rPr>
          <w:sz w:val="20"/>
        </w:rPr>
        <w:t>[19] G. E. Weissman, T. Mankowitz, G. P. Kanter, et al., "Unregulated Large Language Models Produce Medical Device-Like Output," npj Digital Medicine, 2025, doi: 10.1038/s41746-025-01544-y.</w:t>
      </w:r>
    </w:p>
    <w:p w14:paraId="1EBDE60D">
      <w:pPr>
        <w:spacing w:after="80"/>
      </w:pPr>
      <w:r>
        <w:rPr>
          <w:sz w:val="20"/>
        </w:rPr>
        <w:t>[20] G. Wang, K. Zhang, J. Jiang, et al., "Human-Large Language Model Collaboration in Clinical Medicine: A Systematic Review and Meta-Analysis," npj Digital Medicine, 2026, doi: 10.1038/s41746-026-02382-2.</w:t>
      </w:r>
    </w:p>
    <w:p w14:paraId="16075087">
      <w:pPr>
        <w:spacing w:after="80"/>
      </w:pPr>
      <w:r>
        <w:rPr>
          <w:sz w:val="20"/>
        </w:rPr>
        <w:t>[21] R. K. Arora, J. Wei, R. Soskin Hicks, et al., "HealthBench: Evaluating Large Language Models Towards Improved Human Health," arXiv preprint arXiv:2505.08775, 2025, doi: 10.48550/arXiv.2505.08775.</w:t>
      </w:r>
    </w:p>
    <w:p w14:paraId="17F54D42">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14:paraId="7B69E66F">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14:paraId="39FA98A3">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14:paraId="2E7F492D">
      <w:pPr>
        <w:spacing w:after="80"/>
      </w:pPr>
      <w:r>
        <w:rPr>
          <w:sz w:val="20"/>
        </w:rPr>
        <w:t>[25] N. Shinn, F. Cassano, E. Berman, A. Gopinath, K. Narasimhan, S. Yao, "Reflexion: Language Agents with Verbal Reinforcement Learning," Advances in Neural Information Processing Systems (NeurIPS), 2023.</w:t>
      </w:r>
    </w:p>
    <w:p w14:paraId="04CFD957">
      <w:pPr>
        <w:spacing w:after="80"/>
      </w:pPr>
      <w:r>
        <w:rPr>
          <w:sz w:val="20"/>
        </w:rPr>
        <w:t>[26] G. Li, H. A. A. K. Hammoud, H. Itani, D. Khizbullin, B. Ghanem, "CAMEL: Communicative Agents for "Mind" Exploration of Large Language Model Society," Advances in Neural Information Processing Systems (NeurIPS), 2023.</w:t>
      </w:r>
    </w:p>
    <w:p w14:paraId="1EB342F8">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14:paraId="0FD8E531">
      <w:pPr>
        <w:spacing w:after="80"/>
      </w:pPr>
      <w:r>
        <w:rPr>
          <w:sz w:val="20"/>
        </w:rPr>
        <w:t>[28] K. Tran, D. Dao, M. Nguyen, et al., "Multi-Agent Collaboration Mechanisms: A Survey of LLMs," arXiv preprint arXiv:2501.06322, 2025, doi: 10.48550/arXiv.2501.06322.</w:t>
      </w:r>
    </w:p>
    <w:p w14:paraId="52195278">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14:paraId="1097BCB8">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14:paraId="7298B26C">
      <w:pPr>
        <w:spacing w:after="80"/>
      </w:pPr>
      <w:r>
        <w:rPr>
          <w:sz w:val="20"/>
        </w:rPr>
        <w:t>[31] R. Sapkota, K. I. Roumeliotis, M. Karkee, "AI Agents vs. Agentic AI: A Conceptual Taxonomy, Applications and Challenges," Information Fusion, vol. 126, pp. 103599, 2026, doi: 10.1016/j.inffus.2025.103599.</w:t>
      </w:r>
    </w:p>
    <w:p w14:paraId="6F389F67">
      <w:pPr>
        <w:spacing w:after="80"/>
      </w:pPr>
      <w:r>
        <w:rPr>
          <w:sz w:val="20"/>
        </w:rPr>
        <w:t>[32] K. Singhal, S. Azizi, T. Tu, S. S. Mahdavi, J. Wei, H. W. Chung, N. Scales, A. Tanwani, H. Cole-Lewis, S. Pfohl, et al., "Large Language Models Encode Clinical Knowledge," Nature, vol. 620, no. 7972, pp. 172--180, 2023, doi: 10.1038/s41586-023-06291-2.</w:t>
      </w:r>
    </w:p>
    <w:p w14:paraId="4DF06A01">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14:paraId="7E730C95">
      <w:pPr>
        <w:spacing w:after="80"/>
      </w:pPr>
      <w:r>
        <w:rPr>
          <w:sz w:val="20"/>
        </w:rPr>
        <w:t>[34] T. Tu, S. Azizi, D. Driess, M. Schaekermann, M. Amin, P. Chang, A. Carroll, C. Lau, R. Tanno, I. Ktena, et al., "Towards Generalist Biomedical AI," NEJM AI, vol. 1, no. 3, 2024, doi: 10.1056/AIoa2300138.</w:t>
      </w:r>
    </w:p>
    <w:p w14:paraId="1CEB0A99">
      <w:pPr>
        <w:spacing w:after="80"/>
      </w:pPr>
      <w:r>
        <w:rPr>
          <w:sz w:val="20"/>
        </w:rPr>
        <w:t>[35] A. Toma, P. R. Lawler, J. Ba, R. G. Krishnan, B. B. Rubin, B. Wang, "Clinical Camel: An Open Expert-Level Medical Language Model with Dialogue-Based Knowledge Encoding," arXiv preprint arXiv:2305.12031, 2023.</w:t>
      </w:r>
    </w:p>
    <w:p w14:paraId="1C3FA7D2">
      <w:pPr>
        <w:spacing w:after="80"/>
      </w:pPr>
      <w:r>
        <w:rPr>
          <w:sz w:val="20"/>
        </w:rPr>
        <w:t>[36] S. Schmidgall, R. Ziaei, C. Harris, E. Reis, J. Jopling, M. Moor, "AgentClinic: A Multimodal Agent Benchmark to Evaluate AI in Simulated Clinical Environments," arXiv preprint arXiv:2405.07960, 2024.</w:t>
      </w:r>
    </w:p>
    <w:p w14:paraId="1AD3091D">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14:paraId="3A36B325">
      <w:pPr>
        <w:spacing w:after="80"/>
      </w:pPr>
      <w:r>
        <w:rPr>
          <w:sz w:val="20"/>
        </w:rPr>
        <w:t>[38] A. Fallahpour, J. Ma, A. Munim, et al., "MedRAX: Medical Reasoning Agent for Chest X-ray," Proceedings of the 42nd International Conference on Machine Learning (ICML), vol. 267, pp. 15661--15676, 2025.</w:t>
      </w:r>
    </w:p>
    <w:p w14:paraId="0E96AC1E">
      <w:pPr>
        <w:spacing w:after="80"/>
      </w:pPr>
      <w:r>
        <w:rPr>
          <w:sz w:val="20"/>
        </w:rPr>
        <w:t>[39] Y. Feng, J. Wang, L. Zhou, et al., "DoctorAgent-RL: Real-World Doctor Agent with Proactive Consultation through Multi-Agent Reinforcement Learning," arXiv preprint arXiv:2505.19630, 2025, doi: 10.48550/arXiv.2505.19630.</w:t>
      </w:r>
    </w:p>
    <w:p w14:paraId="0AD87466">
      <w:pPr>
        <w:spacing w:after="80"/>
      </w:pPr>
      <w:r>
        <w:rPr>
          <w:sz w:val="20"/>
        </w:rPr>
        <w:t>[40] W. Wang, Z. Ma, Z. Wang, et al., "A Survey of LLM-based Agents in Medicine: How far are we from Baymax?," arXiv preprint arXiv:2502.11211, 2025, doi: 10.48550/arXiv.2502.11211.</w:t>
      </w:r>
    </w:p>
    <w:p w14:paraId="119AE43B">
      <w:pPr>
        <w:spacing w:after="80"/>
      </w:pPr>
      <w:r>
        <w:rPr>
          <w:sz w:val="20"/>
        </w:rPr>
        <w:t>[41] Y. Gao, Y. Xiong, X. Gao, K. Jia, J. Pan, Y. Bi, Y. Dai, J. Sun, M. Wang, H. Wang, "Retrieval-Augmented Generation for Large Language Models: A Survey," arXiv preprint arXiv:2312.10997, 2023.</w:t>
      </w:r>
    </w:p>
    <w:p w14:paraId="05F19857">
      <w:pPr>
        <w:spacing w:after="80"/>
      </w:pPr>
      <w:r>
        <w:rPr>
          <w:sz w:val="20"/>
        </w:rPr>
        <w:t>[42] A. Asai, Z. Wu, Y. Wang, A. Sil, H. Hajishirzi, "Self-RAG: Learning to Retrieve, Generate, and Critique through Self-Reflection," International Conference on Learning Representations (ICLR), 2024.</w:t>
      </w:r>
    </w:p>
    <w:p w14:paraId="3C988815">
      <w:pPr>
        <w:spacing w:after="80"/>
      </w:pPr>
      <w:r>
        <w:rPr>
          <w:sz w:val="20"/>
        </w:rPr>
        <w:t>[43] A. Singh, A. Ehtesham, S. Kumar, et al., "Agentic Retrieval-Augmented Generation: A Survey on Agentic RAG," arXiv preprint arXiv:2501.09136, 2025, doi: 10.48550/arXiv.2501.09136.</w:t>
      </w:r>
    </w:p>
    <w:p w14:paraId="0AF4EFA7">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14:paraId="20466ACE">
      <w:pPr>
        <w:spacing w:after="80"/>
      </w:pPr>
      <w:r>
        <w:rPr>
          <w:sz w:val="20"/>
        </w:rPr>
        <w:t>[45] S. Zeng, Y. Fu, S. Zhou, et al., "Traj-CoA: Patient Trajectory Modeling via Chain-of-Agents for Lung Cancer Risk Prediction," arXiv preprint arXiv:2510.10454, 2025, doi: 10.48550/arXiv.2510.10454.</w:t>
      </w:r>
    </w:p>
    <w:p w14:paraId="5162C487">
      <w:pPr>
        <w:spacing w:after="80"/>
      </w:pPr>
      <w:r>
        <w:rPr>
          <w:sz w:val="20"/>
        </w:rPr>
        <w:t>[46] S. Zeng, Y. W. Kim, W. Lau, et al., "TrajOnco: A Multi-Agent Framework for Temporal Reasoning over Longitudinal EHR for Multi-Cancer Early Detection," arXiv preprint arXiv:2604.10386, 2026, doi: 10.48550/arXiv.2604.10386.</w:t>
      </w:r>
    </w:p>
    <w:p w14:paraId="09A8B638">
      <w:pPr>
        <w:spacing w:after="80"/>
      </w:pPr>
      <w:r>
        <w:rPr>
          <w:sz w:val="20"/>
        </w:rPr>
        <w:t>[47] H. Cui, A. Unell, B. Chen, et al., "TIMER: Temporal Instruction Modeling and Evaluation for Longitudinal Clinical Records," npj Digital Medicine, vol. 8, pp. 577, 2025, doi: 10.1038/s41746-025-01965-9.</w:t>
      </w:r>
    </w:p>
    <w:p w14:paraId="70E813FB">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14:paraId="20C24282">
      <w:pPr>
        <w:spacing w:after="80"/>
      </w:pPr>
      <w:r>
        <w:rPr>
          <w:sz w:val="20"/>
        </w:rPr>
        <w:t>[49] A. Yehudai, L. Eden, A. Li, et al., "Survey on Evaluation of LLM-based Agents," Findings of the Association for Computational Linguistics: ACL 2026, pp. 26690--26714, 2026, doi: 10.18653/v1/2026.findings-acl.1330.</w:t>
      </w:r>
    </w:p>
    <w:p w14:paraId="5D917D67">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14:paraId="0ABBF4CD">
      <w:pPr>
        <w:spacing w:after="80"/>
      </w:pPr>
      <w:r>
        <w:rPr>
          <w:sz w:val="20"/>
        </w:rPr>
        <w:t>[51] K. Chen, T. Zhen, H. Wang, et al., "MedSentry: Understanding and Mitigating Safety Risks in Medical LLM Multi-Agent Systems," arXiv preprint arXiv:2505.20824, 2025, doi: 10.48550/arXiv.2505.20824.</w:t>
      </w:r>
    </w:p>
    <w:p w14:paraId="74DCF35E">
      <w:pPr>
        <w:spacing w:after="80"/>
      </w:pPr>
      <w:r>
        <w:rPr>
          <w:sz w:val="20"/>
        </w:rPr>
        <w:t>[52] A. R. Hevner, S. T. March, J. Park, S. Ram, "Design Science in Information Systems Research," MIS Quarterly, vol. 28, no. 1, pp. 75--105, 2004, doi: 10.2307/25148625.</w:t>
      </w:r>
    </w:p>
    <w:p w14:paraId="1180F605">
      <w:pPr>
        <w:spacing w:after="80"/>
      </w:pPr>
      <w:r>
        <w:rPr>
          <w:sz w:val="20"/>
        </w:rPr>
        <w:t>[53] C. Guo, G. Pleiss, Y. Sun, K. Q. Weinberger, "On Calibration of Modern Neural Networks," Proceedings of the 34th International Conference on Machine Learning (ICML), 2017.</w:t>
      </w:r>
    </w:p>
    <w:p w14:paraId="646F4780">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14:paraId="5071B833">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14:paraId="05D56A53">
      <w:pPr>
        <w:spacing w:after="80"/>
      </w:pPr>
      <w:r>
        <w:rPr>
          <w:sz w:val="20"/>
        </w:rPr>
        <w:t>[56] J. Vincent, R. Moreno, J. Takala, S. Willatts, A. De Mendonça, H. Bruining, C. K. Reinhart, P. M. Suter, L. G. Thijs, "The SOFA (Sepsis-related Organ Failure Assessment) score to describe organ dysfunction/failure," Intensive Care Medicine, vol. 22, no. 7, pp. 707--710, 1996, doi: 10.1007/BF01709751.</w:t>
      </w:r>
    </w:p>
    <w:p w14:paraId="2DA604E6">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14:paraId="3F9EA71D">
      <w:pPr>
        <w:spacing w:after="80"/>
      </w:pPr>
      <w:r>
        <w:rPr>
          <w:sz w:val="20"/>
        </w:rPr>
        <w:t>[58] T. G. Dietterich, "Approximate Statistical Tests for Comparing Supervised Classification Learning Algorithms," Neural Computation, vol. 10, no. 7, pp. 1895--1923, 1998, doi: 10.1162/089976698300017197.</w:t>
      </w:r>
    </w:p>
    <w:p w14:paraId="770500EC">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2434E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7781</Words>
  <Characters>47268</Characters>
  <Lines>0</Lines>
  <Paragraphs>0</Paragraphs>
  <TotalTime>2</TotalTime>
  <ScaleCrop>false</ScaleCrop>
  <LinksUpToDate>false</LinksUpToDate>
  <CharactersWithSpaces>54866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Asus</cp:lastModifiedBy>
  <dcterms:modified xsi:type="dcterms:W3CDTF">2026-08-09T05:06:59Z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eyJoZGlkIjoiYzZkNzQ4ZWFiZmQ4NTRhOWRkZTk3YTMwMjlmMmZhYmUifQ==</vt:lpwstr>
  </property>
  <property fmtid="{D5CDD505-2E9C-101B-9397-08002B2CF9AE}" pid="3" name="KSOProductBuildVer">
    <vt:lpwstr>1033-12.1.0.28032</vt:lpwstr>
  </property>
  <property fmtid="{D5CDD505-2E9C-101B-9397-08002B2CF9AE}" pid="4" name="ICV">
    <vt:lpwstr>87729C1E4512413E892E460EF7AAF9A2_12</vt:lpwstr>
  </property>
</Properties>
</file>