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Masih — Department of Computer Science, The Superior University, Lahore, Pakistan · Supervisor: Dr. Fawad Nasim · adeel_gill@outlook.com</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in combination: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a calibrated confidence estimate.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agent interoperability protocols (MCP, A2A);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Emerging work grounds models in the longitudinal record for prediction and summarization, but there the record is input to be compressed, not timestamp-addressable evidence coupled to each recommendation the system makes.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within the literature reviewed for this study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a calibrated confidence estimate,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(deliberation, queries, tools, or dialogue policy), patient state is reassembled from the scenario at each step, and none of these systems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Across this RAG line, the direction of grounding has not varied: external knowledge is the corpus and the patient is the query.</w:t>
      </w:r>
    </w:p>
    <w:p>
      <w:pPr>
        <w:jc w:val="both"/>
      </w:pPr>
      <w:r>
        <w:t>A newer line of work has begun to treat the longitudinal record itself as the substrate, and it deserves separate attention. CliCARE compiles a patient's cancer EHR into a temporal knowledge graph and aligns it with guideline knowledge to generate recommendations, evaluated on MIMIC-IV among other data [44]. Traj-CoA and its successor TrajOnco process multi-year records with chains of summarizing agents whose distilled timelines feed cancer risk prediction [45], [46]. TIMER benchmarks and instruction-tunes temporal reasoning grounded to segments of real longitudinal records [47], and RGAR iteratively refines retrieval between the EHR context attached to a question and external knowledge [48]. These systems establish that longitudinal grounding is both feasible and valuable. They also sharpen, rather than close, the opening this work occupies: in each, the patient record serves prediction, summarization, or question answering as input to be compressed or aligned, not as timestamp-addressable evidence coupled to individual recommendations; none verifies a recommendation against the evidence retrieved for it; none measures the faithfulness of an audit trail; and their evaluations score endpoint accuracy rather than sustained tracking of one admission. What remains unoccupied, within the literature reviewed for this study, is the integration this paper proposes and instruments: timestamp-aware retrieval from the patient timeline, coupled to recommendation-level verification and a measured audit trail, evaluated longitudinally on de-identified real-world ICU records.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with safety flagged as the persistent omission [49].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[50], and adversarial evidence that multi-agent topology determines how far a compromised agent's influence spreads [51].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pPr>
        <w:jc w:val="both"/>
      </w:pPr>
      <w:r>
        <w:t>Each literature names a requirement: grounded recommendations, calibrated confidence estimates,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[52]: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 Table 1 summarizes, per component, what is designed, what is implemented, and what has been evaluated, so that the boundary between the completed pilot (Section 5) and the planned full evaluation (Section 3.6) is explicit.</w:t>
      </w:r>
    </w:p>
    <w:p>
      <w:r>
        <w:rPr>
          <w:b/>
          <w:sz w:val="18"/>
        </w:rPr>
        <w:t>TABLE. Component status: designed, implemented, and evaluated.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Component</w:t>
            </w:r>
          </w:p>
        </w:tc>
        <w:tc>
          <w:tcPr>
            <w:tcW w:type="dxa" w:w="2160"/>
          </w:tcPr>
          <w:p>
            <w:r>
              <w:rPr>
                <w:b/>
                <w:sz w:val="18"/>
              </w:rPr>
              <w:t>Designed</w:t>
            </w:r>
          </w:p>
        </w:tc>
        <w:tc>
          <w:tcPr>
            <w:tcW w:type="dxa" w:w="2160"/>
          </w:tcPr>
          <w:p>
            <w:r>
              <w:rPr>
                <w:b/>
                <w:sz w:val="18"/>
              </w:rPr>
              <w:t>Implemented</w:t>
            </w:r>
          </w:p>
        </w:tc>
        <w:tc>
          <w:tcPr>
            <w:tcW w:type="dxa" w:w="2160"/>
          </w:tcPr>
          <w:p>
            <w:r>
              <w:rPr>
                <w:b/>
                <w:sz w:val="18"/>
              </w:rPr>
              <w:t>Evaluated</w:t>
            </w:r>
          </w:p>
        </w:tc>
      </w:tr>
      <w:tr>
        <w:tc>
          <w:tcPr>
            <w:tcW w:type="dxa" w:w="2160"/>
          </w:tcPr>
          <w:p>
            <w:r>
              <w:rPr>
                <w:sz w:val="18"/>
              </w:rPr>
              <w:t>Patient-timeline memory (construction, management, retrieval)</w:t>
            </w:r>
          </w:p>
        </w:tc>
        <w:tc>
          <w:tcPr>
            <w:tcW w:type="dxa" w:w="2160"/>
          </w:tcPr>
          <w:p>
            <w:r>
              <w:rPr>
                <w:sz w:val="18"/>
              </w:rPr>
              <w:t>Yes</w:t>
            </w:r>
          </w:p>
        </w:tc>
        <w:tc>
          <w:tcPr>
            <w:tcW w:type="dxa" w:w="2160"/>
          </w:tcPr>
          <w:p>
            <w:r>
              <w:rPr>
                <w:sz w:val="18"/>
              </w:rPr>
              <w:t>Yes (non-LLM)</w:t>
            </w:r>
          </w:p>
        </w:tc>
        <w:tc>
          <w:tcPr>
            <w:tcW w:type="dxa" w:w="2160"/>
          </w:tcPr>
          <w:p>
            <w:r>
              <w:rPr>
                <w:sz w:val="18"/>
              </w:rPr>
              <w:t>Pilot (Section 5)</w:t>
            </w:r>
          </w:p>
        </w:tc>
      </w:tr>
      <w:tr>
        <w:tc>
          <w:tcPr>
            <w:tcW w:type="dxa" w:w="2160"/>
          </w:tcPr>
          <w:p>
            <w:r>
              <w:rPr>
                <w:sz w:val="18"/>
              </w:rPr>
              <w:t>Timestamp-aware retrieval</w:t>
            </w:r>
          </w:p>
        </w:tc>
        <w:tc>
          <w:tcPr>
            <w:tcW w:type="dxa" w:w="2160"/>
          </w:tcPr>
          <w:p>
            <w:r>
              <w:rPr>
                <w:sz w:val="18"/>
              </w:rPr>
              <w:t>Yes</w:t>
            </w:r>
          </w:p>
        </w:tc>
        <w:tc>
          <w:tcPr>
            <w:tcW w:type="dxa" w:w="2160"/>
          </w:tcPr>
          <w:p>
            <w:r>
              <w:rPr>
                <w:sz w:val="18"/>
              </w:rPr>
              <w:t>Yes</w:t>
            </w:r>
          </w:p>
        </w:tc>
        <w:tc>
          <w:tcPr>
            <w:tcW w:type="dxa" w:w="2160"/>
          </w:tcPr>
          <w:p>
            <w:r>
              <w:rPr>
                <w:sz w:val="18"/>
              </w:rPr>
              <w:t>Pilot: latency, no future data</w:t>
            </w:r>
          </w:p>
        </w:tc>
      </w:tr>
      <w:tr>
        <w:tc>
          <w:tcPr>
            <w:tcW w:type="dxa" w:w="2160"/>
          </w:tcPr>
          <w:p>
            <w:r>
              <w:rPr>
                <w:sz w:val="18"/>
              </w:rPr>
              <w:t>Early-warning baseline</w:t>
            </w:r>
          </w:p>
        </w:tc>
        <w:tc>
          <w:tcPr>
            <w:tcW w:type="dxa" w:w="2160"/>
          </w:tcPr>
          <w:p>
            <w:r>
              <w:rPr>
                <w:sz w:val="18"/>
              </w:rPr>
              <w:t>Yes</w:t>
            </w:r>
          </w:p>
        </w:tc>
        <w:tc>
          <w:tcPr>
            <w:tcW w:type="dxa" w:w="2160"/>
          </w:tcPr>
          <w:p>
            <w:r>
              <w:rPr>
                <w:sz w:val="18"/>
              </w:rPr>
              <w:t>Yes</w:t>
            </w:r>
          </w:p>
        </w:tc>
        <w:tc>
          <w:tcPr>
            <w:tcW w:type="dxa" w:w="2160"/>
          </w:tcPr>
          <w:p>
            <w:r>
              <w:rPr>
                <w:sz w:val="18"/>
              </w:rPr>
              <w:t>Pilot: AUROC with proxy labels</w:t>
            </w:r>
          </w:p>
        </w:tc>
      </w:tr>
      <w:tr>
        <w:tc>
          <w:tcPr>
            <w:tcW w:type="dxa" w:w="2160"/>
          </w:tcPr>
          <w:p>
            <w:r>
              <w:rPr>
                <w:sz w:val="18"/>
              </w:rPr>
              <w:t>Verification gate (rule-based form)</w:t>
            </w:r>
          </w:p>
        </w:tc>
        <w:tc>
          <w:tcPr>
            <w:tcW w:type="dxa" w:w="2160"/>
          </w:tcPr>
          <w:p>
            <w:r>
              <w:rPr>
                <w:sz w:val="18"/>
              </w:rPr>
              <w:t>Yes</w:t>
            </w:r>
          </w:p>
        </w:tc>
        <w:tc>
          <w:tcPr>
            <w:tcW w:type="dxa" w:w="2160"/>
          </w:tcPr>
          <w:p>
            <w:r>
              <w:rPr>
                <w:sz w:val="18"/>
              </w:rPr>
              <w:t>Yes</w:t>
            </w:r>
          </w:p>
        </w:tc>
        <w:tc>
          <w:tcPr>
            <w:tcW w:type="dxa" w:w="2160"/>
          </w:tcPr>
          <w:p>
            <w:r>
              <w:rPr>
                <w:sz w:val="18"/>
              </w:rPr>
              <w:t>Pilot: operating curve</w:t>
            </w:r>
          </w:p>
        </w:tc>
      </w:tr>
      <w:tr>
        <w:tc>
          <w:tcPr>
            <w:tcW w:type="dxa" w:w="2160"/>
          </w:tcPr>
          <w:p>
            <w:r>
              <w:rPr>
                <w:sz w:val="18"/>
              </w:rPr>
              <w:t>Audit trail with measured resolvability</w:t>
            </w:r>
          </w:p>
        </w:tc>
        <w:tc>
          <w:tcPr>
            <w:tcW w:type="dxa" w:w="2160"/>
          </w:tcPr>
          <w:p>
            <w:r>
              <w:rPr>
                <w:sz w:val="18"/>
              </w:rPr>
              <w:t>Yes</w:t>
            </w:r>
          </w:p>
        </w:tc>
        <w:tc>
          <w:tcPr>
            <w:tcW w:type="dxa" w:w="2160"/>
          </w:tcPr>
          <w:p>
            <w:r>
              <w:rPr>
                <w:sz w:val="18"/>
              </w:rPr>
              <w:t>Yes</w:t>
            </w:r>
          </w:p>
        </w:tc>
        <w:tc>
          <w:tcPr>
            <w:tcW w:type="dxa" w:w="2160"/>
          </w:tcPr>
          <w:p>
            <w:r>
              <w:rPr>
                <w:sz w:val="18"/>
              </w:rPr>
              <w:t>Pilot: 183/183 references</w:t>
            </w:r>
          </w:p>
        </w:tc>
      </w:tr>
      <w:tr>
        <w:tc>
          <w:tcPr>
            <w:tcW w:type="dxa" w:w="2160"/>
          </w:tcPr>
          <w:p>
            <w:r>
              <w:rPr>
                <w:sz w:val="18"/>
              </w:rPr>
              <w:t>Seven LLM agents and coordinator</w:t>
            </w:r>
          </w:p>
        </w:tc>
        <w:tc>
          <w:tcPr>
            <w:tcW w:type="dxa" w:w="2160"/>
          </w:tcPr>
          <w:p>
            <w:r>
              <w:rPr>
                <w:sz w:val="18"/>
              </w:rPr>
              <w:t>Yes</w:t>
            </w:r>
          </w:p>
        </w:tc>
        <w:tc>
          <w:tcPr>
            <w:tcW w:type="dxa" w:w="2160"/>
          </w:tcPr>
          <w:p>
            <w:r>
              <w:rPr>
                <w:sz w:val="18"/>
              </w:rPr>
              <w:t>Scaffold only</w:t>
            </w:r>
          </w:p>
        </w:tc>
        <w:tc>
          <w:tcPr>
            <w:tcW w:type="dxa" w:w="2160"/>
          </w:tcPr>
          <w:p>
            <w:r>
              <w:rPr>
                <w:sz w:val="18"/>
              </w:rPr>
              <w:t>Planned (Section 3.6)</w:t>
            </w:r>
          </w:p>
        </w:tc>
      </w:tr>
      <w:tr>
        <w:tc>
          <w:tcPr>
            <w:tcW w:type="dxa" w:w="2160"/>
          </w:tcPr>
          <w:p>
            <w:r>
              <w:rPr>
                <w:sz w:val="18"/>
              </w:rPr>
              <w:t>Guideline and literature RAG</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Calibrated confidence estimation</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Human-in-the-loop review protocol</w:t>
            </w:r>
          </w:p>
        </w:tc>
        <w:tc>
          <w:tcPr>
            <w:tcW w:type="dxa" w:w="2160"/>
          </w:tcPr>
          <w:p>
            <w:r>
              <w:rPr>
                <w:sz w:val="18"/>
              </w:rPr>
              <w:t>Yes</w:t>
            </w:r>
          </w:p>
        </w:tc>
        <w:tc>
          <w:tcPr>
            <w:tcW w:type="dxa" w:w="2160"/>
          </w:tcPr>
          <w:p>
            <w:r>
              <w:rPr>
                <w:sz w:val="18"/>
              </w:rPr>
              <w:t>UI prototype</w:t>
            </w:r>
          </w:p>
        </w:tc>
        <w:tc>
          <w:tcPr>
            <w:tcW w:type="dxa" w:w="2160"/>
          </w:tcPr>
          <w:p>
            <w:r>
              <w:rPr>
                <w:sz w:val="18"/>
              </w:rPr>
              <w:t>Planned (Section 3.6)</w:t>
            </w:r>
          </w:p>
        </w:tc>
      </w:tr>
      <w:tr>
        <w:tc>
          <w:tcPr>
            <w:tcW w:type="dxa" w:w="2160"/>
          </w:tcPr>
          <w:p>
            <w:r>
              <w:rPr>
                <w:sz w:val="18"/>
              </w:rPr>
              <w:t>Longitudinal evaluation on full MIMIC-IV</w:t>
            </w:r>
          </w:p>
        </w:tc>
        <w:tc>
          <w:tcPr>
            <w:tcW w:type="dxa" w:w="2160"/>
          </w:tcPr>
          <w:p>
            <w:r>
              <w:rPr>
                <w:sz w:val="18"/>
              </w:rPr>
              <w:t>Yes</w:t>
            </w:r>
          </w:p>
        </w:tc>
        <w:tc>
          <w:tcPr>
            <w:tcW w:type="dxa" w:w="2160"/>
          </w:tcPr>
          <w:p>
            <w:r>
              <w:rPr>
                <w:sz w:val="18"/>
              </w:rPr>
              <w:t>No</w:t>
            </w:r>
          </w:p>
        </w:tc>
        <w:tc>
          <w:tcPr>
            <w:tcW w:type="dxa" w:w="2160"/>
          </w:tcPr>
          <w:p>
            <w:r>
              <w:rPr>
                <w:sz w:val="18"/>
              </w:rPr>
              <w:t>Planned (Section 3.6)</w:t>
            </w:r>
          </w:p>
        </w:tc>
      </w:tr>
    </w:tbl>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This subsection describes designed, not demonstrated, behavior: as Table 1 records, the seven agents exist only as an implementation scaffold (typed interfaces, message schemas, and placeholder reasoning stubs), and no LLM-based reasoning ran in the pilot of Section 5, whose intelligence resided entirely in a logistic-regression baseline and a rule-based gate. In the full system, a coordinator agent will delegate to seven specialized agents (monitoring, planner, diagnosis, risk prediction, treatment recommendation, explanation, and verification), each of which will use ReAct-style reasoning internally [6]. Coordination will follow a hub-and-spoke topology: all inter-agent messages will pass through the coordinator, a choice motivated by adversarial evidence that multi-agent topology governs how far a compromised agent's influence spreads, with open shared-communication designs proving most vulnerable to contamination [51]; routing every message through one auditable point will also serve the audit-trail requirement of Section 3.4. Tool access will use the Model Context Protocol (MCP), and inter-agent exchange will follow Agent-to-Agent (A2A)-style conventions, the two interoperability protocols named in the index terms [30], keeping the prototype composable with hospital tooling. External tools will follow the validated-tool principle of RiskAgent and TxAgent: calculations and lookups will be delegated to auditable components rather than generated [1], [2].</w:t>
      </w:r>
    </w:p>
    <w:p>
      <w:pPr>
        <w:pStyle w:val="Heading2"/>
      </w:pPr>
      <w:r>
        <w:t>3.4 Verification Gate and Audit Trail</w:t>
      </w:r>
    </w:p>
    <w:p>
      <w:pPr>
        <w:jc w:val="both"/>
      </w:pPr>
      <w:r>
        <w:t>The verification agent is the framework's distinguishing safety component; only its rule-based form has been implemented and exercised (Section 5), and the LLM-based form described here is designed, not built. In the full system, every candidate recommendation will be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will accompany the recommendation to the clinician [17], [53]. Recommendations failing any check will be blocked and returned with the failure reason. Every check will write to an evidence-linked audit trail. Whether that trail accurately reflects the evidence the system actually used will be treated as a measured property rather than an assumed one, using entailment-based spot audits [54]. The confidence value attached to each recommendation will be calibrated post hoc on a held-out calibration split (temperature scaling, with isotonic regression as a fallback for non-monotone miscalibration) and its quality will be evaluated by expected calibration error and reliability diagrams [53]; no output of the current pilot is calibrated. This combination is designed to align with emerging regulatory expectations for unconfined non-deterministic clinical software: guardrails, moderation, retrieval grounding, and inspectability [18], [19].</w:t>
      </w:r>
    </w:p>
    <w:p>
      <w:pPr>
        <w:pStyle w:val="Heading2"/>
      </w:pPr>
      <w:r>
        <w:t>3.5 Human-in-the-Loop Protocol</w:t>
      </w:r>
    </w:p>
    <w:p>
      <w:pPr>
        <w:jc w:val="both"/>
      </w:pPr>
      <w:r>
        <w:t>In the full system, clinicians will receive only verified recommendations, each with linked evidence, a calibrated confidence estimate, and an explanation. Review will be structured rather than free-form: approve, modify, or reject, with reasons captured into memory. The choice reflects meta-analytic evidence that unstructured clinician–LLM collaboration produces gains too uncertain to build on [20]. Rejections and modifications will feed the monitoring loop as supervision signals.</w:t>
      </w:r>
    </w:p>
    <w:p>
      <w:pPr>
        <w:pStyle w:val="Heading2"/>
      </w:pPr>
      <w:r>
        <w:t>3.6 Planned Evaluation Design</w:t>
      </w:r>
    </w:p>
    <w:p>
      <w:pPr>
        <w:jc w:val="both"/>
      </w:pPr>
      <w:r>
        <w:t>This subsection specifies the full evaluation of the LLM-based framework; it is designed but has not yet been executed. The only completed empirical work in this paper is the non-LLM pilot reported in Section 5, and no result below should be read as obtained. The planned full evaluation uses MIMIC-IV [13] cohorts (sepsis and deterioration use cases; Sepsis-3 labels [55], [56]) and scores the system on longitudinal tracking, not one-shot prediction. Clinical ground truth is defined concretely per use case: in-hospital mortality from discharge disposition, sepsis onset time under the Sepsis-3 criteria applied to the recorded observations [55], and, for treatment recommendations, concordance with the interventions documented in the record, adjudicated by clinician review where the record is ambiguous. The primary metrics are defined as follows. (1) Decision quality: discrimination (AUROC) and calibration of predicted risk against these labels, compared with revisited MIMIC-IV baselines [22]. (2) Grounding rate: of the atomic claims extracted from a recommendation, the fraction entailed by at least one retrieved patient-evidence item, following RAG-evaluation practice [54]. (3) Verification-gate effectiveness: among recommendations independently judged ungrounded, the fraction the gate blocks (catch rate) at a fixed clinician-review budget. (4) Audit-trail faithfulness: the fraction of logged evidence references that both re-resolve to the source record and match the value the system actually used, under human spot audit of a random sample sized to bound the faithfulness estimate within ±5 percentage points at 95% confidence, assuming the maximum-variance baseline p = 0.5 (approximately 385 references, or the full trail when smaller). Adjudication is strictly binary: a reference that is partially correct, for example resolving to the right table but the wrong row or to a superseded value, counts as unfaithful. (5) Recommendation quality: rubric-graded scores in the style of physician-rubric benchmarks [12], [21]. Ablations remove patient-timeline retrieval, the verification gate, and longitudinal memory in turn, isolating each claimed contribution. Statistical comparisons follow standard practice for correlated classifiers [57], [58] with false-discovery control [59].</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and longitudinal grounding itself is emerging in trajectory and guideline-alignment systems [44], [45], [47]. We do not claim any of these components. What we claim is their integration, and the instrumentation of that integration: timestamp-aware retrieval from the patient's own timeline coupled to recommendation-level verification, an audit trail whose faithfulness is measured rather than assumed, and evaluation that scores longitudinal tracking on de-identified real-world ICU records. Within the literature reviewed for this study, no system combines these, and none measures them together.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the design attaches a calibrated confidence estimate to every recommendation (planned, not implemented in the pilot; Table 1); adversarial findings that open shared communication channels are the most vulnerable multi-agent design [51]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Four limitations bound the claims, beyond the safety consideration that Section 4.5 treats separately.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[54];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[49].</w:t>
      </w:r>
    </w:p>
    <w:p>
      <w:pPr>
        <w:pStyle w:val="Heading2"/>
      </w:pPr>
      <w:r>
        <w:t>4.5 Safety Consideration: The Gate's Sensitivity Floor</w:t>
      </w:r>
    </w:p>
    <w:p>
      <w:pPr>
        <w:jc w:val="both"/>
      </w:pPr>
      <w:r>
        <w:t>The pilot's most consequential finding for deployment is not the gate's specificity but its sensitivity floor, and it warrants treatment as a first-class safety issue rather than a footnote to the results. At the strictest informative threshold (m = 4) the rule-based gate blocked four of the seven true alerts, three of which carried no deterioration-relevant signal in the evidence window at all; a deployed system that suppressed more than half of the alerts preceding death would be clinically unacceptable, whatever its false-alert suppression. Three design consequences follow. The evidence window and signal threshold are safety parameters whose values clinical governance, not engineering, must set. Gate operating points must always be reported with sensitivity alongside false-alert suppression, as the pilot's operating curve does, so the trade-off is chosen deliberately rather than inherited from a default. And suppression must never be silent: in this framework blocked alerts remain visible and overridable in a dedicated queue rather than being discarded, so the gate defers, rather than replaces, clinical judgment on the alerts it declines to forward. The full evaluation will report sensitivity at every operating point, and we regard any deployment decision that has not confronted this floor explicitly as unsafe.</w:t>
      </w:r>
    </w:p>
    <w:p>
      <w:pPr>
        <w:pStyle w:val="Heading2"/>
      </w:pPr>
      <w:r>
        <w:t>4.6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[50].</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We define a *true alert* as an alert raised for a stay whose hospital admission ended in in-hospital death (7 alerts) and a *false alert* as one raised for a patient discharged alive (21 alerts). In-hospital mortality is a proxy endpoint chosen because it is unambiguous in the demo tables, not a claim that every deteriorating patient dies; much of monitoring's clinical value lies in non-fatal events such as escalation of care, fluid management, or antibiotic titration, which a mortality proxy cannot see. The planned full evaluation therefore replaces this proxy with Sepsis-3 onset and intervention-concordance labels (Section 3.6). Leakage was controlled at three points: features were computed only from events time-stamped within the first 24 h of the ICU stay, while the mortality label derives from the discharge disposition recorded at the end of the admission; prior admissions entered the timeline only if discharged strictly before the current admission; and imputation and standardization were fit inside each cross-validation training fold via a pipeline, never on the full cohort.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This figure measures the retrieval substrate alone: in the full system, each recommendation will additionally incur multiple LLM inference calls, so total response time will be dominated by agentic reasoning, not retrieval, and will be measured separately in the planned evaluation. The baseline reached a cross-validated AUROC of 0.641 (95% bootstrap CI 0.478–0.792). Because the interval crosses 0.5, the baseline demonstrates no statistically significant discrimination at this sample size, and we draw no decision-support performance conclusion from it whatsoever. Its only function in the pilot is to generate a realistic, imperfect alert stream against which the gate's behavior can be observed.</w:t>
      </w:r>
    </w:p>
    <w:p>
      <w:pPr>
        <w:jc w:val="both"/>
      </w:pPr>
      <w:r>
        <w:t>The gate produced the pilot's most instructive result, with an essential scoping caveat: everything the gate demonstrates here is demonstrated on a stream of alerts, not on a stream of validated predictions, since the baseline generating those alerts has no established predictive validity.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within this stream,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carries no reliability claim: what the exercise benchmarks is the metric and its measurement machinery, not the system, and the metric earns its place because it becomes non-trivial once a non-deterministic LLM writes the trail.</w:t>
      </w:r>
    </w:p>
    <w:p>
      <w:pPr>
        <w:pStyle w:val="Heading2"/>
      </w:pPr>
      <w:r>
        <w:t>5.4 What the Pilot Does and Does Not Show</w:t>
      </w:r>
    </w:p>
    <w:p>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jc w:val="both"/>
      </w:pPr>
      <w:r>
        <w:t>The relation between the pilot gate and the framework's verification agent deserves explicit statement. The pilot gate is a deliberately simple heuristic instantiation of the verification interface: it consumes the same retrieved-evidence set, emits the same pass-or-block decision, and logs the same evidence references that the LLM-based agent of Section 3.4 will. What changes in the full system is the decision rule, from counting distinct deterioration signals to claim-level entailment against the retrieved evidence. Whether the preferential suppression of false alerts observed here transfers to the entailment-based form is therefore an explicit hypothesis for the full evaluation, not an assumption this pilot licenses.</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requirement that the benchmark, safety, and regulatory literature cited throughout names but does not yet report measured together in one system.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We therefore consider measurable verification and traceability essential properties for evaluating clinical agentic AI.</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Ethics Statement</w:t>
      </w:r>
    </w:p>
    <w:p>
      <w:r>
        <w:t>This study uses only the MIMIC-IV Clinical Database Demo v2.2, a fully de-identified, openly licensed public dataset distributed by PhysioNet that requires no credentialing and involves no interaction with patients or clinicians; no additional ethics approval was required for its use. The planned full evaluation will use the credentialed MIMIC-IV database under the PhysioNet Credentialed Health Data Use Agreement and completed human subjects research training. The system described is an academic proof-of-concept evaluated on de-identified and synthetic data only; it is not a medical device and is not intended for clinical use, and any output it produces requires review by a qualified licensed clinician.</w:t>
      </w:r>
    </w:p>
    <w:p>
      <w:pPr>
        <w:pStyle w:val="Heading1"/>
      </w:pPr>
      <w:r>
        <w:t>Data Availability</w:t>
      </w:r>
    </w:p>
    <w:p>
      <w:r>
        <w:t>The MIMIC-IV Clinical Database Demo v2.2 is publicly available from PhysioNet. The pilot implementation (timeline construction, timestamp-aware retrieval, early-warning baseline, and verification gate) and the aggregate pilot metrics reported in Section 5 are available in the project repository; no patient-level data is redistributed. The full MIMIC-IV database is available to credentialed researchers via PhysioNet.</w:t>
      </w:r>
    </w:p>
    <w:p>
      <w:pPr>
        <w:pStyle w:val="Heading1"/>
      </w:pPr>
      <w:r>
        <w:t>Funding</w:t>
      </w:r>
    </w:p>
    <w:p>
      <w:r>
        <w:t>The authors received no specific funding for this work.</w:t>
      </w:r>
    </w:p>
    <w:p>
      <w:pPr>
        <w:pStyle w:val="Heading1"/>
      </w:pPr>
      <w:r>
        <w:t>Competing Interests</w:t>
      </w:r>
    </w:p>
    <w:p>
      <w:r>
        <w:t>The authors declare no competing interests.</w:t>
      </w:r>
    </w:p>
    <w:p>
      <w:pPr>
        <w:pStyle w:val="Heading1"/>
      </w:pPr>
      <w:r>
        <w:t>Author Contributions</w:t>
      </w:r>
    </w:p>
    <w:p>
      <w:r>
        <w:t>A.M. designed the framework, implemented the pilot study and platform prototype, and wrote the manuscript. F.N. supervised the research and reviewed the manuscript.</w:t>
      </w:r>
    </w:p>
    <w:p>
      <w:pPr>
        <w:pStyle w:val="Heading1"/>
      </w:pPr>
      <w:r>
        <w:t>AI-Assistance Disclosure</w:t>
      </w:r>
    </w:p>
    <w:p>
      <w:r>
        <w:t>Large language model tools were used, under the authors' direction, to assist with literature search, drafting, and editing of this manuscript and with the implementation of the pilot software. The authors reviewed and verified all content, citations, analyses, and results, and take full responsibility for the manuscript.</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Küttler,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Proceedings of the First Workshop on Patient-Oriented Language Processing (CL4Health) @ LREC-COLING 2024, 2024.</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Information Fusion, vol. 126, pp. 103599, 2026, doi: 10.1016/j.inffus.2025.103599.</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pPr>
        <w:spacing w:after="80"/>
      </w:pPr>
      <w:r>
        <w:rPr>
          <w:sz w:val="20"/>
        </w:rPr>
        <w:t>[38] A. Fallahpour, J. Ma, A. Munim, et al.,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D. Li, J. Liang, W. Li, et al., "CliCARE: Grounding Large Language Models in Clinical Guidelines for Decision Support over Longitudinal Cancer Electronic Health Records," Proceedings of the AAAI Conference on Artificial Intelligence, vol. 40, no. 37, pp. 31554--31562, 2026, doi: 10.1609/aaai.v40i37.40421.</w:t>
      </w:r>
    </w:p>
    <w:p>
      <w:pPr>
        <w:spacing w:after="80"/>
      </w:pPr>
      <w:r>
        <w:rPr>
          <w:sz w:val="20"/>
        </w:rPr>
        <w:t>[45] S. Zeng, Y. Fu, S. Zhou, et al., "Traj-CoA: Patient Trajectory Modeling via Chain-of-Agents for Lung Cancer Risk Prediction," arXiv preprint arXiv:2510.10454, 2025, doi: 10.48550/arXiv.2510.10454.</w:t>
      </w:r>
    </w:p>
    <w:p>
      <w:pPr>
        <w:spacing w:after="80"/>
      </w:pPr>
      <w:r>
        <w:rPr>
          <w:sz w:val="20"/>
        </w:rPr>
        <w:t>[46] S. Zeng, Y. W. Kim, W. Lau, et al., "TrajOnco: A Multi-Agent Framework for Temporal Reasoning over Longitudinal EHR for Multi-Cancer Early Detection," arXiv preprint arXiv:2604.10386, 2026, doi: 10.48550/arXiv.2604.10386.</w:t>
      </w:r>
    </w:p>
    <w:p>
      <w:pPr>
        <w:spacing w:after="80"/>
      </w:pPr>
      <w:r>
        <w:rPr>
          <w:sz w:val="20"/>
        </w:rPr>
        <w:t>[47] H. Cui, A. Unell, B. Chen, et al., "TIMER: Temporal Instruction Modeling and Evaluation for Longitudinal Clinical Records," npj Digital Medicine, vol. 8, pp. 577, 2025, doi: 10.1038/s41746-025-01965-9.</w:t>
      </w:r>
    </w:p>
    <w:p>
      <w:pPr>
        <w:spacing w:after="80"/>
      </w:pPr>
      <w:r>
        <w:rPr>
          <w:sz w:val="20"/>
        </w:rPr>
        <w:t>[48] S. Liang, L. Zhang, H. Zhu, et al., "RGAR: Recurrence Generation-augmented Retrieval for Factual-aware Medical Question Answering," Findings of the Association for Computational Linguistics: EMNLP 2025, pp. 4006--4033, 2025, doi: 10.18653/v1/2025.findings-emnlp.214.</w:t>
      </w:r>
    </w:p>
    <w:p>
      <w:pPr>
        <w:spacing w:after="80"/>
      </w:pPr>
      <w:r>
        <w:rPr>
          <w:sz w:val="20"/>
        </w:rPr>
        <w:t>[49] A. Yehudai, L. Eden, A. Li, et al., "Survey on Evaluation of LLM-based Agents," Findings of the Association for Computational Linguistics: ACL 2026, pp. 26690--26714, 2026, doi: 10.18653/v1/2026.findings-acl.1330.</w:t>
      </w:r>
    </w:p>
    <w:p>
      <w:pPr>
        <w:spacing w:after="80"/>
      </w:pPr>
      <w:r>
        <w:rPr>
          <w:sz w:val="20"/>
        </w:rPr>
        <w:t>[50]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[51] K. Chen, T. Zhen, H. Wang, et al., "MedSentry: Understanding and Mitigating Safety Risks in Medical LLM Multi-Agent Systems," arXiv preprint arXiv:2505.20824, 2025, doi: 10.48550/arXiv.2505.20824.</w:t>
      </w:r>
    </w:p>
    <w:p>
      <w:pPr>
        <w:spacing w:after="80"/>
      </w:pPr>
      <w:r>
        <w:rPr>
          <w:sz w:val="20"/>
        </w:rPr>
        <w:t>[52] A. R. Hevner, S. T. March, J. Park, S. Ram, "Design Science in Information Systems Research," MIS Quarterly, vol. 28, no. 1, pp. 75--105, 2004, doi: 10.2307/25148625.</w:t>
      </w:r>
    </w:p>
    <w:p>
      <w:pPr>
        <w:spacing w:after="80"/>
      </w:pPr>
      <w:r>
        <w:rPr>
          <w:sz w:val="20"/>
        </w:rPr>
        <w:t>[53] C. Guo, G. Pleiss, Y. Sun, K. Q. Weinberger, "On Calibration of Modern Neural Networks," Proceedings of the 34th International Conference on Machine Learning (ICML), 2017.</w:t>
      </w:r>
    </w:p>
    <w:p>
      <w:pPr>
        <w:spacing w:after="80"/>
      </w:pPr>
      <w:r>
        <w:rPr>
          <w:sz w:val="20"/>
        </w:rPr>
        <w:t>[54]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[55]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[56] J. Vincent, R. Moreno, J. Takala, S. Willatts, A. De Mendonça, H. Bruining, C. K. Reinhart, P. M. Suter, L. G. Thijs, "The SOFA (Sepsis-related Organ Failure Assessment) score to describe organ dysfunction/failure," Intensive Care Medicine, vol. 22, no. 7, pp. 707--710, 1996, doi: 10.1007/BF01709751.</w:t>
      </w:r>
    </w:p>
    <w:p>
      <w:pPr>
        <w:spacing w:after="80"/>
      </w:pPr>
      <w:r>
        <w:rPr>
          <w:sz w:val="20"/>
        </w:rPr>
        <w:t>[57] E. R. DeLong, D. M. DeLong, D. L. Clarke-Pearson, "Comparing the Areas Under Two or More Correlated Receiver Operating Characteristic Curves: A Nonparametric Approach," Biometrics, vol. 44, no. 3, pp. 837--845, 1988, doi: 10.2307/2531595.</w:t>
      </w:r>
    </w:p>
    <w:p>
      <w:pPr>
        <w:spacing w:after="80"/>
      </w:pPr>
      <w:r>
        <w:rPr>
          <w:sz w:val="20"/>
        </w:rPr>
        <w:t>[58] T. G. Dietterich, "Approximate Statistical Tests for Comparing Supervised Classification Learning Algorithms," Neural Computation, vol. 10, no. 7, pp. 1895--1923, 1998, doi: 10.1162/089976698300017197.</w:t>
      </w:r>
    </w:p>
    <w:p>
      <w:pPr>
        <w:spacing w:after="80"/>
      </w:pPr>
      <w:r>
        <w:rPr>
          <w:sz w:val="20"/>
        </w:rPr>
        <w:t>[59] Y. Benjamini, Y. Hochberg, "Controlling the False Discovery Rate: A Practical and Powerful Approach to Multiple Testing," Journal of the Royal Statistical Society: Series B (Methodological), vol. 57, no. 1, pp. 289--300, 1995, doi: 10.1111/j.2517-6161.1995.tb02031.x.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