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Gill (supervisor: Dr. Fawad Nasim) — author block TODO before submission</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in combination: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a calibrated confidence estimate.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Emerging work grounds models in the longitudinal record for prediction and summarization, but there the record is input to be compressed, not timestamp-addressable evidence coupled to each recommendation the system makes.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a calibrated confidence estimate,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Across this RAG line, the direction of grounding has not varied: external knowledge is the corpus and the patient is the query.</w:t>
      </w:r>
    </w:p>
    <w:p>
      <w:pPr>
        <w:jc w:val="both"/>
      </w:pPr>
      <w:r>
        <w:t>A newer line of work has begun to treat the longitudinal record itself as the substrate, and it deserves separate attention. CliCARE compiles a patient's cancer EHR into a temporal knowledge graph and aligns it with guideline knowledge to generate recommendations, evaluated on MIMIC-IV among other data [44]. Traj-CoA and its successor TrajOnco process multi-year records with chains of summarizing agents whose distilled timelines feed cancer risk prediction [45], [46]. TIMER benchmarks and instruction-tunes temporal reasoning grounded to segments of real longitudinal records [47], and RGAR iteratively refines retrieval between the EHR context attached to a question and external knowledge [48]. These systems establish that longitudinal grounding is both feasible and valuable. They also sharpen, rather than close, the opening this work occupies: in each, the patient record serves prediction, summarization, or question answering as input to be compressed or aligned, not as timestamp-addressable evidence coupled to individual recommendations; none verifies a recommendation against the evidence retrieved for it; none measures the faithfulness of an audit trail; and their evaluations score endpoint accuracy rather than sustained tracking of one admission. What remains unoccupied, within the literature reviewed for this study, is the integration this paper proposes and instruments: timestamp-aware retrieval from the patient timeline, coupled to recommendation-level verification and a measured audit trail, evaluated longitudinally on de-identified real-world ICU records.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[49].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[50], and adversarial evidence that multi-agent topology determines how far a compromised agent's influence spreads [51].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estimates,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[52]: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 Table 1 summarizes, per component, what is designed, what is implemented, and what has been evaluated, so that the boundary between the completed pilot (Section 5) and the planned full evaluation (Section 3.6) is explicit.</w:t>
      </w:r>
    </w:p>
    <w:p>
      <w:r>
        <w:rPr>
          <w:b/>
          <w:sz w:val="18"/>
        </w:rPr>
        <w:t>TABLE. Component status: designed, implemented, and evaluated.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Component</w:t>
            </w:r>
          </w:p>
        </w:tc>
        <w:tc>
          <w:tcPr>
            <w:tcW w:type="dxa" w:w="2160"/>
          </w:tcPr>
          <w:p>
            <w:r>
              <w:rPr>
                <w:b/>
                <w:sz w:val="18"/>
              </w:rPr>
              <w:t>Designed</w:t>
            </w:r>
          </w:p>
        </w:tc>
        <w:tc>
          <w:tcPr>
            <w:tcW w:type="dxa" w:w="2160"/>
          </w:tcPr>
          <w:p>
            <w:r>
              <w:rPr>
                <w:b/>
                <w:sz w:val="18"/>
              </w:rPr>
              <w:t>Implemented</w:t>
            </w:r>
          </w:p>
        </w:tc>
        <w:tc>
          <w:tcPr>
            <w:tcW w:type="dxa" w:w="2160"/>
          </w:tcPr>
          <w:p>
            <w:r>
              <w:rPr>
                <w:b/>
                <w:sz w:val="18"/>
              </w:rPr>
              <w:t>Evaluated</w:t>
            </w:r>
          </w:p>
        </w:tc>
      </w:tr>
      <w:tr>
        <w:tc>
          <w:tcPr>
            <w:tcW w:type="dxa" w:w="2160"/>
          </w:tcPr>
          <w:p>
            <w:r>
              <w:rPr>
                <w:sz w:val="18"/>
              </w:rPr>
              <w:t>Patient-timeline memory (construction, management, retrieval)</w:t>
            </w:r>
          </w:p>
        </w:tc>
        <w:tc>
          <w:tcPr>
            <w:tcW w:type="dxa" w:w="2160"/>
          </w:tcPr>
          <w:p>
            <w:r>
              <w:rPr>
                <w:sz w:val="18"/>
              </w:rPr>
              <w:t>Yes</w:t>
            </w:r>
          </w:p>
        </w:tc>
        <w:tc>
          <w:tcPr>
            <w:tcW w:type="dxa" w:w="2160"/>
          </w:tcPr>
          <w:p>
            <w:r>
              <w:rPr>
                <w:sz w:val="18"/>
              </w:rPr>
              <w:t>Yes (non-LLM)</w:t>
            </w:r>
          </w:p>
        </w:tc>
        <w:tc>
          <w:tcPr>
            <w:tcW w:type="dxa" w:w="2160"/>
          </w:tcPr>
          <w:p>
            <w:r>
              <w:rPr>
                <w:sz w:val="18"/>
              </w:rPr>
              <w:t>Pilot (Section 5)</w:t>
            </w:r>
          </w:p>
        </w:tc>
      </w:tr>
      <w:tr>
        <w:tc>
          <w:tcPr>
            <w:tcW w:type="dxa" w:w="2160"/>
          </w:tcPr>
          <w:p>
            <w:r>
              <w:rPr>
                <w:sz w:val="18"/>
              </w:rPr>
              <w:t>Timestamp-aware retrieval</w:t>
            </w:r>
          </w:p>
        </w:tc>
        <w:tc>
          <w:tcPr>
            <w:tcW w:type="dxa" w:w="2160"/>
          </w:tcPr>
          <w:p>
            <w:r>
              <w:rPr>
                <w:sz w:val="18"/>
              </w:rPr>
              <w:t>Yes</w:t>
            </w:r>
          </w:p>
        </w:tc>
        <w:tc>
          <w:tcPr>
            <w:tcW w:type="dxa" w:w="2160"/>
          </w:tcPr>
          <w:p>
            <w:r>
              <w:rPr>
                <w:sz w:val="18"/>
              </w:rPr>
              <w:t>Yes</w:t>
            </w:r>
          </w:p>
        </w:tc>
        <w:tc>
          <w:tcPr>
            <w:tcW w:type="dxa" w:w="2160"/>
          </w:tcPr>
          <w:p>
            <w:r>
              <w:rPr>
                <w:sz w:val="18"/>
              </w:rPr>
              <w:t>Pilot: latency, no future data</w:t>
            </w:r>
          </w:p>
        </w:tc>
      </w:tr>
      <w:tr>
        <w:tc>
          <w:tcPr>
            <w:tcW w:type="dxa" w:w="2160"/>
          </w:tcPr>
          <w:p>
            <w:r>
              <w:rPr>
                <w:sz w:val="18"/>
              </w:rPr>
              <w:t>Early-warning baseline</w:t>
            </w:r>
          </w:p>
        </w:tc>
        <w:tc>
          <w:tcPr>
            <w:tcW w:type="dxa" w:w="2160"/>
          </w:tcPr>
          <w:p>
            <w:r>
              <w:rPr>
                <w:sz w:val="18"/>
              </w:rPr>
              <w:t>Yes</w:t>
            </w:r>
          </w:p>
        </w:tc>
        <w:tc>
          <w:tcPr>
            <w:tcW w:type="dxa" w:w="2160"/>
          </w:tcPr>
          <w:p>
            <w:r>
              <w:rPr>
                <w:sz w:val="18"/>
              </w:rPr>
              <w:t>Yes</w:t>
            </w:r>
          </w:p>
        </w:tc>
        <w:tc>
          <w:tcPr>
            <w:tcW w:type="dxa" w:w="2160"/>
          </w:tcPr>
          <w:p>
            <w:r>
              <w:rPr>
                <w:sz w:val="18"/>
              </w:rPr>
              <w:t>Pilot: AUROC with proxy labels</w:t>
            </w:r>
          </w:p>
        </w:tc>
      </w:tr>
      <w:tr>
        <w:tc>
          <w:tcPr>
            <w:tcW w:type="dxa" w:w="2160"/>
          </w:tcPr>
          <w:p>
            <w:r>
              <w:rPr>
                <w:sz w:val="18"/>
              </w:rPr>
              <w:t>Verification gate (rule-based form)</w:t>
            </w:r>
          </w:p>
        </w:tc>
        <w:tc>
          <w:tcPr>
            <w:tcW w:type="dxa" w:w="2160"/>
          </w:tcPr>
          <w:p>
            <w:r>
              <w:rPr>
                <w:sz w:val="18"/>
              </w:rPr>
              <w:t>Yes</w:t>
            </w:r>
          </w:p>
        </w:tc>
        <w:tc>
          <w:tcPr>
            <w:tcW w:type="dxa" w:w="2160"/>
          </w:tcPr>
          <w:p>
            <w:r>
              <w:rPr>
                <w:sz w:val="18"/>
              </w:rPr>
              <w:t>Yes</w:t>
            </w:r>
          </w:p>
        </w:tc>
        <w:tc>
          <w:tcPr>
            <w:tcW w:type="dxa" w:w="2160"/>
          </w:tcPr>
          <w:p>
            <w:r>
              <w:rPr>
                <w:sz w:val="18"/>
              </w:rPr>
              <w:t>Pilot: operating curve</w:t>
            </w:r>
          </w:p>
        </w:tc>
      </w:tr>
      <w:tr>
        <w:tc>
          <w:tcPr>
            <w:tcW w:type="dxa" w:w="2160"/>
          </w:tcPr>
          <w:p>
            <w:r>
              <w:rPr>
                <w:sz w:val="18"/>
              </w:rPr>
              <w:t>Audit trail with measured resolvability</w:t>
            </w:r>
          </w:p>
        </w:tc>
        <w:tc>
          <w:tcPr>
            <w:tcW w:type="dxa" w:w="2160"/>
          </w:tcPr>
          <w:p>
            <w:r>
              <w:rPr>
                <w:sz w:val="18"/>
              </w:rPr>
              <w:t>Yes</w:t>
            </w:r>
          </w:p>
        </w:tc>
        <w:tc>
          <w:tcPr>
            <w:tcW w:type="dxa" w:w="2160"/>
          </w:tcPr>
          <w:p>
            <w:r>
              <w:rPr>
                <w:sz w:val="18"/>
              </w:rPr>
              <w:t>Yes</w:t>
            </w:r>
          </w:p>
        </w:tc>
        <w:tc>
          <w:tcPr>
            <w:tcW w:type="dxa" w:w="2160"/>
          </w:tcPr>
          <w:p>
            <w:r>
              <w:rPr>
                <w:sz w:val="18"/>
              </w:rPr>
              <w:t>Pilot: 183/183 references</w:t>
            </w:r>
          </w:p>
        </w:tc>
      </w:tr>
      <w:tr>
        <w:tc>
          <w:tcPr>
            <w:tcW w:type="dxa" w:w="2160"/>
          </w:tcPr>
          <w:p>
            <w:r>
              <w:rPr>
                <w:sz w:val="18"/>
              </w:rPr>
              <w:t>Seven LLM agents and coordinator</w:t>
            </w:r>
          </w:p>
        </w:tc>
        <w:tc>
          <w:tcPr>
            <w:tcW w:type="dxa" w:w="2160"/>
          </w:tcPr>
          <w:p>
            <w:r>
              <w:rPr>
                <w:sz w:val="18"/>
              </w:rPr>
              <w:t>Yes</w:t>
            </w:r>
          </w:p>
        </w:tc>
        <w:tc>
          <w:tcPr>
            <w:tcW w:type="dxa" w:w="2160"/>
          </w:tcPr>
          <w:p>
            <w:r>
              <w:rPr>
                <w:sz w:val="18"/>
              </w:rPr>
              <w:t>Scaffold only</w:t>
            </w:r>
          </w:p>
        </w:tc>
        <w:tc>
          <w:tcPr>
            <w:tcW w:type="dxa" w:w="2160"/>
          </w:tcPr>
          <w:p>
            <w:r>
              <w:rPr>
                <w:sz w:val="18"/>
              </w:rPr>
              <w:t>Planned (Section 3.6)</w:t>
            </w:r>
          </w:p>
        </w:tc>
      </w:tr>
      <w:tr>
        <w:tc>
          <w:tcPr>
            <w:tcW w:type="dxa" w:w="2160"/>
          </w:tcPr>
          <w:p>
            <w:r>
              <w:rPr>
                <w:sz w:val="18"/>
              </w:rPr>
              <w:t>Guideline and literature RAG</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Calibrated confidence estimation</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Human-in-the-loop review protocol</w:t>
            </w:r>
          </w:p>
        </w:tc>
        <w:tc>
          <w:tcPr>
            <w:tcW w:type="dxa" w:w="2160"/>
          </w:tcPr>
          <w:p>
            <w:r>
              <w:rPr>
                <w:sz w:val="18"/>
              </w:rPr>
              <w:t>Yes</w:t>
            </w:r>
          </w:p>
        </w:tc>
        <w:tc>
          <w:tcPr>
            <w:tcW w:type="dxa" w:w="2160"/>
          </w:tcPr>
          <w:p>
            <w:r>
              <w:rPr>
                <w:sz w:val="18"/>
              </w:rPr>
              <w:t>UI prototype</w:t>
            </w:r>
          </w:p>
        </w:tc>
        <w:tc>
          <w:tcPr>
            <w:tcW w:type="dxa" w:w="2160"/>
          </w:tcPr>
          <w:p>
            <w:r>
              <w:rPr>
                <w:sz w:val="18"/>
              </w:rPr>
              <w:t>Planned (Section 3.6)</w:t>
            </w:r>
          </w:p>
        </w:tc>
      </w:tr>
      <w:tr>
        <w:tc>
          <w:tcPr>
            <w:tcW w:type="dxa" w:w="2160"/>
          </w:tcPr>
          <w:p>
            <w:r>
              <w:rPr>
                <w:sz w:val="18"/>
              </w:rPr>
              <w:t>Longitudinal evaluation on full MIMIC-IV</w:t>
            </w:r>
          </w:p>
        </w:tc>
        <w:tc>
          <w:tcPr>
            <w:tcW w:type="dxa" w:w="2160"/>
          </w:tcPr>
          <w:p>
            <w:r>
              <w:rPr>
                <w:sz w:val="18"/>
              </w:rPr>
              <w:t>Yes</w:t>
            </w:r>
          </w:p>
        </w:tc>
        <w:tc>
          <w:tcPr>
            <w:tcW w:type="dxa" w:w="2160"/>
          </w:tcPr>
          <w:p>
            <w:r>
              <w:rPr>
                <w:sz w:val="18"/>
              </w:rPr>
              <w:t>No</w:t>
            </w:r>
          </w:p>
        </w:tc>
        <w:tc>
          <w:tcPr>
            <w:tcW w:type="dxa" w:w="2160"/>
          </w:tcPr>
          <w:p>
            <w:r>
              <w:rPr>
                <w:sz w:val="18"/>
              </w:rPr>
              <w:t>Planned (Section 3.6)</w:t>
            </w:r>
          </w:p>
        </w:tc>
      </w:tr>
    </w:tbl>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This subsection describes the designed orchestration; as Table 1 records, the seven agents exist as an implementation scaffold, no LLM-based reasoning ran in the pilot of Section 5, and every present-tense statement here specifies intended behavior rather than demonstrated behavior. In the design, a coordinator agent delegates to seven specialized agents (monitoring, planner, diagnosis, risk prediction, treatment recommendation, explanation, and verification), each of which uses ReAct-style reasoning internally [6]. Coordination follows a hub-and-spoke topology. All inter-agent messages pass through the coordinator, a choice motivated by adversarial evidence that multi-agent topology governs how far a compromised agent's influence spreads, with open shared-communication designs proving most vulnerable to contamination [51]; routing every message through one auditable point also serves the audit-trail requirement of Section 3.4. Tool access uses MCP-style standardized interfaces and inter-agent exchange follows A2A-style conventions [30], which keeps the prototype composable with hospital tooling. External tools follow the validated-tool principle of RiskAgent and TxAgent: calculations and lookups are delegated to auditable components rather than generated [1], [2].</w:t>
      </w:r>
    </w:p>
    <w:p>
      <w:pPr>
        <w:pStyle w:val="Heading2"/>
      </w:pPr>
      <w:r>
        <w:t>3.4 Verification Gate and Audit Trail</w:t>
      </w:r>
    </w:p>
    <w:p>
      <w:pPr>
        <w:jc w:val="both"/>
      </w:pPr>
      <w:r>
        <w:t>The verification agent is the framework's distinguishing safety component. Every candidate recommendation is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accompanies the recommendation to the clinician [17], [53]. Recommendations failing any check are blocked and returned with the failure reason. Every check writes to an evidence-linked audit trail. Whether that trail accurately reflects the evidence the system actually used is treated as a measured property rather than an assumed one, using entailment-based spot audits [54]. The confidence value attached to each recommendation is calibrated post hoc on a held-out calibration split (temperature scaling, with isotonic regression as a fallback for non-monotone miscalibration) and its quality is evaluated by expected calibration error and reliability diagrams [53]. This combination is designed to align with emerging regulatory expectations for unconfined non-deterministic clinical software: guardrails, moderation, retrieval grounding, and inspectability [18], [19].</w:t>
      </w:r>
    </w:p>
    <w:p>
      <w:pPr>
        <w:pStyle w:val="Heading2"/>
      </w:pPr>
      <w:r>
        <w:t>3.5 Human-in-the-Loop Protocol</w:t>
      </w:r>
    </w:p>
    <w:p>
      <w:pPr>
        <w:jc w:val="both"/>
      </w:pPr>
      <w:r>
        <w:t>Clinicians receive only verified recommendations, each with linked evidence, a calibrated confidence estimate, and an explanation. Review is structured rather than free-form: approve, modify, or reject, with reasons captured into memory. The choice reflects meta-analytic evidence that unstructured clinician–LLM collaboration produces gains too uncertain to build on [20]. Rejections and modifications feed the monitoring loop as supervision signals.</w:t>
      </w:r>
    </w:p>
    <w:p>
      <w:pPr>
        <w:pStyle w:val="Heading2"/>
      </w:pPr>
      <w:r>
        <w:t>3.6 Planned Evaluation Design</w:t>
      </w:r>
    </w:p>
    <w:p>
      <w:pPr>
        <w:jc w:val="both"/>
      </w:pPr>
      <w:r>
        <w:t>This subsection specifies the full evaluation of the LLM-based framework; it is designed but has not yet been executed. The only completed empirical work in this paper is the non-LLM pilot reported in Section 5, and no result below should be read as obtained. The planned full evaluation uses MIMIC-IV [13] cohorts (sepsis and deterioration use cases; Sepsis-3 labels [55], [56]) and scores the system on longitudinal tracking, not one-shot prediction. Clinical ground truth is defined concretely per use case: in-hospital mortality from discharge disposition, sepsis onset time under the Sepsis-3 criteria applied to the recorded observations [55], and, for treatment recommendations, concordance with the interventions documented in the record, adjudicated by clinician review where the record is ambiguous. The primary metrics are defined as follows. (1) Decision quality: discrimination (AUROC) and calibration of predicted risk against these labels, compared with revisited MIMIC-IV baselines [22]. (2) Grounding rate: of the atomic claims extracted from a recommendation, the fraction entailed by at least one retrieved patient-evidence item, following RAG-evaluation practice [54]. (3) Verification-gate effectiveness: among recommendations independently judged ungrounded, the fraction the gate blocks (catch rate) at a fixed clinician-review budget. (4) Audit-trail faithfulness: the fraction of logged evidence references that both re-resolve to the source record and match the value the system actually used, under human spot audit. (5) Recommendation quality: rubric-graded scores in the style of physician-rubric benchmarks [12], [21]. Ablations remove patient-timeline retrieval, the verification gate, and longitudinal memory in turn, isolating each claimed contribution. Statistical comparisons follow standard practice for correlated classifiers [57], [58] with false-discovery control [59].</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and longitudinal grounding itself is emerging in trajectory and guideline-alignment systems [44], [45], [47]. We do not claim any of these components. What we claim is their integration, and the instrumentation of that integration: timestamp-aware retrieval from the patient's own timeline coupled to recommendation-level verification, an audit trail whose faithfulness is measured rather than assumed, and evaluation that scores longitudinal tracking on de-identified real-world ICU records. Within the literature reviewed for this study, no system combines these, and none measures them together.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every recommendation carries a calibrated confidence estimate; adversarial findings that open shared communication channels are the most vulnerable multi-agent design [51]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Five limitations bound the claims. First, empirical evidence so far is a pilot on the 100-patient MIMIC-IV demo without the LLM loop (Section 5); the full retrospective evaluation is designed but not executed, and no claim of prospective clinical benefit is made. Second, the gate's sensitivity floor is a patient-safety concern in its own right: at its strictest informative threshold the pilot gate blocked three of seven true alerts, and a deployed system that suppressed half of the alerts preceding death would be clinically unacceptable. We treat the evidence window and signal threshold as safety parameters that clinical governance, not engineering, must set, and the full evaluation will report gate operating points with sensitivity alongside false-alert suppression so that this trade-off is chosen deliberately rather than inherited. Third, MIMIC-IV's critical-care population limits generalization to other care settings [13]. Fourth, verification quality is bounded by the entailment methods used to measure it [54]; a verification gate can only be as trustworthy as its own evaluation, which is why trail faithfulness is spot-audited by humans as well. Fifth, LLM API costs and latency constrain the monitoring cadence the prototype can sustain, a practical ceiling the agent-evaluation literature identifies as generally under-reported [49].</w:t>
      </w:r>
    </w:p>
    <w:p>
      <w:pPr>
        <w:pStyle w:val="Heading2"/>
      </w:pPr>
      <w:r>
        <w:t>4.5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[50].</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We define a *true alert* as an alert raised for a stay whose hospital admission ended in in-hospital death (7 alerts) and a *false alert* as one raised for a patient discharged alive (21 alerts). In-hospital mortality is a proxy endpoint chosen because it is unambiguous in the demo tables, not a claim that every deteriorating patient dies; clinically meaningful alerts often precede non-fatal interventions, which is why the planned full evaluation replaces this proxy with Sepsis-3 onset and intervention concordance (Section 3.6). Leakage was controlled at three points: features were computed only from events time-stamped within the first 24 h of the ICU stay, while the mortality label derives from the discharge disposition recorded at the end of the admission; prior admissions entered the timeline only if discharged strictly before the current admission; and imputation and standardization were fit inside each cross-validation training fold via a pipeline, never on the full cohort.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The baseline reached a cross-validated AUROC of 0.641 (95% bootstrap CI 0.478–0.792). Because the interval crosses 0.5, the baseline demonstrates no statistically significant discrimination at this sample size, and we draw no decision-support performance conclusion from it whatsoever. Its only function in the pilot is to generate a realistic, imperfect alert stream against which the gate's behavior can be observed.</w:t>
      </w:r>
    </w:p>
    <w:p>
      <w:pPr>
        <w:jc w:val="both"/>
      </w:pPr>
      <w:r>
        <w:t>The gate produced the pilot's most instructive result.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the metric exists precisely because it becomes non-trivial once an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jc w:val="both"/>
      </w:pPr>
      <w:r>
        <w:t>The relation between the pilot gate and the framework's verification agent deserves explicit statement. The pilot gate is a deliberately simple heuristic instantiation of the verification interface: it consumes the same retrieved-evidence set, emits the same pass-or-block decision, and logs the same evidence references that the LLM-based agent of Section 3.4 will. What changes in the full system is the decision rule, from counting distinct deterioration signals to claim-level entailment against the retrieved evidence. Whether the preferential suppression of false alerts observed here transfers to the entailment-based form is therefore an explicit hypothesis for the full evaluation, not an assumption this pilot licenses.</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requirement that the benchmark, safety, and regulatory literature cited throughout names but does not yet report measured together in one system.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We therefore consider measurable verification and traceability essential properties for evaluating clinical agentic AI.</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K\"uttler,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Proceedings of the First Workshop on Patient-Oriented Language Processing (CL4Health) @ LREC-COLING 2024, 2024.</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Information Fusion, vol. 126, pp. 103599, 2026, doi: 10.1016/j.inffus.2025.103599.</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D. Li, J. Liang, W. Li, et al., "CliCARE: Grounding Large Language Models in Clinical Guidelines for Decision Support over Longitudinal Cancer Electronic Health Records," Proceedings of the AAAI Conference on Artificial Intelligence, vol. 40, no. 37, pp. 31554--31562, 2026, doi: 10.1609/aaai.v40i37.40421.</w:t>
      </w:r>
    </w:p>
    <w:p>
      <w:pPr>
        <w:spacing w:after="80"/>
      </w:pPr>
      <w:r>
        <w:rPr>
          <w:sz w:val="20"/>
        </w:rPr>
        <w:t>[45] S. Zeng, Y. Fu, S. Zhou, et al., "Traj-CoA: Patient Trajectory Modeling via Chain-of-Agents for Lung Cancer Risk Prediction," arXiv preprint arXiv:2510.10454, 2025, doi: 10.48550/arXiv.2510.10454.</w:t>
      </w:r>
    </w:p>
    <w:p>
      <w:pPr>
        <w:spacing w:after="80"/>
      </w:pPr>
      <w:r>
        <w:rPr>
          <w:sz w:val="20"/>
        </w:rPr>
        <w:t>[46] S. Zeng, Y. W. Kim, W. Lau, et al., "TrajOnco: A Multi-Agent Framework for Temporal Reasoning over Longitudinal EHR for Multi-Cancer Early Detection," arXiv preprint arXiv:2604.10386, 2026, doi: 10.48550/arXiv.2604.10386.</w:t>
      </w:r>
    </w:p>
    <w:p>
      <w:pPr>
        <w:spacing w:after="80"/>
      </w:pPr>
      <w:r>
        <w:rPr>
          <w:sz w:val="20"/>
        </w:rPr>
        <w:t>[47] H. Cui, A. Unell, B. Chen, et al., "TIMER: Temporal Instruction Modeling and Evaluation for Longitudinal Clinical Records," npj Digital Medicine, vol. 8, pp. 577, 2025, doi: 10.1038/s41746-025-01965-9.</w:t>
      </w:r>
    </w:p>
    <w:p>
      <w:pPr>
        <w:spacing w:after="80"/>
      </w:pPr>
      <w:r>
        <w:rPr>
          <w:sz w:val="20"/>
        </w:rPr>
        <w:t>[48] S. Liang, L. Zhang, H. Zhu, et al., "RGAR: Recurrence Generation-augmented Retrieval for Factual-aware Medical Question Answering," Findings of the Association for Computational Linguistics: EMNLP 2025, pp. 4006--4033, 2025, doi: 10.18653/v1/2025.findings-emnlp.214.</w:t>
      </w:r>
    </w:p>
    <w:p>
      <w:pPr>
        <w:spacing w:after="80"/>
      </w:pPr>
      <w:r>
        <w:rPr>
          <w:sz w:val="20"/>
        </w:rPr>
        <w:t>[49] A. Yehudai, L. Eden, A. Li, et al., "Survey on Evaluation of LLM-based Agents," Findings of the Association for Computational Linguistics: ACL 2026, pp. 26690--26714, 2026, doi: 10.18653/v1/2026.findings-acl.1330.</w:t>
      </w:r>
    </w:p>
    <w:p>
      <w:pPr>
        <w:spacing w:after="80"/>
      </w:pPr>
      <w:r>
        <w:rPr>
          <w:sz w:val="20"/>
        </w:rPr>
        <w:t>[50]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[51] K. Chen, T. Zhen, H. Wang, et al., "MedSentry: Understanding and Mitigating Safety Risks in Medical LLM Multi-Agent Systems," arXiv preprint arXiv:2505.20824, 2025, doi: 10.48550/arXiv.2505.20824.</w:t>
      </w:r>
    </w:p>
    <w:p>
      <w:pPr>
        <w:spacing w:after="80"/>
      </w:pPr>
      <w:r>
        <w:rPr>
          <w:sz w:val="20"/>
        </w:rPr>
        <w:t>[52] A. R. Hevner, S. T. March, J. Park, S. Ram, "Design Science in Information Systems Research," MIS Quarterly, vol. 28, no. 1, pp. 75--105, 2004, doi: 10.2307/25148625.</w:t>
      </w:r>
    </w:p>
    <w:p>
      <w:pPr>
        <w:spacing w:after="80"/>
      </w:pPr>
      <w:r>
        <w:rPr>
          <w:sz w:val="20"/>
        </w:rPr>
        <w:t>[53] C. Guo, G. Pleiss, Y. Sun, K. Q. Weinberger, "On Calibration of Modern Neural Networks," Proceedings of the 34th International Conference on Machine Learning (ICML), 2017.</w:t>
      </w:r>
    </w:p>
    <w:p>
      <w:pPr>
        <w:spacing w:after="80"/>
      </w:pPr>
      <w:r>
        <w:rPr>
          <w:sz w:val="20"/>
        </w:rPr>
        <w:t>[54]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[55]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[56] , "The SOFA (Sepsis-related Organ Failure Assessment) score to describe organ dysfunction/failure," Intensive Care Medicine, vol. 22, no. 7, pp. 707--710, 1996, doi: 10.1007/BF01709751.</w:t>
      </w:r>
    </w:p>
    <w:p>
      <w:pPr>
        <w:spacing w:after="80"/>
      </w:pPr>
      <w:r>
        <w:rPr>
          <w:sz w:val="20"/>
        </w:rPr>
        <w:t>[57] E. R. DeLong, D. M. DeLong, D. L. Clarke-Pearson, "Comparing the Areas Under Two or More Correlated Receiver Operating Characteristic Curves: A Nonparametric Approach," Biometrics, vol. 44, no. 3, pp. 837--845, 1988, doi: 10.2307/2531595.</w:t>
      </w:r>
    </w:p>
    <w:p>
      <w:pPr>
        <w:spacing w:after="80"/>
      </w:pPr>
      <w:r>
        <w:rPr>
          <w:sz w:val="20"/>
        </w:rPr>
        <w:t>[58] T. G. Dietterich, "Approximate Statistical Tests for Comparing Supervised Classification Learning Algorithms," Neural Computation, vol. 10, no. 7, pp. 1895--1923, 1998, doi: 10.1162/089976698300017197.</w:t>
      </w:r>
    </w:p>
    <w:p>
      <w:pPr>
        <w:spacing w:after="80"/>
      </w:pPr>
      <w:r>
        <w:rPr>
          <w:sz w:val="20"/>
        </w:rPr>
        <w:t>[59] Y. Benjamini, Y. Hochberg, "Controlling the False Discovery Rate: A Practical and Powerful Approach to Multiple Testing," Journal of the Royal Statistical Society: Series B (Methodological), vol. 57, no. 1, pp. 289--300, 1995, doi: 10.1111/j.2517-6161.1995.tb02031.x.</w:t>
      </w:r>
    </w:p>
    <w:p>
      <w:r>
        <w:rPr>
          <w:i/>
          <w:sz w:val="18"/>
        </w:rPr>
        <w:t>Research prototype disclosure: the system described is an academic proof-of-concept evaluated on de-identified and synthetic data only; it is not a medical device and is not intended for clinical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