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Customer.io + ClickSend SMS Campaign Integration</w:t>
      </w:r>
    </w:p>
    <w:p>
      <w:pPr>
        <w:pStyle w:val="Heading2"/>
      </w:pPr>
      <w:r>
        <w:t>Goal</w:t>
      </w:r>
    </w:p>
    <w:p>
      <w:r>
        <w:t xml:space="preserve">Send high-volume SMS campaigns through Customer.io using ClickSend as the SMS gateway, using </w:t>
      </w:r>
      <w:r>
        <w:rPr>
          <w:b/>
        </w:rPr>
        <w:t>4 dedicated phone numbers</w:t>
      </w:r>
      <w:r>
        <w:t xml:space="preserve">, each capped at </w:t>
      </w:r>
      <w:r>
        <w:rPr>
          <w:b/>
        </w:rPr>
        <w:t>10,000 SMS/day</w:t>
      </w:r>
      <w:r>
        <w:t xml:space="preserve">, for a combined capacity of </w:t>
      </w:r>
      <w:r>
        <w:rPr>
          <w:b/>
        </w:rPr>
        <w:t>~40,000 SMS/day</w:t>
      </w:r>
      <w:r>
        <w:t>.</w:t>
      </w:r>
    </w:p>
    <w:p>
      <w:pPr>
        <w:pStyle w:val="Heading2"/>
      </w:pPr>
      <w:r>
        <w:t>1. Why a middleware layer is needed</w:t>
      </w:r>
    </w:p>
    <w:p>
      <w:r>
        <w:t>Customer.io does not have a native, certified ClickSend integration (its built-in SMS support targets providers like Twilio/Vonage). The standard pattern for a non-native provider is:</w:t>
      </w:r>
    </w:p>
    <w:p>
      <w:pPr>
        <w:ind w:left="432"/>
        <w:shd w:fill="F2F2F2"/>
      </w:pPr>
      <w:r>
        <w:rPr>
          <w:rFonts w:ascii="Consolas" w:hAnsi="Consolas"/>
          <w:sz w:val="19"/>
        </w:rPr>
        <w:t>Customer.io Campaign/Broadcast</w:t>
      </w:r>
      <w:r>
        <w:rPr>
          <w:rFonts w:ascii="Consolas" w:hAnsi="Consolas"/>
          <w:sz w:val="19"/>
        </w:rPr>
        <w:br/>
        <w:t xml:space="preserve">        │  (Webhook action)</w:t>
      </w:r>
      <w:r>
        <w:rPr>
          <w:rFonts w:ascii="Consolas" w:hAnsi="Consolas"/>
          <w:sz w:val="19"/>
        </w:rPr>
        <w:br/>
        <w:t xml:space="preserve">        ▼</w:t>
      </w:r>
      <w:r>
        <w:rPr>
          <w:rFonts w:ascii="Consolas" w:hAnsi="Consolas"/>
          <w:sz w:val="19"/>
        </w:rPr>
        <w:br/>
        <w:t>Middleware service (small serverless function / internal API)</w:t>
      </w:r>
      <w:r>
        <w:rPr>
          <w:rFonts w:ascii="Consolas" w:hAnsi="Consolas"/>
          <w:sz w:val="19"/>
        </w:rPr>
        <w:br/>
        <w:t xml:space="preserve">        │  (ClickSend Send SMS API)</w:t>
      </w:r>
      <w:r>
        <w:rPr>
          <w:rFonts w:ascii="Consolas" w:hAnsi="Consolas"/>
          <w:sz w:val="19"/>
        </w:rPr>
        <w:br/>
        <w:t xml:space="preserve">        ▼</w:t>
      </w:r>
      <w:r>
        <w:rPr>
          <w:rFonts w:ascii="Consolas" w:hAnsi="Consolas"/>
          <w:sz w:val="19"/>
        </w:rPr>
        <w:br/>
        <w:t>ClickSend  ──►  Carrier  ──►  Customer's phone</w:t>
      </w:r>
      <w:r>
        <w:rPr>
          <w:rFonts w:ascii="Consolas" w:hAnsi="Consolas"/>
          <w:sz w:val="19"/>
        </w:rPr>
        <w:br/>
        <w:t xml:space="preserve">        │</w:t>
      </w:r>
      <w:r>
        <w:rPr>
          <w:rFonts w:ascii="Consolas" w:hAnsi="Consolas"/>
          <w:sz w:val="19"/>
        </w:rPr>
        <w:br/>
        <w:t xml:space="preserve">        └── Inbound webhook (delivery receipts + STOP replies) ──► Middleware ──► Customer.io (update attributes)</w:t>
      </w:r>
    </w:p>
    <w:p>
      <w:r>
        <w:t>The middleware is the piece that makes rotation, daily caps, and cross-number unsubscribes work — ClickSend and Customer.io don't coordinate on any of that by themselves.</w:t>
      </w:r>
    </w:p>
    <w:p>
      <w:r>
        <w:rPr>
          <w:b/>
        </w:rPr>
        <w:t>Components:</w:t>
      </w:r>
    </w:p>
    <w:p>
      <w:pPr>
        <w:pStyle w:val="ListBullet"/>
      </w:pPr>
      <w:r>
        <w:rPr>
          <w:b/>
        </w:rPr>
        <w:t>Customer.io</w:t>
      </w:r>
      <w:r>
        <w:t>: builds/segments the audience, triggers the send via a Webhook action in the campaign/broadcast, receives delivery/opt-out status back as customer attributes and events for reporting.</w:t>
      </w:r>
    </w:p>
    <w:p>
      <w:pPr>
        <w:pStyle w:val="ListBullet"/>
      </w:pPr>
      <w:r>
        <w:rPr>
          <w:b/>
        </w:rPr>
        <w:t>Middleware</w:t>
      </w:r>
      <w:r>
        <w:t xml:space="preserve"> (e.g., AWS Lambda, Cloudflare Worker, or a small internal service): owns rotation logic, daily send counters, and the master suppression list.</w:t>
      </w:r>
    </w:p>
    <w:p>
      <w:pPr>
        <w:pStyle w:val="ListBullet"/>
      </w:pPr>
      <w:r>
        <w:rPr>
          <w:b/>
        </w:rPr>
        <w:t>ClickSend</w:t>
      </w:r>
      <w:r>
        <w:t>: owns the 4 dedicated numbers, sends the SMS, and posts delivery receipts + inbound replies (STOP, etc.) to a webhook.</w:t>
      </w:r>
    </w:p>
    <w:p>
      <w:pPr>
        <w:pStyle w:val="Heading2"/>
      </w:pPr>
      <w:r>
        <w:t>2. Number pool &amp; volume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Daily cap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Number 1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Rotation pool</w:t>
            </w:r>
          </w:p>
        </w:tc>
      </w:tr>
      <w:tr>
        <w:tc>
          <w:tcPr>
            <w:tcW w:type="dxa" w:w="2880"/>
          </w:tcPr>
          <w:p>
            <w:r>
              <w:t>Number 2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Rotation pool</w:t>
            </w:r>
          </w:p>
        </w:tc>
      </w:tr>
      <w:tr>
        <w:tc>
          <w:tcPr>
            <w:tcW w:type="dxa" w:w="2880"/>
          </w:tcPr>
          <w:p>
            <w:r>
              <w:t>Number 3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Rotation pool</w:t>
            </w:r>
          </w:p>
        </w:tc>
      </w:tr>
      <w:tr>
        <w:tc>
          <w:tcPr>
            <w:tcW w:type="dxa" w:w="2880"/>
          </w:tcPr>
          <w:p>
            <w:r>
              <w:t>Number 4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Rotation pool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40,000/day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>Open item to confirm with ClickSend before committing to this plan:</w:t>
      </w:r>
      <w:r>
        <w:t xml:space="preserve"> sustained throughput of 10,000/day on a single number depends on the number type and (for the US) 10DLC brand/campaign trust score. Standard 10DLC long codes at lower trust tiers may be throttled by carriers below this. Before launch, confirm with ClickSend/your carrier registration that each number's registered 10DLC campaign supports 10,000 msgs/day, or use toll-free numbers (higher default throughput, faster to provision) instead of long codes.</w:t>
      </w:r>
    </w:p>
    <w:p>
      <w:pPr>
        <w:pStyle w:val="Heading2"/>
      </w:pPr>
      <w:r>
        <w:t>3. Number rotation</w:t>
      </w:r>
    </w:p>
    <w:p>
      <w:r>
        <w:t>Rotation is handled in the middleware, not in ClickSend or Customer.io (neither has a "rotate sender number" feature natively).</w:t>
      </w:r>
    </w:p>
    <w:p>
      <w:r>
        <w:rPr>
          <w:b/>
        </w:rPr>
        <w:t>Approach: deterministic (sticky) hashing, not pure round-robin.</w:t>
      </w:r>
    </w:p>
    <w:p>
      <w:pPr>
        <w:pStyle w:val="ListBullet"/>
      </w:pPr>
      <w:r>
        <w:t xml:space="preserve">Compute </w:t>
      </w:r>
      <w:r>
        <w:rPr>
          <w:rFonts w:ascii="Consolas" w:hAnsi="Consolas"/>
          <w:sz w:val="20"/>
        </w:rPr>
        <w:t>bucket = hash(contact_id) % 4</w:t>
      </w:r>
      <w:r>
        <w:t xml:space="preserve"> and always send that contact's messages from the same number.</w:t>
      </w:r>
    </w:p>
    <w:p>
      <w:pPr>
        <w:pStyle w:val="ListBullet"/>
      </w:pPr>
      <w:r>
        <w:rPr>
          <w:b/>
        </w:rPr>
        <w:t>Why sticky, not round-robin:</w:t>
      </w:r>
      <w:r>
        <w:t xml:space="preserve"> if a customer's replies (including STOP) and threading need to stay on one number, and it keeps a given customer's message history consistent from their point of view. Round-robin would cause the same customer to receive texts from a different number every time, which looks spammy and breaks reply-based flows (e.g., "reply YES").</w:t>
      </w:r>
    </w:p>
    <w:p>
      <w:r>
        <w:rPr>
          <w:b/>
        </w:rPr>
        <w:t>Daily cap enforcement:</w:t>
      </w:r>
    </w:p>
    <w:p>
      <w:pPr>
        <w:pStyle w:val="ListBullet"/>
      </w:pPr>
      <w:r>
        <w:t>Middleware keeps a per-number send counter (e.g., in Redis/DynamoDB), reset at local midnight.</w:t>
      </w:r>
    </w:p>
    <w:p>
      <w:pPr>
        <w:pStyle w:val="ListBullet"/>
      </w:pPr>
      <w:r>
        <w:t>Before sending, check the assigned number's counter:</w:t>
      </w:r>
    </w:p>
    <w:p>
      <w:pPr>
        <w:pStyle w:val="ListBullet2"/>
      </w:pPr>
      <w:r>
        <w:t>Under cap → send normally.</w:t>
      </w:r>
    </w:p>
    <w:p>
      <w:pPr>
        <w:pStyle w:val="ListBullet2"/>
      </w:pPr>
      <w:r>
        <w:t>At cap → fail over to the next-least-loaded number under cap (log this as an overflow event so volume distribution can be reviewed).</w:t>
      </w:r>
    </w:p>
    <w:p>
      <w:pPr>
        <w:pStyle w:val="ListBullet"/>
      </w:pPr>
      <w:r>
        <w:t>If a number is flagged/paused (e.g., carrier filtering, high complaint rate), remove it from the rotation pool until resolved and rebalance the hash across the remaining numbers.</w:t>
      </w:r>
    </w:p>
    <w:p>
      <w:pPr>
        <w:pStyle w:val="Heading2"/>
      </w:pPr>
      <w:r>
        <w:t>4. Unsubscribe / opt-out handling (must be centralized, not per-number)</w:t>
      </w:r>
    </w:p>
    <w:p>
      <w:r>
        <w:t xml:space="preserve">This is the part that needs the most care. </w:t>
      </w:r>
      <w:r>
        <w:rPr>
          <w:b/>
        </w:rPr>
        <w:t>ClickSend's built-in opt-out handling is scoped to the list/number a STOP was sent to — it does not automatically apply across your other 3 numbers or other Customer.io segments.</w:t>
      </w:r>
      <w:r>
        <w:t xml:space="preserve"> If you rely only on ClickSend's default behavior, a contact could STOP on Number 1 and still receive messages from Numbers 2–4.</w:t>
      </w:r>
    </w:p>
    <w:p>
      <w:r>
        <w:rPr>
          <w:b/>
        </w:rPr>
        <w:t>Design: single source of truth for opt-out, checked before every send, regardless of which number is used.</w:t>
      </w:r>
    </w:p>
    <w:p>
      <w:pPr>
        <w:pStyle w:val="ListNumber"/>
      </w:pPr>
      <w:r>
        <w:t xml:space="preserve">Configure the same STOP/UNSUBSCRIBE/END keyword auto-reply on </w:t>
      </w:r>
      <w:r>
        <w:rPr>
          <w:b/>
        </w:rPr>
        <w:t>all 4 numbers</w:t>
      </w:r>
      <w:r>
        <w:t xml:space="preserve"> in ClickSend, and point all 4 numbers' inbound webhook at the same middleware endpoint.</w:t>
      </w:r>
    </w:p>
    <w:p>
      <w:pPr>
        <w:pStyle w:val="ListNumber"/>
      </w:pPr>
      <w:r>
        <w:t>When the middleware receives an inbound STOP (from any of the 4 numbers):</w:t>
      </w:r>
    </w:p>
    <w:p>
      <w:pPr>
        <w:pStyle w:val="ListBullet2"/>
      </w:pPr>
      <w:r>
        <w:t>Look up the contact by phone number.</w:t>
      </w:r>
    </w:p>
    <w:p>
      <w:pPr>
        <w:pStyle w:val="ListBullet2"/>
      </w:pPr>
      <w:r>
        <w:t xml:space="preserve">Set a single suppression flag on the Customer.io profile, e.g. </w:t>
      </w:r>
      <w:r>
        <w:rPr>
          <w:rFonts w:ascii="Consolas" w:hAnsi="Consolas"/>
          <w:sz w:val="20"/>
        </w:rPr>
        <w:t>sms_opted_out = true</w:t>
      </w:r>
      <w:r>
        <w:t xml:space="preserve"> (via the Customer.io API), and remove them from any active SMS segments/campaigns.</w:t>
      </w:r>
    </w:p>
    <w:p>
      <w:pPr>
        <w:pStyle w:val="ListBullet2"/>
      </w:pPr>
      <w:r>
        <w:t>Optionally also push the number into ClickSend's account-level blocklist so even out-of-band sends (e.g., someone manually sending via the ClickSend dashboard) are blocked.</w:t>
      </w:r>
    </w:p>
    <w:p>
      <w:pPr>
        <w:pStyle w:val="ListNumber"/>
      </w:pPr>
      <w:r>
        <w:t xml:space="preserve">Before every send (regardless of which of the 4 numbers is selected by rotation), the middleware checks </w:t>
      </w:r>
      <w:r>
        <w:rPr>
          <w:rFonts w:ascii="Consolas" w:hAnsi="Consolas"/>
          <w:sz w:val="20"/>
        </w:rPr>
        <w:t>sms_opted_out</w:t>
      </w:r>
      <w:r>
        <w:t xml:space="preserve"> on the Customer.io profile first. If true, the send is skipped and logged — this is what makes the opt-out effectively global across all 4 numbers.</w:t>
      </w:r>
    </w:p>
    <w:p>
      <w:pPr>
        <w:pStyle w:val="ListNumber"/>
      </w:pPr>
      <w:r>
        <w:t xml:space="preserve">Re-subscription: if the business supports opt-in again (e.g., contact texts START), mirror the same flow to clear </w:t>
      </w:r>
      <w:r>
        <w:rPr>
          <w:rFonts w:ascii="Consolas" w:hAnsi="Consolas"/>
          <w:sz w:val="20"/>
        </w:rPr>
        <w:t>sms_opted_out</w:t>
      </w:r>
      <w:r>
        <w:t>.</w:t>
      </w:r>
    </w:p>
    <w:p>
      <w:r>
        <w:t>This keeps Customer.io as the system of record for consent, which also makes it easy to build a "do not SMS" segment for anyone else building future campaigns.</w:t>
      </w:r>
    </w:p>
    <w:p>
      <w:pPr>
        <w:pStyle w:val="Heading2"/>
      </w:pPr>
      <w:r>
        <w:t>5. Call forwarding (voice calls to the 4 numbers → main line)</w:t>
      </w:r>
    </w:p>
    <w:p>
      <w:r>
        <w:t>SMS numbers used for campaigns will also receive inbound voice calls from people calling back. These need to forward to your main business number.</w:t>
      </w:r>
    </w:p>
    <w:p>
      <w:r>
        <w:rPr>
          <w:b/>
        </w:rPr>
        <w:t>ClickSend specifics:</w:t>
      </w:r>
    </w:p>
    <w:p>
      <w:pPr>
        <w:pStyle w:val="ListBullet"/>
      </w:pPr>
      <w:r>
        <w:t xml:space="preserve">Call forwarding is </w:t>
      </w:r>
      <w:r>
        <w:rPr>
          <w:b/>
        </w:rPr>
        <w:t>not enabled by default</w:t>
      </w:r>
      <w:r>
        <w:t xml:space="preserve"> and is currently only available for </w:t>
      </w:r>
      <w:r>
        <w:rPr>
          <w:b/>
        </w:rPr>
        <w:t>US and UK</w:t>
      </w:r>
      <w:r>
        <w:t xml:space="preserve"> numbers.</w:t>
      </w:r>
    </w:p>
    <w:p>
      <w:pPr>
        <w:pStyle w:val="ListBullet"/>
      </w:pPr>
      <w:r>
        <w:t xml:space="preserve">It's an </w:t>
      </w:r>
      <w:r>
        <w:rPr>
          <w:b/>
        </w:rPr>
        <w:t>add-on service that ClickSend support enables manually per number</w:t>
      </w:r>
      <w:r>
        <w:t xml:space="preserve"> — it isn't self-serve in the dashboard.</w:t>
      </w:r>
    </w:p>
    <w:p>
      <w:pPr>
        <w:pStyle w:val="ListBullet"/>
      </w:pPr>
      <w:r>
        <w:t xml:space="preserve">For UK numbers specifically, forwarding can only be set up </w:t>
      </w:r>
      <w:r>
        <w:rPr>
          <w:b/>
        </w:rPr>
        <w:t>at the time the number is provisioned</w:t>
      </w:r>
      <w:r>
        <w:t xml:space="preserve"> — it cannot be added to a number you already own.</w:t>
      </w:r>
    </w:p>
    <w:p>
      <w:r>
        <w:rPr>
          <w:b/>
        </w:rPr>
        <w:t>Setup steps (per number):</w:t>
      </w:r>
    </w:p>
    <w:p>
      <w:pPr>
        <w:pStyle w:val="ListNumber"/>
      </w:pPr>
      <w:r>
        <w:t>Ensure the ClickSend account has sufficient prepaid balance to cover the monthly call-forwarding add-on fee for each number.</w:t>
      </w:r>
    </w:p>
    <w:p>
      <w:pPr>
        <w:pStyle w:val="ListNumber"/>
      </w:pPr>
      <w:r>
        <w:t>Contact ClickSend support and request call forwarding for each of the 4 numbers, providing the destination number (your main business line) for all four.</w:t>
      </w:r>
    </w:p>
    <w:p>
      <w:pPr>
        <w:pStyle w:val="ListNumber"/>
      </w:pPr>
      <w:r>
        <w:t>ClickSend confirms whether each number supports forwarding and enables it.</w:t>
      </w:r>
    </w:p>
    <w:p>
      <w:pPr>
        <w:pStyle w:val="ListNumber"/>
      </w:pPr>
      <w:r>
        <w:t>Test each of the 4 numbers by calling them and confirming the call rings through to the main line.</w:t>
      </w:r>
    </w:p>
    <w:p>
      <w:r>
        <w:rPr>
          <w:b/>
        </w:rPr>
        <w:t>Practical note:</w:t>
      </w:r>
      <w:r>
        <w:t xml:space="preserve"> if any of the 4 numbers are being newly purchased (rather than already owned), request call forwarding to be configured at time of purchase — this avoids the UK "can't add forwarding after the fact" limitation and avoids a second round-trip with support.</w:t>
      </w:r>
    </w:p>
    <w:p>
      <w:pPr>
        <w:pStyle w:val="Heading2"/>
      </w:pPr>
      <w:r>
        <w:t>6. Compliance notes</w:t>
      </w:r>
    </w:p>
    <w:p>
      <w:pPr>
        <w:pStyle w:val="ListBullet"/>
      </w:pPr>
      <w:r>
        <w:t>Ensure the audience being messaged has valid SMS opt-in consent (TCPA in the US, equivalent regs elsewhere) before the campaign sends — this is independent of the opt-out mechanism above and should be enforced by segment criteria in Customer.io.</w:t>
      </w:r>
    </w:p>
    <w:p>
      <w:pPr>
        <w:pStyle w:val="ListBullet"/>
      </w:pPr>
      <w:r>
        <w:t>Include a clear sender identity and opt-out instruction ("Reply STOP to unsubscribe") in the first message of any campaign.</w:t>
      </w:r>
    </w:p>
    <w:p>
      <w:pPr>
        <w:pStyle w:val="ListBullet"/>
      </w:pPr>
      <w:r>
        <w:t>Respect quiet hours for the recipient's timezone if messaging across regions.</w:t>
      </w:r>
    </w:p>
    <w:p>
      <w:pPr>
        <w:pStyle w:val="ListBullet"/>
      </w:pPr>
      <w:r>
        <w:t>If sending in the US at this volume, register the brand/numbers under 10DLC (see the volume note in §2) to avoid carrier filtering.</w:t>
      </w:r>
    </w:p>
    <w:p>
      <w:pPr>
        <w:pStyle w:val="Heading2"/>
      </w:pPr>
      <w:r>
        <w:t>7. Monitoring</w:t>
      </w:r>
    </w:p>
    <w:p>
      <w:pPr>
        <w:pStyle w:val="ListBullet"/>
      </w:pPr>
      <w:r>
        <w:t>Track daily send count per number vs. the 10,000 cap (dashboard or alert when a number crosses ~90%).</w:t>
      </w:r>
    </w:p>
    <w:p>
      <w:pPr>
        <w:pStyle w:val="ListBullet"/>
      </w:pPr>
      <w:r>
        <w:t>Track delivery/failure rate per number — a sudden drop usually means carrier filtering on that number.</w:t>
      </w:r>
    </w:p>
    <w:p>
      <w:pPr>
        <w:pStyle w:val="ListBullet"/>
      </w:pPr>
      <w:r>
        <w:t>Track opt-out rate per campaign/number to catch content or frequency problems early.</w:t>
      </w:r>
    </w:p>
    <w:p>
      <w:pPr>
        <w:pStyle w:val="ListBullet"/>
      </w:pPr>
      <w:r>
        <w:t>Surface all of the above back into Customer.io as events/attributes so campaign performance can be segmented by number.</w:t>
      </w:r>
    </w:p>
    <w:p>
      <w:pPr>
        <w:pStyle w:val="Heading2"/>
      </w:pPr>
      <w:r>
        <w:t>8. Open items before implementation</w:t>
      </w:r>
    </w:p>
    <w:p>
      <w:pPr>
        <w:pStyle w:val="ListBullet"/>
      </w:pPr>
      <w:r>
        <w:t>☐ Confirm with ClickSend that 10,000/day/number is realistic for the chosen number type/country (10DLC trust tier vs. toll-free).</w:t>
      </w:r>
    </w:p>
    <w:p>
      <w:pPr>
        <w:pStyle w:val="ListBullet"/>
      </w:pPr>
      <w:r>
        <w:t>☐ Decide where the middleware lives (serverless function vs. existing backend service) and who owns/maintains it.</w:t>
      </w:r>
    </w:p>
    <w:p>
      <w:pPr>
        <w:pStyle w:val="ListBullet"/>
      </w:pPr>
      <w:r>
        <w:t>☐ Confirm the main business number that all 4 numbers should forward voice calls to.</w:t>
      </w:r>
    </w:p>
    <w:p>
      <w:pPr>
        <w:pStyle w:val="ListBullet"/>
      </w:pPr>
      <w:r>
        <w:t>☐ Decide on the STOP/re-subscribe (START) keyword wording, consistent across all 4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