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SMS Volume Estimate (Simple)</w:t>
      </w:r>
    </w:p>
    <w:p>
      <w:pPr/>
      <w:r>
        <w:t xml:space="preserve">Oct 29, 2026</w:t>
      </w:r>
      <w:r>
        <w:t xml:space="preserve"> · </w:t>
      </w:r>
      <w:r>
        <w:t xml:space="preserve">@Adeel A</w:t>
      </w:r>
    </w:p>
    <w:p>
      <w:pPr/>
      <w:r>
        <w:t xml:space="preserve">We expect to send </w:t>
      </w:r>
      <w:r>
        <w:rPr>
          <w:b/>
        </w:rPr>
        <w:t xml:space="preserve">about 1.8M SMS in the next 12 months (Nov 2026 to Oct 2027)</w:t>
      </w:r>
      <w:r>
        <w:t xml:space="preserve">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223"/>
        <w:gridCol w:w="1440"/>
        <w:gridCol w:w="2254"/>
        <w:gridCol w:w="1440"/>
      </w:tblGrid>
      <w:tr>
        <w:trPr>
          <w:tblHeader/>
        </w:trPr>
        <w:tc>
          <w:tcPr>
            <w:tcW w:w="4223" w:type="dxa"/>
            <w:shd w:val="clear" w:color="auto" w:fill="F2F2F2"/>
          </w:tcPr>
          <w:p>
            <w:pPr/>
            <w:r>
              <w:t xml:space="preserve">Part</w:t>
            </w:r>
          </w:p>
        </w:tc>
        <w:tc>
          <w:tcPr>
            <w:tcW w:w="1440" w:type="dxa"/>
            <w:shd w:val="clear" w:color="auto" w:fill="F2F2F2"/>
          </w:tcPr>
          <w:p>
            <w:pPr/>
            <w:r>
              <w:t xml:space="preserve">Low</w:t>
            </w:r>
          </w:p>
        </w:tc>
        <w:tc>
          <w:tcPr>
            <w:tcW w:w="2254" w:type="dxa"/>
            <w:shd w:val="clear" w:color="auto" w:fill="F2F2F2"/>
          </w:tcPr>
          <w:p>
            <w:pPr/>
            <w:r>
              <w:t xml:space="preserve">Expected</w:t>
            </w:r>
          </w:p>
        </w:tc>
        <w:tc>
          <w:tcPr>
            <w:tcW w:w="1440" w:type="dxa"/>
            <w:shd w:val="clear" w:color="auto" w:fill="F2F2F2"/>
          </w:tcPr>
          <w:p>
            <w:pPr/>
            <w:r>
              <w:t xml:space="preserve">High</w:t>
            </w:r>
          </w:p>
        </w:tc>
      </w:tr>
      <w:tr>
        <w:tc>
          <w:tcPr>
            <w:tcW w:w="4223" w:type="dxa"/>
          </w:tcPr>
          <w:p>
            <w:pPr/>
            <w:r>
              <w:t xml:space="preserve">Core automations</w:t>
            </w:r>
          </w:p>
        </w:tc>
        <w:tc>
          <w:tcPr>
            <w:tcW w:w="1440" w:type="dxa"/>
          </w:tcPr>
          <w:p>
            <w:pPr/>
            <w:r>
              <w:t xml:space="preserve">0.7M</w:t>
            </w:r>
          </w:p>
        </w:tc>
        <w:tc>
          <w:tcPr>
            <w:tcW w:w="2254" w:type="dxa"/>
          </w:tcPr>
          <w:p>
            <w:pPr/>
            <w:r>
              <w:rPr>
                <w:b/>
              </w:rPr>
              <w:t xml:space="preserve">1.0M</w:t>
            </w:r>
          </w:p>
        </w:tc>
        <w:tc>
          <w:tcPr>
            <w:tcW w:w="1440" w:type="dxa"/>
          </w:tcPr>
          <w:p>
            <w:pPr/>
            <w:r>
              <w:t xml:space="preserve">1.2M</w:t>
            </w:r>
          </w:p>
        </w:tc>
      </w:tr>
      <w:tr>
        <w:tc>
          <w:tcPr>
            <w:tcW w:w="4223" w:type="dxa"/>
          </w:tcPr>
          <w:p>
            <w:pPr/>
            <w:r>
              <w:t xml:space="preserve">Holiday campaigns</w:t>
            </w:r>
          </w:p>
        </w:tc>
        <w:tc>
          <w:tcPr>
            <w:tcW w:w="1440" w:type="dxa"/>
          </w:tcPr>
          <w:p>
            <w:pPr/>
            <w:r>
              <w:t xml:space="preserve">0.6M</w:t>
            </w:r>
          </w:p>
        </w:tc>
        <w:tc>
          <w:tcPr>
            <w:tcW w:w="2254" w:type="dxa"/>
          </w:tcPr>
          <w:p>
            <w:pPr/>
            <w:r>
              <w:rPr>
                <w:b/>
              </w:rPr>
              <w:t xml:space="preserve">0.8M</w:t>
            </w:r>
          </w:p>
        </w:tc>
        <w:tc>
          <w:tcPr>
            <w:tcW w:w="1440" w:type="dxa"/>
          </w:tcPr>
          <w:p>
            <w:pPr/>
            <w:r>
              <w:t xml:space="preserve">2.5M</w:t>
            </w:r>
          </w:p>
        </w:tc>
      </w:tr>
      <w:tr>
        <w:tc>
          <w:tcPr>
            <w:tcW w:w="4223" w:type="dxa"/>
          </w:tcPr>
          <w:p>
            <w:pPr/>
            <w:r>
              <w:rPr>
                <w:b/>
              </w:rPr>
              <w:t xml:space="preserve">Total</w:t>
            </w:r>
          </w:p>
        </w:tc>
        <w:tc>
          <w:tcPr>
            <w:tcW w:w="1440" w:type="dxa"/>
          </w:tcPr>
          <w:p>
            <w:pPr/>
            <w:r>
              <w:rPr>
                <w:b/>
              </w:rPr>
              <w:t xml:space="preserve">1.3M</w:t>
            </w:r>
          </w:p>
        </w:tc>
        <w:tc>
          <w:tcPr>
            <w:tcW w:w="2254" w:type="dxa"/>
          </w:tcPr>
          <w:p>
            <w:pPr/>
            <w:r>
              <w:rPr>
                <w:b/>
              </w:rPr>
              <w:t xml:space="preserve">1.8M</w:t>
            </w:r>
          </w:p>
        </w:tc>
        <w:tc>
          <w:tcPr>
            <w:tcW w:w="1440" w:type="dxa"/>
          </w:tcPr>
          <w:p>
            <w:pPr/>
            <w:r>
              <w:rPr>
                <w:b/>
              </w:rPr>
              <w:t xml:space="preserve">3.7M</w:t>
            </w:r>
          </w:p>
        </w:tc>
      </w:tr>
    </w:tbl>
    <w:p>
      <w:pPr>
        <w:pStyle w:val="Heading2"/>
      </w:pPr>
      <w:r>
        <w:t xml:space="preserve">Core automations: about 1.0M a year</w:t>
      </w:r>
    </w:p>
    <w:p>
      <w:pPr/>
      <w:r>
        <w:t xml:space="preserve">The live campaigns with SMS sent 76,600 messages in October (Oct 1 to 29), about 80k a month.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02"/>
        <w:gridCol w:w="2892"/>
        <w:gridCol w:w="1866"/>
      </w:tblGrid>
      <w:tr>
        <w:trPr>
          <w:tblHeader/>
        </w:trPr>
        <w:tc>
          <w:tcPr>
            <w:tcW w:w="4602" w:type="dxa"/>
            <w:shd w:val="clear" w:color="auto" w:fill="F2F2F2"/>
          </w:tcPr>
          <w:p>
            <w:pPr/>
            <w:r>
              <w:t xml:space="preserve">Campaign</w:t>
            </w:r>
          </w:p>
        </w:tc>
        <w:tc>
          <w:tcPr>
            <w:tcW w:w="2892" w:type="dxa"/>
            <w:shd w:val="clear" w:color="auto" w:fill="F2F2F2"/>
          </w:tcPr>
          <w:p>
            <w:pPr/>
            <w:r>
              <w:t xml:space="preserve">Oct 2026 SMS (Oct 1–29)</w:t>
            </w:r>
          </w:p>
        </w:tc>
        <w:tc>
          <w:tcPr>
            <w:tcW w:w="1866" w:type="dxa"/>
            <w:shd w:val="clear" w:color="auto" w:fill="F2F2F2"/>
          </w:tcPr>
          <w:p>
            <w:pPr/>
            <w:r>
              <w:t xml:space="preserve">Typical month</w:t>
            </w:r>
          </w:p>
        </w:tc>
      </w:tr>
      <w:tr>
        <w:tc>
          <w:tcPr>
            <w:tcW w:w="4602" w:type="dxa"/>
          </w:tcPr>
          <w:p>
            <w:pPr/>
            <w:r>
              <w:t xml:space="preserve">Abandoned Checkout Campaign v3</w:t>
            </w:r>
          </w:p>
        </w:tc>
        <w:tc>
          <w:tcPr>
            <w:tcW w:w="2892" w:type="dxa"/>
          </w:tcPr>
          <w:p>
            <w:pPr/>
            <w:r>
              <w:t xml:space="preserve">72,268</w:t>
            </w:r>
          </w:p>
        </w:tc>
        <w:tc>
          <w:tcPr>
            <w:tcW w:w="1866" w:type="dxa"/>
          </w:tcPr>
          <w:p>
            <w:pPr/>
            <w:r>
              <w:t xml:space="preserve">~77,500</w:t>
            </w:r>
          </w:p>
        </w:tc>
      </w:tr>
      <w:tr>
        <w:tc>
          <w:tcPr>
            <w:tcW w:w="4602" w:type="dxa"/>
          </w:tcPr>
          <w:p>
            <w:pPr/>
            <w:r>
              <w:t xml:space="preserve">Onboarding — Dog</w:t>
            </w:r>
          </w:p>
        </w:tc>
        <w:tc>
          <w:tcPr>
            <w:tcW w:w="2892" w:type="dxa"/>
          </w:tcPr>
          <w:p>
            <w:pPr/>
            <w:r>
              <w:t xml:space="preserve">2,166</w:t>
            </w:r>
          </w:p>
        </w:tc>
        <w:tc>
          <w:tcPr>
            <w:tcW w:w="1866" w:type="dxa"/>
          </w:tcPr>
          <w:p>
            <w:pPr/>
            <w:r>
              <w:t xml:space="preserve">~2,000</w:t>
            </w:r>
          </w:p>
        </w:tc>
      </w:tr>
      <w:tr>
        <w:tc>
          <w:tcPr>
            <w:tcW w:w="4602" w:type="dxa"/>
          </w:tcPr>
          <w:p>
            <w:pPr/>
            <w:r>
              <w:t xml:space="preserve">Failed Charge</w:t>
            </w:r>
          </w:p>
        </w:tc>
        <w:tc>
          <w:tcPr>
            <w:tcW w:w="2892" w:type="dxa"/>
          </w:tcPr>
          <w:p>
            <w:pPr/>
            <w:r>
              <w:t xml:space="preserve">1,024</w:t>
            </w:r>
          </w:p>
        </w:tc>
        <w:tc>
          <w:tcPr>
            <w:tcW w:w="1866" w:type="dxa"/>
          </w:tcPr>
          <w:p>
            <w:pPr/>
            <w:r>
              <w:t xml:space="preserve">~1,000</w:t>
            </w:r>
          </w:p>
        </w:tc>
      </w:tr>
      <w:tr>
        <w:tc>
          <w:tcPr>
            <w:tcW w:w="4602" w:type="dxa"/>
          </w:tcPr>
          <w:p>
            <w:pPr/>
            <w:r>
              <w:t xml:space="preserve">Onboarding — Cat</w:t>
            </w:r>
          </w:p>
        </w:tc>
        <w:tc>
          <w:tcPr>
            <w:tcW w:w="2892" w:type="dxa"/>
          </w:tcPr>
          <w:p>
            <w:pPr/>
            <w:r>
              <w:t xml:space="preserve">889</w:t>
            </w:r>
          </w:p>
        </w:tc>
        <w:tc>
          <w:tcPr>
            <w:tcW w:w="1866" w:type="dxa"/>
          </w:tcPr>
          <w:p>
            <w:pPr/>
            <w:r>
              <w:t xml:space="preserve">~600</w:t>
            </w:r>
          </w:p>
        </w:tc>
      </w:tr>
      <w:tr>
        <w:tc>
          <w:tcPr>
            <w:tcW w:w="4602" w:type="dxa"/>
          </w:tcPr>
          <w:p>
            <w:pPr/>
            <w:r>
              <w:t xml:space="preserve">Card Validation — Pre-Renewal Series</w:t>
            </w:r>
          </w:p>
        </w:tc>
        <w:tc>
          <w:tcPr>
            <w:tcW w:w="2892" w:type="dxa"/>
          </w:tcPr>
          <w:p>
            <w:pPr/>
            <w:r>
              <w:t xml:space="preserve">202</w:t>
            </w:r>
          </w:p>
        </w:tc>
        <w:tc>
          <w:tcPr>
            <w:tcW w:w="1866" w:type="dxa"/>
          </w:tcPr>
          <w:p>
            <w:pPr/>
            <w:r>
              <w:t xml:space="preserve">~270</w:t>
            </w:r>
          </w:p>
        </w:tc>
      </w:tr>
      <w:tr>
        <w:tc>
          <w:tcPr>
            <w:tcW w:w="4602" w:type="dxa"/>
          </w:tcPr>
          <w:p>
            <w:pPr/>
            <w:r>
              <w:t xml:space="preserve">Testimonial Campaign 1 - August 2025</w:t>
            </w:r>
          </w:p>
        </w:tc>
        <w:tc>
          <w:tcPr>
            <w:tcW w:w="2892" w:type="dxa"/>
          </w:tcPr>
          <w:p>
            <w:pPr/>
            <w:r>
              <w:t xml:space="preserve">47</w:t>
            </w:r>
          </w:p>
        </w:tc>
        <w:tc>
          <w:tcPr>
            <w:tcW w:w="1866" w:type="dxa"/>
          </w:tcPr>
          <w:p>
            <w:pPr/>
            <w:r>
              <w:t xml:space="preserve">~40</w:t>
            </w:r>
          </w:p>
        </w:tc>
      </w:tr>
      <w:tr>
        <w:tc>
          <w:tcPr>
            <w:tcW w:w="4602" w:type="dxa"/>
          </w:tcPr>
          <w:p>
            <w:pPr/>
            <w:r>
              <w:t xml:space="preserve">Abandoned Checkout — All Products (dynamic)</w:t>
            </w:r>
          </w:p>
        </w:tc>
        <w:tc>
          <w:tcPr>
            <w:tcW w:w="2892" w:type="dxa"/>
          </w:tcPr>
          <w:p>
            <w:pPr/>
            <w:r>
              <w:t xml:space="preserve">4</w:t>
            </w:r>
          </w:p>
        </w:tc>
        <w:tc>
          <w:tcPr>
            <w:tcW w:w="1866" w:type="dxa"/>
          </w:tcPr>
          <w:p>
            <w:pPr/>
            <w:r>
              <w:t xml:space="preserve">New, test-level</w:t>
            </w:r>
          </w:p>
        </w:tc>
      </w:tr>
      <w:tr>
        <w:tc>
          <w:tcPr>
            <w:tcW w:w="4602" w:type="dxa"/>
          </w:tcPr>
          <w:p>
            <w:pPr/>
            <w:r>
              <w:rPr>
                <w:b/>
              </w:rPr>
              <w:t xml:space="preserve">Total</w:t>
            </w:r>
          </w:p>
        </w:tc>
        <w:tc>
          <w:tcPr>
            <w:tcW w:w="2892" w:type="dxa"/>
          </w:tcPr>
          <w:p>
            <w:pPr/>
            <w:r>
              <w:rPr>
                <w:b/>
              </w:rPr>
              <w:t xml:space="preserve">76,600</w:t>
            </w:r>
          </w:p>
        </w:tc>
        <w:tc>
          <w:tcPr>
            <w:tcW w:w="1866" w:type="dxa"/>
          </w:tcPr>
          <w:p>
            <w:pPr/>
            <w:r>
              <w:rPr>
                <w:b/>
              </w:rPr>
              <w:t xml:space="preserve">~81,400</w:t>
            </w:r>
          </w:p>
        </w:tc>
      </w:tr>
    </w:tbl>
    <w:p>
      <w:pPr>
        <w:pStyle w:val="Heading3"/>
      </w:pPr>
      <w:r>
        <w:t xml:space="preserve">Monthly breakdown, last 12 months</w:t>
      </w:r>
    </w:p>
    <w:p>
      <w:pPr/>
      <w:r>
        <w:t xml:space="preserve">Abandoned Checkout Campaign v3 started on Jul 20, 2026, so its 204,209 total in Customer.io covers only Jul–Oct.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293"/>
        <w:gridCol w:w="1704"/>
        <w:gridCol w:w="2325"/>
        <w:gridCol w:w="1265"/>
        <w:gridCol w:w="1772"/>
      </w:tblGrid>
      <w:tr>
        <w:trPr>
          <w:tblHeader/>
        </w:trPr>
        <w:tc>
          <w:tcPr>
            <w:tcW w:w="2293" w:type="dxa"/>
            <w:shd w:val="clear" w:color="auto" w:fill="F2F2F2"/>
          </w:tcPr>
          <w:p>
            <w:pPr/>
            <w:r>
              <w:t xml:space="preserve">Month</w:t>
            </w:r>
          </w:p>
        </w:tc>
        <w:tc>
          <w:tcPr>
            <w:tcW w:w="1704" w:type="dxa"/>
            <w:shd w:val="clear" w:color="auto" w:fill="F2F2F2"/>
          </w:tcPr>
          <w:p>
            <w:pPr/>
            <w:r>
              <w:t xml:space="preserve">Abandoned Checkout v3</w:t>
            </w:r>
          </w:p>
        </w:tc>
        <w:tc>
          <w:tcPr>
            <w:tcW w:w="2325" w:type="dxa"/>
            <w:shd w:val="clear" w:color="auto" w:fill="F2F2F2"/>
          </w:tcPr>
          <w:p>
            <w:pPr/>
            <w:r>
              <w:t xml:space="preserve">Other core campaigns</w:t>
            </w:r>
          </w:p>
        </w:tc>
        <w:tc>
          <w:tcPr>
            <w:tcW w:w="1265" w:type="dxa"/>
            <w:shd w:val="clear" w:color="auto" w:fill="F2F2F2"/>
          </w:tcPr>
          <w:p>
            <w:pPr/>
            <w:r>
              <w:t xml:space="preserve">Core total</w:t>
            </w:r>
          </w:p>
        </w:tc>
        <w:tc>
          <w:tcPr>
            <w:tcW w:w="1772" w:type="dxa"/>
            <w:shd w:val="clear" w:color="auto" w:fill="F2F2F2"/>
          </w:tcPr>
          <w:p>
            <w:pPr/>
            <w:r>
              <w:t xml:space="preserve">Promos (not core)</w:t>
            </w:r>
          </w:p>
        </w:tc>
      </w:tr>
      <w:tr>
        <w:tc>
          <w:tcPr>
            <w:tcW w:w="2293" w:type="dxa"/>
          </w:tcPr>
          <w:p>
            <w:pPr/>
            <w:r>
              <w:t xml:space="preserve">Nov 2025</w:t>
            </w:r>
          </w:p>
        </w:tc>
        <w:tc>
          <w:tcPr>
            <w:tcW w:w="1704" w:type="dxa"/>
          </w:tcPr>
          <w:p>
            <w:pPr/>
            <w:r>
              <w:t xml:space="preserve">—</w:t>
            </w:r>
          </w:p>
        </w:tc>
        <w:tc>
          <w:tcPr>
            <w:tcW w:w="2325" w:type="dxa"/>
          </w:tcPr>
          <w:p>
            <w:pPr/>
            <w:r>
              <w:t xml:space="preserve">14,380</w:t>
            </w:r>
          </w:p>
        </w:tc>
        <w:tc>
          <w:tcPr>
            <w:tcW w:w="1265" w:type="dxa"/>
          </w:tcPr>
          <w:p>
            <w:pPr/>
            <w:r>
              <w:t xml:space="preserve">14,380</w:t>
            </w:r>
          </w:p>
        </w:tc>
        <w:tc>
          <w:tcPr>
            <w:tcW w:w="1772" w:type="dxa"/>
          </w:tcPr>
          <w:p>
            <w:pPr/>
            <w:r>
              <w:t xml:space="preserve">78,518</w:t>
            </w:r>
          </w:p>
        </w:tc>
      </w:tr>
      <w:tr>
        <w:tc>
          <w:tcPr>
            <w:tcW w:w="2293" w:type="dxa"/>
          </w:tcPr>
          <w:p>
            <w:pPr/>
            <w:r>
              <w:t xml:space="preserve">Dec 2025</w:t>
            </w:r>
          </w:p>
        </w:tc>
        <w:tc>
          <w:tcPr>
            <w:tcW w:w="1704" w:type="dxa"/>
          </w:tcPr>
          <w:p>
            <w:pPr/>
            <w:r>
              <w:t xml:space="preserve">—</w:t>
            </w:r>
          </w:p>
        </w:tc>
        <w:tc>
          <w:tcPr>
            <w:tcW w:w="2325" w:type="dxa"/>
          </w:tcPr>
          <w:p>
            <w:pPr/>
            <w:r>
              <w:t xml:space="preserve">12,516</w:t>
            </w:r>
          </w:p>
        </w:tc>
        <w:tc>
          <w:tcPr>
            <w:tcW w:w="1265" w:type="dxa"/>
          </w:tcPr>
          <w:p>
            <w:pPr/>
            <w:r>
              <w:t xml:space="preserve">12,516</w:t>
            </w:r>
          </w:p>
        </w:tc>
        <w:tc>
          <w:tcPr>
            <w:tcW w:w="1772" w:type="dxa"/>
          </w:tcPr>
          <w:p>
            <w:pPr/>
            <w:r>
              <w:t xml:space="preserve">11</w:t>
            </w:r>
          </w:p>
        </w:tc>
      </w:tr>
      <w:tr>
        <w:tc>
          <w:tcPr>
            <w:tcW w:w="2293" w:type="dxa"/>
          </w:tcPr>
          <w:p>
            <w:pPr/>
            <w:r>
              <w:t xml:space="preserve">Jan 2026</w:t>
            </w:r>
          </w:p>
        </w:tc>
        <w:tc>
          <w:tcPr>
            <w:tcW w:w="1704" w:type="dxa"/>
          </w:tcPr>
          <w:p>
            <w:pPr/>
            <w:r>
              <w:t xml:space="preserve">—</w:t>
            </w:r>
          </w:p>
        </w:tc>
        <w:tc>
          <w:tcPr>
            <w:tcW w:w="2325" w:type="dxa"/>
          </w:tcPr>
          <w:p>
            <w:pPr/>
            <w:r>
              <w:t xml:space="preserve">18,022</w:t>
            </w:r>
          </w:p>
        </w:tc>
        <w:tc>
          <w:tcPr>
            <w:tcW w:w="1265" w:type="dxa"/>
          </w:tcPr>
          <w:p>
            <w:pPr/>
            <w:r>
              <w:t xml:space="preserve">18,022</w:t>
            </w:r>
          </w:p>
        </w:tc>
        <w:tc>
          <w:tcPr>
            <w:tcW w:w="1772" w:type="dxa"/>
          </w:tcPr>
          <w:p>
            <w:pPr/>
            <w:r>
              <w:t xml:space="preserve">747</w:t>
            </w:r>
          </w:p>
        </w:tc>
      </w:tr>
      <w:tr>
        <w:tc>
          <w:tcPr>
            <w:tcW w:w="2293" w:type="dxa"/>
          </w:tcPr>
          <w:p>
            <w:pPr/>
            <w:r>
              <w:t xml:space="preserve">Feb 2026</w:t>
            </w:r>
          </w:p>
        </w:tc>
        <w:tc>
          <w:tcPr>
            <w:tcW w:w="1704" w:type="dxa"/>
          </w:tcPr>
          <w:p>
            <w:pPr/>
            <w:r>
              <w:t xml:space="preserve">—</w:t>
            </w:r>
          </w:p>
        </w:tc>
        <w:tc>
          <w:tcPr>
            <w:tcW w:w="2325" w:type="dxa"/>
          </w:tcPr>
          <w:p>
            <w:pPr/>
            <w:r>
              <w:t xml:space="preserve">16,847</w:t>
            </w:r>
          </w:p>
        </w:tc>
        <w:tc>
          <w:tcPr>
            <w:tcW w:w="1265" w:type="dxa"/>
          </w:tcPr>
          <w:p>
            <w:pPr/>
            <w:r>
              <w:t xml:space="preserve">16,847</w:t>
            </w:r>
          </w:p>
        </w:tc>
        <w:tc>
          <w:tcPr>
            <w:tcW w:w="1772" w:type="dxa"/>
          </w:tcPr>
          <w:p>
            <w:pPr/>
            <w:r>
              <w:t xml:space="preserve">288</w:t>
            </w:r>
          </w:p>
        </w:tc>
      </w:tr>
      <w:tr>
        <w:tc>
          <w:tcPr>
            <w:tcW w:w="2293" w:type="dxa"/>
          </w:tcPr>
          <w:p>
            <w:pPr/>
            <w:r>
              <w:t xml:space="preserve">Mar 2026</w:t>
            </w:r>
          </w:p>
        </w:tc>
        <w:tc>
          <w:tcPr>
            <w:tcW w:w="1704" w:type="dxa"/>
          </w:tcPr>
          <w:p>
            <w:pPr/>
            <w:r>
              <w:t xml:space="preserve">—</w:t>
            </w:r>
          </w:p>
        </w:tc>
        <w:tc>
          <w:tcPr>
            <w:tcW w:w="2325" w:type="dxa"/>
          </w:tcPr>
          <w:p>
            <w:pPr/>
            <w:r>
              <w:t xml:space="preserve">28,365</w:t>
            </w:r>
          </w:p>
        </w:tc>
        <w:tc>
          <w:tcPr>
            <w:tcW w:w="1265" w:type="dxa"/>
          </w:tcPr>
          <w:p>
            <w:pPr/>
            <w:r>
              <w:t xml:space="preserve">28,365</w:t>
            </w:r>
          </w:p>
        </w:tc>
        <w:tc>
          <w:tcPr>
            <w:tcW w:w="1772" w:type="dxa"/>
          </w:tcPr>
          <w:p>
            <w:pPr/>
            <w:r>
              <w:t xml:space="preserve">0</w:t>
            </w:r>
          </w:p>
        </w:tc>
      </w:tr>
      <w:tr>
        <w:tc>
          <w:tcPr>
            <w:tcW w:w="2293" w:type="dxa"/>
          </w:tcPr>
          <w:p>
            <w:pPr/>
            <w:r>
              <w:t xml:space="preserve">Apr 2026</w:t>
            </w:r>
          </w:p>
        </w:tc>
        <w:tc>
          <w:tcPr>
            <w:tcW w:w="1704" w:type="dxa"/>
          </w:tcPr>
          <w:p>
            <w:pPr/>
            <w:r>
              <w:t xml:space="preserve">—</w:t>
            </w:r>
          </w:p>
        </w:tc>
        <w:tc>
          <w:tcPr>
            <w:tcW w:w="2325" w:type="dxa"/>
          </w:tcPr>
          <w:p>
            <w:pPr/>
            <w:r>
              <w:t xml:space="preserve">24,798</w:t>
            </w:r>
          </w:p>
        </w:tc>
        <w:tc>
          <w:tcPr>
            <w:tcW w:w="1265" w:type="dxa"/>
          </w:tcPr>
          <w:p>
            <w:pPr/>
            <w:r>
              <w:t xml:space="preserve">24,798</w:t>
            </w:r>
          </w:p>
        </w:tc>
        <w:tc>
          <w:tcPr>
            <w:tcW w:w="1772" w:type="dxa"/>
          </w:tcPr>
          <w:p>
            <w:pPr/>
            <w:r>
              <w:t xml:space="preserve">0</w:t>
            </w:r>
          </w:p>
        </w:tc>
      </w:tr>
      <w:tr>
        <w:tc>
          <w:tcPr>
            <w:tcW w:w="2293" w:type="dxa"/>
          </w:tcPr>
          <w:p>
            <w:pPr/>
            <w:r>
              <w:t xml:space="preserve">May 2026</w:t>
            </w:r>
          </w:p>
        </w:tc>
        <w:tc>
          <w:tcPr>
            <w:tcW w:w="1704" w:type="dxa"/>
          </w:tcPr>
          <w:p>
            <w:pPr/>
            <w:r>
              <w:t xml:space="preserve">—</w:t>
            </w:r>
          </w:p>
        </w:tc>
        <w:tc>
          <w:tcPr>
            <w:tcW w:w="2325" w:type="dxa"/>
          </w:tcPr>
          <w:p>
            <w:pPr/>
            <w:r>
              <w:t xml:space="preserve">27,822</w:t>
            </w:r>
          </w:p>
        </w:tc>
        <w:tc>
          <w:tcPr>
            <w:tcW w:w="1265" w:type="dxa"/>
          </w:tcPr>
          <w:p>
            <w:pPr/>
            <w:r>
              <w:t xml:space="preserve">27,822</w:t>
            </w:r>
          </w:p>
        </w:tc>
        <w:tc>
          <w:tcPr>
            <w:tcW w:w="1772" w:type="dxa"/>
          </w:tcPr>
          <w:p>
            <w:pPr/>
            <w:r>
              <w:t xml:space="preserve">0</w:t>
            </w:r>
          </w:p>
        </w:tc>
      </w:tr>
      <w:tr>
        <w:tc>
          <w:tcPr>
            <w:tcW w:w="2293" w:type="dxa"/>
          </w:tcPr>
          <w:p>
            <w:pPr/>
            <w:r>
              <w:t xml:space="preserve">Jun 2026</w:t>
            </w:r>
          </w:p>
        </w:tc>
        <w:tc>
          <w:tcPr>
            <w:tcW w:w="1704" w:type="dxa"/>
          </w:tcPr>
          <w:p>
            <w:pPr/>
            <w:r>
              <w:t xml:space="preserve">—</w:t>
            </w:r>
          </w:p>
        </w:tc>
        <w:tc>
          <w:tcPr>
            <w:tcW w:w="2325" w:type="dxa"/>
          </w:tcPr>
          <w:p>
            <w:pPr/>
            <w:r>
              <w:t xml:space="preserve">31,235</w:t>
            </w:r>
          </w:p>
        </w:tc>
        <w:tc>
          <w:tcPr>
            <w:tcW w:w="1265" w:type="dxa"/>
          </w:tcPr>
          <w:p>
            <w:pPr/>
            <w:r>
              <w:t xml:space="preserve">31,235</w:t>
            </w:r>
          </w:p>
        </w:tc>
        <w:tc>
          <w:tcPr>
            <w:tcW w:w="1772" w:type="dxa"/>
          </w:tcPr>
          <w:p>
            <w:pPr/>
            <w:r>
              <w:t xml:space="preserve">20,658</w:t>
            </w:r>
          </w:p>
        </w:tc>
      </w:tr>
      <w:tr>
        <w:tc>
          <w:tcPr>
            <w:tcW w:w="2293" w:type="dxa"/>
          </w:tcPr>
          <w:p>
            <w:pPr/>
            <w:r>
              <w:t xml:space="preserve">Jul 2026</w:t>
            </w:r>
          </w:p>
        </w:tc>
        <w:tc>
          <w:tcPr>
            <w:tcW w:w="1704" w:type="dxa"/>
          </w:tcPr>
          <w:p>
            <w:pPr/>
            <w:r>
              <w:t xml:space="preserve">14,655</w:t>
            </w:r>
          </w:p>
        </w:tc>
        <w:tc>
          <w:tcPr>
            <w:tcW w:w="2325" w:type="dxa"/>
          </w:tcPr>
          <w:p>
            <w:pPr/>
            <w:r>
              <w:t xml:space="preserve">34,580</w:t>
            </w:r>
          </w:p>
        </w:tc>
        <w:tc>
          <w:tcPr>
            <w:tcW w:w="1265" w:type="dxa"/>
          </w:tcPr>
          <w:p>
            <w:pPr/>
            <w:r>
              <w:t xml:space="preserve">49,235</w:t>
            </w:r>
          </w:p>
        </w:tc>
        <w:tc>
          <w:tcPr>
            <w:tcW w:w="1772" w:type="dxa"/>
          </w:tcPr>
          <w:p>
            <w:pPr/>
            <w:r>
              <w:t xml:space="preserve">39,225</w:t>
            </w:r>
          </w:p>
        </w:tc>
      </w:tr>
      <w:tr>
        <w:tc>
          <w:tcPr>
            <w:tcW w:w="2293" w:type="dxa"/>
          </w:tcPr>
          <w:p>
            <w:pPr/>
            <w:r>
              <w:t xml:space="preserve">Aug 2026</w:t>
            </w:r>
          </w:p>
        </w:tc>
        <w:tc>
          <w:tcPr>
            <w:tcW w:w="1704" w:type="dxa"/>
          </w:tcPr>
          <w:p>
            <w:pPr/>
            <w:r>
              <w:t xml:space="preserve">50,565</w:t>
            </w:r>
          </w:p>
        </w:tc>
        <w:tc>
          <w:tcPr>
            <w:tcW w:w="2325" w:type="dxa"/>
          </w:tcPr>
          <w:p>
            <w:pPr/>
            <w:r>
              <w:t xml:space="preserve">5,739</w:t>
            </w:r>
          </w:p>
        </w:tc>
        <w:tc>
          <w:tcPr>
            <w:tcW w:w="1265" w:type="dxa"/>
          </w:tcPr>
          <w:p>
            <w:pPr/>
            <w:r>
              <w:t xml:space="preserve">56,304</w:t>
            </w:r>
          </w:p>
        </w:tc>
        <w:tc>
          <w:tcPr>
            <w:tcW w:w="1772" w:type="dxa"/>
          </w:tcPr>
          <w:p>
            <w:pPr/>
            <w:r>
              <w:t xml:space="preserve">516,225</w:t>
            </w:r>
          </w:p>
        </w:tc>
      </w:tr>
      <w:tr>
        <w:tc>
          <w:tcPr>
            <w:tcW w:w="2293" w:type="dxa"/>
          </w:tcPr>
          <w:p>
            <w:pPr/>
            <w:r>
              <w:t xml:space="preserve">Sep 2026</w:t>
            </w:r>
          </w:p>
        </w:tc>
        <w:tc>
          <w:tcPr>
            <w:tcW w:w="1704" w:type="dxa"/>
          </w:tcPr>
          <w:p>
            <w:pPr/>
            <w:r>
              <w:t xml:space="preserve">66,721</w:t>
            </w:r>
          </w:p>
        </w:tc>
        <w:tc>
          <w:tcPr>
            <w:tcW w:w="2325" w:type="dxa"/>
          </w:tcPr>
          <w:p>
            <w:pPr/>
            <w:r>
              <w:t xml:space="preserve">1,701</w:t>
            </w:r>
          </w:p>
        </w:tc>
        <w:tc>
          <w:tcPr>
            <w:tcW w:w="1265" w:type="dxa"/>
          </w:tcPr>
          <w:p>
            <w:pPr/>
            <w:r>
              <w:t xml:space="preserve">68,422</w:t>
            </w:r>
          </w:p>
        </w:tc>
        <w:tc>
          <w:tcPr>
            <w:tcW w:w="1772" w:type="dxa"/>
          </w:tcPr>
          <w:p>
            <w:pPr/>
            <w:r>
              <w:t xml:space="preserve">223,638</w:t>
            </w:r>
          </w:p>
        </w:tc>
      </w:tr>
      <w:tr>
        <w:tc>
          <w:tcPr>
            <w:tcW w:w="2293" w:type="dxa"/>
          </w:tcPr>
          <w:p>
            <w:pPr/>
            <w:r>
              <w:t xml:space="preserve">Oct 2026 (Oct 1–29)</w:t>
            </w:r>
          </w:p>
        </w:tc>
        <w:tc>
          <w:tcPr>
            <w:tcW w:w="1704" w:type="dxa"/>
          </w:tcPr>
          <w:p>
            <w:pPr/>
            <w:r>
              <w:t xml:space="preserve">72,268</w:t>
            </w:r>
          </w:p>
        </w:tc>
        <w:tc>
          <w:tcPr>
            <w:tcW w:w="2325" w:type="dxa"/>
          </w:tcPr>
          <w:p>
            <w:pPr/>
            <w:r>
              <w:t xml:space="preserve">4,332</w:t>
            </w:r>
          </w:p>
        </w:tc>
        <w:tc>
          <w:tcPr>
            <w:tcW w:w="1265" w:type="dxa"/>
          </w:tcPr>
          <w:p>
            <w:pPr/>
            <w:r>
              <w:t xml:space="preserve">76,600</w:t>
            </w:r>
          </w:p>
        </w:tc>
        <w:tc>
          <w:tcPr>
            <w:tcW w:w="1772" w:type="dxa"/>
          </w:tcPr>
          <w:p>
            <w:pPr/>
            <w:r>
              <w:t xml:space="preserve">291</w:t>
            </w:r>
          </w:p>
        </w:tc>
      </w:tr>
      <w:tr>
        <w:tc>
          <w:tcPr>
            <w:tcW w:w="2293" w:type="dxa"/>
          </w:tcPr>
          <w:p>
            <w:pPr/>
            <w:r>
              <w:rPr>
                <w:b/>
              </w:rPr>
              <w:t xml:space="preserve">Total</w:t>
            </w:r>
          </w:p>
        </w:tc>
        <w:tc>
          <w:tcPr>
            <w:tcW w:w="1704" w:type="dxa"/>
          </w:tcPr>
          <w:p>
            <w:pPr/>
            <w:r>
              <w:rPr>
                <w:b/>
              </w:rPr>
              <w:t xml:space="preserve">204,209</w:t>
            </w:r>
          </w:p>
        </w:tc>
        <w:tc>
          <w:tcPr>
            <w:tcW w:w="2325" w:type="dxa"/>
          </w:tcPr>
          <w:p>
            <w:pPr/>
            <w:r>
              <w:rPr>
                <w:b/>
              </w:rPr>
              <w:t xml:space="preserve">220,337</w:t>
            </w:r>
          </w:p>
        </w:tc>
        <w:tc>
          <w:tcPr>
            <w:tcW w:w="1265" w:type="dxa"/>
          </w:tcPr>
          <w:p>
            <w:pPr/>
            <w:r>
              <w:rPr>
                <w:b/>
              </w:rPr>
              <w:t xml:space="preserve">424,546</w:t>
            </w:r>
          </w:p>
        </w:tc>
        <w:tc>
          <w:tcPr>
            <w:tcW w:w="1772" w:type="dxa"/>
          </w:tcPr>
          <w:p>
            <w:pPr/>
            <w:r>
              <w:rPr>
                <w:b/>
              </w:rPr>
              <w:t xml:space="preserve">879,601</w:t>
            </w:r>
          </w:p>
        </w:tc>
      </w:tr>
    </w:tbl>
    <w:p>
      <w:pPr/>
      <w:r>
        <w:t xml:space="preserve">"Other core campaigns" includes the earlier abandoned checkout versions: Abandoned checkout campaign (v1) until Dec 2025 and Abandoned checkout campaign v2 from Dec 2025 to Aug 2026. Both are now archived. It also includes Failed Charge, Onboarding — Dog, Onboarding — Cat, Card Validation, Testimonial and Abandoned Checkout — All Products (dynamic). Small amounts in the Promos column for Dec, Jan, Feb and Oct are late sends from earlier promos.</w:t>
      </w:r>
    </w:p>
    <w:p>
      <w:pPr/>
      <w:r>
        <w:t xml:space="preserve">To check a month in Customer.io, open the campaign, set the date range to that month, choose SMS, and read Sent.</w:t>
      </w:r>
    </w:p>
    <w:p>
      <w:pPr>
        <w:pStyle w:val="Heading2"/>
      </w:pPr>
      <w:r>
        <w:t xml:space="preserve">Holiday campaigns: about 0.8M a year</w:t>
      </w:r>
    </w:p>
    <w:p>
      <w:pPr/>
      <w:r>
        <w:t xml:space="preserve">We plan 4 holiday campaigns, each one text to our full list of about 200k people:</w:t>
      </w:r>
    </w:p>
    <w:p>
      <w:pPr>
        <w:pStyle w:val="ListParagraph"/>
        <w:numPr>
          <w:ilvl w:val="0"/>
          <w:numId w:val="2"/>
        </w:numPr>
      </w:pPr>
      <w:r>
        <w:t xml:space="preserve">BFCM (Nov 2026): 200k</w:t>
      </w:r>
    </w:p>
    <w:p>
      <w:pPr>
        <w:pStyle w:val="ListParagraph"/>
        <w:numPr>
          <w:ilvl w:val="0"/>
          <w:numId w:val="2"/>
        </w:numPr>
      </w:pPr>
      <w:r>
        <w:t xml:space="preserve">Christmas (Dec 2026): 200k</w:t>
      </w:r>
    </w:p>
    <w:p>
      <w:pPr>
        <w:pStyle w:val="ListParagraph"/>
        <w:numPr>
          <w:ilvl w:val="0"/>
          <w:numId w:val="2"/>
        </w:numPr>
      </w:pPr>
      <w:r>
        <w:t xml:space="preserve">New Year (Jan 2027): 200k</w:t>
      </w:r>
    </w:p>
    <w:p>
      <w:pPr>
        <w:pStyle w:val="ListParagraph"/>
        <w:numPr>
          <w:ilvl w:val="0"/>
          <w:numId w:val="2"/>
        </w:numPr>
      </w:pPr>
      <w:r>
        <w:t xml:space="preserve">July 4 (2027): 200k</w:t>
      </w:r>
    </w:p>
    <w:p>
      <w:pPr>
        <w:pStyle w:val="Heading2"/>
      </w:pPr>
      <w:r>
        <w:t xml:space="preserve">For the Twilio call</w:t>
      </w:r>
    </w:p>
    <w:p>
      <w:pPr>
        <w:pStyle w:val="ListParagraph"/>
        <w:numPr>
          <w:ilvl w:val="0"/>
          <w:numId w:val="3"/>
        </w:numPr>
      </w:pPr>
      <w:r>
        <w:t xml:space="preserve">Commit to the core volume only, about 1.0M a year, and pay for holiday campaigns as extra volume at the same rate.</w:t>
      </w:r>
    </w:p>
    <w:p>
      <w:pPr>
        <w:pStyle w:val="ListParagraph"/>
        <w:numPr>
          <w:ilvl w:val="0"/>
          <w:numId w:val="3"/>
        </w:numPr>
      </w:pPr>
      <w:r>
        <w:t xml:space="preserve">These counts are messages. Twilio bills per segment, so check our segments-per-message ratio in the Twilio console first.</w:t>
      </w:r>
    </w:p>
    <w:p>
      <w:pPr/>
      <w:r>
        <w:t xml:space="preserve">Source: Customer.io campaign metrics, last 12 months.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SMS Volume Estimate (Simple)</dc:title>
  <dc:description>Claude Docs node/dfe597bf-01bf@6 docx-w7</dc:description>
  <cp:revision>6</cp:revision>
</cp:coreProperties>
</file>