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SMS Volume Estimate (Simple)</w:t>
      </w:r>
    </w:p>
    <w:p>
      <w:pPr/>
      <w:r>
        <w:t xml:space="preserve">Oct 29, 2026</w:t>
      </w:r>
      <w:r>
        <w:t xml:space="preserve"> · </w:t>
      </w:r>
      <w:r>
        <w:t xml:space="preserve">@Adeel A</w:t>
      </w:r>
    </w:p>
    <w:p>
      <w:pPr/>
      <w:r>
        <w:t xml:space="preserve">We expect to send </w:t>
      </w:r>
      <w:r>
        <w:rPr>
          <w:b/>
        </w:rPr>
        <w:t xml:space="preserve">about 1.8M SMS in the next 12 months (Nov 2026 to Oct 2027)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23"/>
        <w:gridCol w:w="1440"/>
        <w:gridCol w:w="2254"/>
        <w:gridCol w:w="1440"/>
      </w:tblGrid>
      <w:tr>
        <w:trPr>
          <w:tblHeader/>
        </w:trPr>
        <w:tc>
          <w:tcPr>
            <w:tcW w:w="4223" w:type="dxa"/>
            <w:shd w:val="clear" w:color="auto" w:fill="F2F2F2"/>
          </w:tcPr>
          <w:p>
            <w:pPr/>
            <w:r>
              <w:t xml:space="preserve">Part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Low</w:t>
            </w:r>
          </w:p>
        </w:tc>
        <w:tc>
          <w:tcPr>
            <w:tcW w:w="2254" w:type="dxa"/>
            <w:shd w:val="clear" w:color="auto" w:fill="F2F2F2"/>
          </w:tcPr>
          <w:p>
            <w:pPr/>
            <w:r>
              <w:t xml:space="preserve">Expected</w:t>
            </w:r>
          </w:p>
        </w:tc>
        <w:tc>
          <w:tcPr>
            <w:tcW w:w="1440" w:type="dxa"/>
            <w:shd w:val="clear" w:color="auto" w:fill="F2F2F2"/>
          </w:tcPr>
          <w:p>
            <w:pPr/>
            <w:r>
              <w:t xml:space="preserve">High</w:t>
            </w:r>
          </w:p>
        </w:tc>
      </w:tr>
      <w:tr>
        <w:tc>
          <w:tcPr>
            <w:tcW w:w="4223" w:type="dxa"/>
          </w:tcPr>
          <w:p>
            <w:pPr/>
            <w:r>
              <w:t xml:space="preserve">Core automations</w:t>
            </w:r>
          </w:p>
        </w:tc>
        <w:tc>
          <w:tcPr>
            <w:tcW w:w="1440" w:type="dxa"/>
          </w:tcPr>
          <w:p>
            <w:pPr/>
            <w:r>
              <w:t xml:space="preserve">0.7M</w:t>
            </w:r>
          </w:p>
        </w:tc>
        <w:tc>
          <w:tcPr>
            <w:tcW w:w="2254" w:type="dxa"/>
          </w:tcPr>
          <w:p>
            <w:pPr/>
            <w:r>
              <w:rPr>
                <w:b/>
              </w:rPr>
              <w:t xml:space="preserve">1.0M</w:t>
            </w:r>
          </w:p>
        </w:tc>
        <w:tc>
          <w:tcPr>
            <w:tcW w:w="1440" w:type="dxa"/>
          </w:tcPr>
          <w:p>
            <w:pPr/>
            <w:r>
              <w:t xml:space="preserve">1.2M</w:t>
            </w:r>
          </w:p>
        </w:tc>
      </w:tr>
      <w:tr>
        <w:tc>
          <w:tcPr>
            <w:tcW w:w="4223" w:type="dxa"/>
          </w:tcPr>
          <w:p>
            <w:pPr/>
            <w:r>
              <w:t xml:space="preserve">Holiday campaigns</w:t>
            </w:r>
          </w:p>
        </w:tc>
        <w:tc>
          <w:tcPr>
            <w:tcW w:w="1440" w:type="dxa"/>
          </w:tcPr>
          <w:p>
            <w:pPr/>
            <w:r>
              <w:t xml:space="preserve">0.6M</w:t>
            </w:r>
          </w:p>
        </w:tc>
        <w:tc>
          <w:tcPr>
            <w:tcW w:w="2254" w:type="dxa"/>
          </w:tcPr>
          <w:p>
            <w:pPr/>
            <w:r>
              <w:rPr>
                <w:b/>
              </w:rPr>
              <w:t xml:space="preserve">0.8M</w:t>
            </w:r>
          </w:p>
        </w:tc>
        <w:tc>
          <w:tcPr>
            <w:tcW w:w="1440" w:type="dxa"/>
          </w:tcPr>
          <w:p>
            <w:pPr/>
            <w:r>
              <w:t xml:space="preserve">2.5M</w:t>
            </w:r>
          </w:p>
        </w:tc>
      </w:tr>
      <w:tr>
        <w:tc>
          <w:tcPr>
            <w:tcW w:w="4223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1440" w:type="dxa"/>
          </w:tcPr>
          <w:p>
            <w:pPr/>
            <w:r>
              <w:rPr>
                <w:b/>
              </w:rPr>
              <w:t xml:space="preserve">1.3M</w:t>
            </w:r>
          </w:p>
        </w:tc>
        <w:tc>
          <w:tcPr>
            <w:tcW w:w="2254" w:type="dxa"/>
          </w:tcPr>
          <w:p>
            <w:pPr/>
            <w:r>
              <w:rPr>
                <w:b/>
              </w:rPr>
              <w:t xml:space="preserve">1.8M</w:t>
            </w:r>
          </w:p>
        </w:tc>
        <w:tc>
          <w:tcPr>
            <w:tcW w:w="1440" w:type="dxa"/>
          </w:tcPr>
          <w:p>
            <w:pPr/>
            <w:r>
              <w:rPr>
                <w:b/>
              </w:rPr>
              <w:t xml:space="preserve">3.7M</w:t>
            </w:r>
          </w:p>
        </w:tc>
      </w:tr>
    </w:tbl>
    <w:p>
      <w:pPr>
        <w:pStyle w:val="Heading2"/>
      </w:pPr>
      <w:r>
        <w:t xml:space="preserve">Core automations: about 1.0M a year</w:t>
      </w:r>
    </w:p>
    <w:p>
      <w:pPr/>
      <w:r>
        <w:t xml:space="preserve">The live campaigns with SMS sent 76,593 messages in October (Oct 1 to 29), about 80k a month.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02"/>
        <w:gridCol w:w="2892"/>
        <w:gridCol w:w="1866"/>
      </w:tblGrid>
      <w:tr>
        <w:trPr>
          <w:tblHeader/>
        </w:trPr>
        <w:tc>
          <w:tcPr>
            <w:tcW w:w="4602" w:type="dxa"/>
            <w:shd w:val="clear" w:color="auto" w:fill="F2F2F2"/>
          </w:tcPr>
          <w:p>
            <w:pPr/>
            <w:r>
              <w:t xml:space="preserve">Campaign</w:t>
            </w:r>
          </w:p>
        </w:tc>
        <w:tc>
          <w:tcPr>
            <w:tcW w:w="2892" w:type="dxa"/>
            <w:shd w:val="clear" w:color="auto" w:fill="F2F2F2"/>
          </w:tcPr>
          <w:p>
            <w:pPr/>
            <w:r>
              <w:t xml:space="preserve">Oct 2026 SMS (Oct 1–29)</w:t>
            </w:r>
          </w:p>
        </w:tc>
        <w:tc>
          <w:tcPr>
            <w:tcW w:w="1866" w:type="dxa"/>
            <w:shd w:val="clear" w:color="auto" w:fill="F2F2F2"/>
          </w:tcPr>
          <w:p>
            <w:pPr/>
            <w:r>
              <w:t xml:space="preserve">Typical month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Abandoned Checkout Campaign v3</w:t>
            </w:r>
          </w:p>
        </w:tc>
        <w:tc>
          <w:tcPr>
            <w:tcW w:w="2892" w:type="dxa"/>
          </w:tcPr>
          <w:p>
            <w:pPr/>
            <w:r>
              <w:t xml:space="preserve">72,261</w:t>
            </w:r>
          </w:p>
        </w:tc>
        <w:tc>
          <w:tcPr>
            <w:tcW w:w="1866" w:type="dxa"/>
          </w:tcPr>
          <w:p>
            <w:pPr/>
            <w:r>
              <w:t xml:space="preserve">~77,500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Onboarding — Dog</w:t>
            </w:r>
          </w:p>
        </w:tc>
        <w:tc>
          <w:tcPr>
            <w:tcW w:w="2892" w:type="dxa"/>
          </w:tcPr>
          <w:p>
            <w:pPr/>
            <w:r>
              <w:t xml:space="preserve">2,166</w:t>
            </w:r>
          </w:p>
        </w:tc>
        <w:tc>
          <w:tcPr>
            <w:tcW w:w="1866" w:type="dxa"/>
          </w:tcPr>
          <w:p>
            <w:pPr/>
            <w:r>
              <w:t xml:space="preserve">~2,000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Failed Charge</w:t>
            </w:r>
          </w:p>
        </w:tc>
        <w:tc>
          <w:tcPr>
            <w:tcW w:w="2892" w:type="dxa"/>
          </w:tcPr>
          <w:p>
            <w:pPr/>
            <w:r>
              <w:t xml:space="preserve">1,024</w:t>
            </w:r>
          </w:p>
        </w:tc>
        <w:tc>
          <w:tcPr>
            <w:tcW w:w="1866" w:type="dxa"/>
          </w:tcPr>
          <w:p>
            <w:pPr/>
            <w:r>
              <w:t xml:space="preserve">~1,000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Onboarding — Cat</w:t>
            </w:r>
          </w:p>
        </w:tc>
        <w:tc>
          <w:tcPr>
            <w:tcW w:w="2892" w:type="dxa"/>
          </w:tcPr>
          <w:p>
            <w:pPr/>
            <w:r>
              <w:t xml:space="preserve">889</w:t>
            </w:r>
          </w:p>
        </w:tc>
        <w:tc>
          <w:tcPr>
            <w:tcW w:w="1866" w:type="dxa"/>
          </w:tcPr>
          <w:p>
            <w:pPr/>
            <w:r>
              <w:t xml:space="preserve">~600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Card Validation — Pre-Renewal Series</w:t>
            </w:r>
          </w:p>
        </w:tc>
        <w:tc>
          <w:tcPr>
            <w:tcW w:w="2892" w:type="dxa"/>
          </w:tcPr>
          <w:p>
            <w:pPr/>
            <w:r>
              <w:t xml:space="preserve">202</w:t>
            </w:r>
          </w:p>
        </w:tc>
        <w:tc>
          <w:tcPr>
            <w:tcW w:w="1866" w:type="dxa"/>
          </w:tcPr>
          <w:p>
            <w:pPr/>
            <w:r>
              <w:t xml:space="preserve">~270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Testimonial Campaign 1 - August 2025</w:t>
            </w:r>
          </w:p>
        </w:tc>
        <w:tc>
          <w:tcPr>
            <w:tcW w:w="2892" w:type="dxa"/>
          </w:tcPr>
          <w:p>
            <w:pPr/>
            <w:r>
              <w:t xml:space="preserve">47</w:t>
            </w:r>
          </w:p>
        </w:tc>
        <w:tc>
          <w:tcPr>
            <w:tcW w:w="1866" w:type="dxa"/>
          </w:tcPr>
          <w:p>
            <w:pPr/>
            <w:r>
              <w:t xml:space="preserve">~40</w:t>
            </w:r>
          </w:p>
        </w:tc>
      </w:tr>
      <w:tr>
        <w:tc>
          <w:tcPr>
            <w:tcW w:w="4602" w:type="dxa"/>
          </w:tcPr>
          <w:p>
            <w:pPr/>
            <w:r>
              <w:t xml:space="preserve">Abandoned Checkout — All Products (dynamic)</w:t>
            </w:r>
          </w:p>
        </w:tc>
        <w:tc>
          <w:tcPr>
            <w:tcW w:w="2892" w:type="dxa"/>
          </w:tcPr>
          <w:p>
            <w:pPr/>
            <w:r>
              <w:t xml:space="preserve">4</w:t>
            </w:r>
          </w:p>
        </w:tc>
        <w:tc>
          <w:tcPr>
            <w:tcW w:w="1866" w:type="dxa"/>
          </w:tcPr>
          <w:p>
            <w:pPr/>
            <w:r>
              <w:t xml:space="preserve">New, test-level</w:t>
            </w:r>
          </w:p>
        </w:tc>
      </w:tr>
      <w:tr>
        <w:tc>
          <w:tcPr>
            <w:tcW w:w="4602" w:type="dxa"/>
          </w:tcPr>
          <w:p>
            <w:pPr/>
            <w:r>
              <w:rPr>
                <w:b/>
              </w:rPr>
              <w:t xml:space="preserve">Total</w:t>
            </w:r>
          </w:p>
        </w:tc>
        <w:tc>
          <w:tcPr>
            <w:tcW w:w="2892" w:type="dxa"/>
          </w:tcPr>
          <w:p>
            <w:pPr/>
            <w:r>
              <w:rPr>
                <w:b/>
              </w:rPr>
              <w:t xml:space="preserve">76,593</w:t>
            </w:r>
          </w:p>
        </w:tc>
        <w:tc>
          <w:tcPr>
            <w:tcW w:w="1866" w:type="dxa"/>
          </w:tcPr>
          <w:p>
            <w:pPr/>
            <w:r>
              <w:rPr>
                <w:b/>
              </w:rPr>
              <w:t xml:space="preserve">~81,400</w:t>
            </w:r>
          </w:p>
        </w:tc>
      </w:tr>
    </w:tbl>
    <w:p>
      <w:pPr>
        <w:pStyle w:val="Heading2"/>
      </w:pPr>
      <w:r>
        <w:t xml:space="preserve">Holiday campaigns: about 0.8M a year</w:t>
      </w:r>
    </w:p>
    <w:p>
      <w:pPr/>
      <w:r>
        <w:t xml:space="preserve">We plan 4 holiday campaigns, each one text to our full list of about 200k people:</w:t>
      </w:r>
    </w:p>
    <w:p>
      <w:pPr>
        <w:pStyle w:val="ListParagraph"/>
        <w:numPr>
          <w:ilvl w:val="0"/>
          <w:numId w:val="2"/>
        </w:numPr>
      </w:pPr>
      <w:r>
        <w:t xml:space="preserve">BFCM (Nov 2026): 200k</w:t>
      </w:r>
    </w:p>
    <w:p>
      <w:pPr>
        <w:pStyle w:val="ListParagraph"/>
        <w:numPr>
          <w:ilvl w:val="0"/>
          <w:numId w:val="2"/>
        </w:numPr>
      </w:pPr>
      <w:r>
        <w:t xml:space="preserve">Christmas (Dec 2026): 200k</w:t>
      </w:r>
    </w:p>
    <w:p>
      <w:pPr>
        <w:pStyle w:val="ListParagraph"/>
        <w:numPr>
          <w:ilvl w:val="0"/>
          <w:numId w:val="2"/>
        </w:numPr>
      </w:pPr>
      <w:r>
        <w:t xml:space="preserve">New Year (Jan 2027): 200k</w:t>
      </w:r>
    </w:p>
    <w:p>
      <w:pPr>
        <w:pStyle w:val="ListParagraph"/>
        <w:numPr>
          <w:ilvl w:val="0"/>
          <w:numId w:val="2"/>
        </w:numPr>
      </w:pPr>
      <w:r>
        <w:t xml:space="preserve">July 4 (2027): 200k</w:t>
      </w:r>
    </w:p>
    <w:p>
      <w:pPr>
        <w:pStyle w:val="Heading2"/>
      </w:pPr>
      <w:r>
        <w:t xml:space="preserve">For the Twilio call</w:t>
      </w:r>
    </w:p>
    <w:p>
      <w:pPr>
        <w:pStyle w:val="ListParagraph"/>
        <w:numPr>
          <w:ilvl w:val="0"/>
          <w:numId w:val="3"/>
        </w:numPr>
      </w:pPr>
      <w:r>
        <w:t xml:space="preserve">Commit to the core volume only, about 1.0M a year, and pay for holiday campaigns as extra volume at the same rate.</w:t>
      </w:r>
    </w:p>
    <w:p>
      <w:pPr>
        <w:pStyle w:val="ListParagraph"/>
        <w:numPr>
          <w:ilvl w:val="0"/>
          <w:numId w:val="3"/>
        </w:numPr>
      </w:pPr>
      <w:r>
        <w:t xml:space="preserve">These counts are messages. Twilio bills per segment, so check our segments-per-message ratio in the Twilio console first.</w:t>
      </w:r>
    </w:p>
    <w:p>
      <w:pPr/>
      <w:r>
        <w:t xml:space="preserve">Source: Customer.io campaign metrics, last 12 months.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SMS Volume Estimate (Simple)</dc:title>
  <dc:description>Claude Docs node/dfe597bf-01bf@2 docx-w7</dc:description>
  <cp:revision>2</cp:revision>
</cp:coreProperties>
</file>