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Skin Lesion Classification with CNN Transfer Learning and Classical Machine Learning on ISIC 2019</w:t>
      </w:r>
    </w:p>
    <w:p>
      <w:pPr>
        <w:spacing w:after="60"/>
        <w:jc w:val="center"/>
      </w:pPr>
      <w:r>
        <w:rPr>
          <w:i/>
          <w:iCs/>
          <w:sz w:val="24"/>
          <w:szCs w:val="24"/>
        </w:rPr>
        <w:t xml:space="preserve">Task 01: Comparative Evaluation of Transfer-Learning Backbones and Deep-Feature Classifiers</w:t>
      </w:r>
    </w:p>
    <w:p>
      <w:pPr>
        <w:spacing w:after="40"/>
        <w:jc w:val="center"/>
      </w:pPr>
      <w:r>
        <w:rPr>
          <w:sz w:val="22"/>
          <w:szCs w:val="22"/>
        </w:rPr>
        <w:t xml:space="preserve">Adeel</w:t>
      </w:r>
    </w:p>
    <w:p>
      <w:pPr>
        <w:spacing w:after="40"/>
        <w:jc w:val="center"/>
      </w:pPr>
      <w:r>
        <w:rPr>
          <w:sz w:val="20"/>
          <w:szCs w:val="20"/>
        </w:rPr>
        <w:t xml:space="preserve">Final Year BS Artificial Intelligence, COMSATS University Islamabad, Wah Campus</w:t>
      </w:r>
    </w:p>
    <w:p>
      <w:pPr>
        <w:spacing w:after="300"/>
        <w:jc w:val="center"/>
      </w:pPr>
      <w:r>
        <w:rPr>
          <w:sz w:val="20"/>
          <w:szCs w:val="20"/>
        </w:rPr>
        <w:t xml:space="preserve">September 2026</w:t>
      </w:r>
    </w:p>
    <w:p>
      <w:pPr>
        <w:pStyle w:val="Heading1"/>
        <w:spacing w:after="160" w:before="360"/>
      </w:pPr>
      <w:r>
        <w:t xml:space="preserve">Abstract</w:t>
      </w:r>
    </w:p>
    <w:p>
      <w:pPr>
        <w:spacing w:after="200"/>
      </w:pPr>
      <w:r>
        <w:rPr>
          <w:b w:val="false"/>
          <w:bCs w:val="false"/>
          <w:i w:val="false"/>
          <w:iCs w:val="false"/>
        </w:rPr>
        <w:t xml:space="preserve">This report presents a comparative study of transfer learning and classical machine learning for automated skin lesion classification on a five-class subset of the ISIC 2019 dataset (Melanoma, Melanocytic Nevus, Basal Cell Carcinoma, Benign Keratosis, and Actinic Keratosis; 24,211 images). Eight ImageNet-pretrained convolutional backbones (AlexNet, VGG16, VGG19, ResNet18, ResNet50, ResNet101, DenseNet121, and EfficientNet-B0) were fine-tuned using a two-phase warmup-then-fine-tune schedule and compared on accuracy, macro precision, macro recall, macro F1-score, and macro one-vs-rest AUC. ResNet50 achieved the strongest end-to-end accuracy (81.19%). Deep features extracted from ResNet50 were then used to train seven classical classifiers, among which a radial basis function support vector machine (RBF-SVM) achieved the highest accuracy (82.98%), narrowly outperforming the best fine-tuned CNN. A computational efficiency comparison across seven of the eight backbones shows EfficientNet-B0 offers the strongest accuracy-to-cost ratio. Hyperparameter tuning of the best classifier and GPU-based inference timing were configured and initiated but interrupted by a runtime disconnect before they finished; this report documents that gap transparently, reports what can honestly be reported in its place, and specifies exactly how to complete it.</w:t>
      </w:r>
    </w:p>
    <w:p>
      <w:pPr>
        <w:pStyle w:val="Heading1"/>
        <w:spacing w:after="160" w:before="360"/>
      </w:pPr>
      <w:r>
        <w:t xml:space="preserve">1. Introduction</w:t>
      </w:r>
    </w:p>
    <w:p>
      <w:pPr>
        <w:spacing w:after="200"/>
      </w:pPr>
      <w:r>
        <w:rPr>
          <w:b w:val="false"/>
          <w:bCs w:val="false"/>
          <w:i w:val="false"/>
          <w:iCs w:val="false"/>
        </w:rPr>
        <w:t xml:space="preserve">Early and accurate identification of skin lesions is an important step toward timely treatment of skin cancer, and manual dermatological assessment is time-consuming and dependent on the examiner's experience. Convolutional neural networks (CNNs) have become the standard tool for image-based diagnosis support, but training a CNN from scratch requires far more labelled data and compute than is typically available in a coursework setting. Transfer learning, reusing a network already trained on a large natural-image dataset such as ImageNet, and adapting it to a new task, addresses this by requiring far less data and training time. A related and lighter-weight alternative is to use a pretrained CNN purely as a fixed feature extractor and train a classical machine learning classifier on top of the extracted features, which is cheaper to train and tune than fine-tuning an entire network.</w:t>
      </w:r>
    </w:p>
    <w:p>
      <w:pPr>
        <w:spacing w:after="200"/>
      </w:pPr>
      <w:r>
        <w:rPr>
          <w:b w:val="false"/>
          <w:bCs w:val="false"/>
          <w:i w:val="false"/>
          <w:iCs w:val="false"/>
        </w:rPr>
        <w:t xml:space="preserve">This report addresses four linked objectives set out in the assignment: (1) compare eight pretrained CNN backbones as end-to-end classifiers on a skin lesion dataset (Table 1); (2) extract deep features from whichever backbone performs best and compare seven classical classifiers trained on those features (Table 2); (3) tune the hyperparameters of the best-performing classifier from step 2; and (4) compare the computational efficiency, in terms of parameter count, on-disk size, FLOPs, and inference time, of the backbones used in step 1 (Table 3). The remainder of this report describes the dataset, the methodology used for each of the four objectives, the resulting tables, and a discussion of what they show.</w:t>
      </w:r>
    </w:p>
    <w:p>
      <w:pPr>
        <w:pStyle w:val="Heading1"/>
        <w:spacing w:after="160" w:before="360"/>
      </w:pPr>
      <w:r>
        <w:t xml:space="preserve">2. Dataset and Preprocessing</w:t>
      </w:r>
    </w:p>
    <w:p>
      <w:pPr>
        <w:spacing w:after="200"/>
      </w:pPr>
      <w:r>
        <w:rPr>
          <w:b w:val="false"/>
          <w:bCs w:val="false"/>
          <w:i w:val="false"/>
          <w:iCs w:val="false"/>
        </w:rPr>
        <w:t xml:space="preserve">The dataset used is ISIC 2019 (International Skin Imaging Collaboration, 2019 challenge), obtained via the Kaggle mirror “salviohexia/isic-2019-skin-lesion-images-for-classification”. The full dataset contains 25,331 dermoscopic images across eight diagnostic classes: Melanoma (MEL), Melanocytic Nevus (NV), Basal Cell Carcinoma (BCC), Actinic Keratosis (AK), Benign Keratosis (BKL), Dermatofibroma (DF), Vascular Lesion (VASC), and Squamous Cell Carcinoma (SCC).</w:t>
      </w:r>
    </w:p>
    <w:p>
      <w:pPr>
        <w:spacing w:after="200"/>
      </w:pPr>
      <w:r>
        <w:rPr>
          <w:b w:val="false"/>
          <w:bCs w:val="false"/>
          <w:i w:val="false"/>
          <w:iCs w:val="false"/>
        </w:rPr>
        <w:t xml:space="preserve">Because the full eight-class dataset is too large to train eight backbones plus seven classifiers within the available laboratory time, the instructor directed reducing the problem to five classes: MEL, NV, BCC, BKL, and AK. This retained 24,211 of the 25,331 images (95.6%) and dropped only the three smallest, rarest classes (DF, VASC, SCC). The resulting class distribution is shown in Table 0 below.</w:t>
      </w:r>
    </w:p>
    <w:p>
      <w:pPr>
        <w:spacing w:after="80" w:before="120"/>
      </w:pPr>
      <w:r>
        <w:rPr>
          <w:b/>
          <w:bCs/>
        </w:rPr>
        <w:t xml:space="preserve">Table 0. Class distribution of the five-class subset used in this study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1800"/>
        <w:gridCol w:w="2626"/>
      </w:tblGrid>
      <w:tr>
        <w:trPr>
          <w:tblHeader/>
        </w:trPr>
        <w:tc>
          <w:tcPr>
            <w:tcW w:type="dxa" w:w="1400"/>
            <w:shd w:fill="D9E2F3" w:val="clear"/>
            <w:tcMar>
              <w:top w:type="dxa" w:w="60"/>
              <w:left w:type="dxa" w:w="100"/>
              <w:bottom w:type="dxa" w:w="60"/>
              <w:right w:type="dxa" w:w="100"/>
            </w:tcMar>
            <w:vAlign w:val="center"/>
          </w:tcPr>
          <w:p>
            <w:pPr>
              <w:jc w:val="center"/>
            </w:pPr>
            <w:r>
              <w:rPr>
                <w:b/>
                <w:bCs/>
                <w:sz w:val="20"/>
                <w:szCs w:val="20"/>
              </w:rPr>
              <w:t xml:space="preserve">Code</w:t>
            </w:r>
          </w:p>
        </w:tc>
        <w:tc>
          <w:tcPr>
            <w:tcW w:type="dxa" w:w="3200"/>
            <w:shd w:fill="D9E2F3" w:val="clear"/>
            <w:tcMar>
              <w:top w:type="dxa" w:w="60"/>
              <w:left w:type="dxa" w:w="100"/>
              <w:bottom w:type="dxa" w:w="60"/>
              <w:right w:type="dxa" w:w="100"/>
            </w:tcMar>
            <w:vAlign w:val="center"/>
          </w:tcPr>
          <w:p>
            <w:pPr>
              <w:jc w:val="center"/>
            </w:pPr>
            <w:r>
              <w:rPr>
                <w:b/>
                <w:bCs/>
                <w:sz w:val="20"/>
                <w:szCs w:val="20"/>
              </w:rPr>
              <w:t xml:space="preserve">Class</w:t>
            </w:r>
          </w:p>
        </w:tc>
        <w:tc>
          <w:tcPr>
            <w:tcW w:type="dxa" w:w="1800"/>
            <w:shd w:fill="D9E2F3" w:val="clear"/>
            <w:tcMar>
              <w:top w:type="dxa" w:w="60"/>
              <w:left w:type="dxa" w:w="100"/>
              <w:bottom w:type="dxa" w:w="60"/>
              <w:right w:type="dxa" w:w="100"/>
            </w:tcMar>
            <w:vAlign w:val="center"/>
          </w:tcPr>
          <w:p>
            <w:pPr>
              <w:jc w:val="center"/>
            </w:pPr>
            <w:r>
              <w:rPr>
                <w:b/>
                <w:bCs/>
                <w:sz w:val="20"/>
                <w:szCs w:val="20"/>
              </w:rPr>
              <w:t xml:space="preserve">Images</w:t>
            </w:r>
          </w:p>
        </w:tc>
        <w:tc>
          <w:tcPr>
            <w:tcW w:type="dxa" w:w="2626"/>
            <w:shd w:fill="D9E2F3" w:val="clear"/>
            <w:tcMar>
              <w:top w:type="dxa" w:w="60"/>
              <w:left w:type="dxa" w:w="100"/>
              <w:bottom w:type="dxa" w:w="60"/>
              <w:right w:type="dxa" w:w="100"/>
            </w:tcMar>
            <w:vAlign w:val="center"/>
          </w:tcPr>
          <w:p>
            <w:pPr>
              <w:jc w:val="center"/>
            </w:pPr>
            <w:r>
              <w:rPr>
                <w:b/>
                <w:bCs/>
                <w:sz w:val="20"/>
                <w:szCs w:val="20"/>
              </w:rPr>
              <w:t xml:space="preserve">Share of subset</w:t>
            </w:r>
          </w:p>
        </w:tc>
      </w:tr>
      <w:tr>
        <w:tc>
          <w:tcPr>
            <w:tcW w:type="dxa" w:w="1400"/>
            <w:tcMar>
              <w:top w:type="dxa" w:w="60"/>
              <w:left w:type="dxa" w:w="100"/>
              <w:bottom w:type="dxa" w:w="60"/>
              <w:right w:type="dxa" w:w="100"/>
            </w:tcMar>
            <w:vAlign w:val="center"/>
          </w:tcPr>
          <w:p>
            <w:pPr>
              <w:jc w:val="left"/>
            </w:pPr>
            <w:r>
              <w:rPr>
                <w:b w:val="false"/>
                <w:bCs w:val="false"/>
                <w:sz w:val="20"/>
                <w:szCs w:val="20"/>
              </w:rPr>
              <w:t xml:space="preserve">NV</w:t>
            </w:r>
          </w:p>
        </w:tc>
        <w:tc>
          <w:tcPr>
            <w:tcW w:type="dxa" w:w="3200"/>
            <w:tcMar>
              <w:top w:type="dxa" w:w="60"/>
              <w:left w:type="dxa" w:w="100"/>
              <w:bottom w:type="dxa" w:w="60"/>
              <w:right w:type="dxa" w:w="100"/>
            </w:tcMar>
            <w:vAlign w:val="center"/>
          </w:tcPr>
          <w:p>
            <w:pPr>
              <w:jc w:val="center"/>
            </w:pPr>
            <w:r>
              <w:rPr>
                <w:b w:val="false"/>
                <w:bCs w:val="false"/>
                <w:sz w:val="20"/>
                <w:szCs w:val="20"/>
              </w:rPr>
              <w:t xml:space="preserve">Melanocytic Nevus</w:t>
            </w:r>
          </w:p>
        </w:tc>
        <w:tc>
          <w:tcPr>
            <w:tcW w:type="dxa" w:w="1800"/>
            <w:tcMar>
              <w:top w:type="dxa" w:w="60"/>
              <w:left w:type="dxa" w:w="100"/>
              <w:bottom w:type="dxa" w:w="60"/>
              <w:right w:type="dxa" w:w="100"/>
            </w:tcMar>
            <w:vAlign w:val="center"/>
          </w:tcPr>
          <w:p>
            <w:pPr>
              <w:jc w:val="center"/>
            </w:pPr>
            <w:r>
              <w:rPr>
                <w:b w:val="false"/>
                <w:bCs w:val="false"/>
                <w:sz w:val="20"/>
                <w:szCs w:val="20"/>
              </w:rPr>
              <w:t xml:space="preserve">12,875</w:t>
            </w:r>
          </w:p>
        </w:tc>
        <w:tc>
          <w:tcPr>
            <w:tcW w:type="dxa" w:w="2626"/>
            <w:tcMar>
              <w:top w:type="dxa" w:w="60"/>
              <w:left w:type="dxa" w:w="100"/>
              <w:bottom w:type="dxa" w:w="60"/>
              <w:right w:type="dxa" w:w="100"/>
            </w:tcMar>
            <w:vAlign w:val="center"/>
          </w:tcPr>
          <w:p>
            <w:pPr>
              <w:jc w:val="center"/>
            </w:pPr>
            <w:r>
              <w:rPr>
                <w:b w:val="false"/>
                <w:bCs w:val="false"/>
                <w:sz w:val="20"/>
                <w:szCs w:val="20"/>
              </w:rPr>
              <w:t xml:space="preserve">53.2%</w:t>
            </w:r>
          </w:p>
        </w:tc>
      </w:tr>
      <w:tr>
        <w:tc>
          <w:tcPr>
            <w:tcW w:type="dxa" w:w="1400"/>
            <w:tcMar>
              <w:top w:type="dxa" w:w="60"/>
              <w:left w:type="dxa" w:w="100"/>
              <w:bottom w:type="dxa" w:w="60"/>
              <w:right w:type="dxa" w:w="100"/>
            </w:tcMar>
            <w:vAlign w:val="center"/>
          </w:tcPr>
          <w:p>
            <w:pPr>
              <w:jc w:val="left"/>
            </w:pPr>
            <w:r>
              <w:rPr>
                <w:b w:val="false"/>
                <w:bCs w:val="false"/>
                <w:sz w:val="20"/>
                <w:szCs w:val="20"/>
              </w:rPr>
              <w:t xml:space="preserve">MEL</w:t>
            </w:r>
          </w:p>
        </w:tc>
        <w:tc>
          <w:tcPr>
            <w:tcW w:type="dxa" w:w="3200"/>
            <w:tcMar>
              <w:top w:type="dxa" w:w="60"/>
              <w:left w:type="dxa" w:w="100"/>
              <w:bottom w:type="dxa" w:w="60"/>
              <w:right w:type="dxa" w:w="100"/>
            </w:tcMar>
            <w:vAlign w:val="center"/>
          </w:tcPr>
          <w:p>
            <w:pPr>
              <w:jc w:val="center"/>
            </w:pPr>
            <w:r>
              <w:rPr>
                <w:b w:val="false"/>
                <w:bCs w:val="false"/>
                <w:sz w:val="20"/>
                <w:szCs w:val="20"/>
              </w:rPr>
              <w:t xml:space="preserve">Melanoma</w:t>
            </w:r>
          </w:p>
        </w:tc>
        <w:tc>
          <w:tcPr>
            <w:tcW w:type="dxa" w:w="1800"/>
            <w:tcMar>
              <w:top w:type="dxa" w:w="60"/>
              <w:left w:type="dxa" w:w="100"/>
              <w:bottom w:type="dxa" w:w="60"/>
              <w:right w:type="dxa" w:w="100"/>
            </w:tcMar>
            <w:vAlign w:val="center"/>
          </w:tcPr>
          <w:p>
            <w:pPr>
              <w:jc w:val="center"/>
            </w:pPr>
            <w:r>
              <w:rPr>
                <w:b w:val="false"/>
                <w:bCs w:val="false"/>
                <w:sz w:val="20"/>
                <w:szCs w:val="20"/>
              </w:rPr>
              <w:t xml:space="preserve">4,522</w:t>
            </w:r>
          </w:p>
        </w:tc>
        <w:tc>
          <w:tcPr>
            <w:tcW w:type="dxa" w:w="2626"/>
            <w:tcMar>
              <w:top w:type="dxa" w:w="60"/>
              <w:left w:type="dxa" w:w="100"/>
              <w:bottom w:type="dxa" w:w="60"/>
              <w:right w:type="dxa" w:w="100"/>
            </w:tcMar>
            <w:vAlign w:val="center"/>
          </w:tcPr>
          <w:p>
            <w:pPr>
              <w:jc w:val="center"/>
            </w:pPr>
            <w:r>
              <w:rPr>
                <w:b w:val="false"/>
                <w:bCs w:val="false"/>
                <w:sz w:val="20"/>
                <w:szCs w:val="20"/>
              </w:rPr>
              <w:t xml:space="preserve">18.7%</w:t>
            </w:r>
          </w:p>
        </w:tc>
      </w:tr>
      <w:tr>
        <w:tc>
          <w:tcPr>
            <w:tcW w:type="dxa" w:w="1400"/>
            <w:tcMar>
              <w:top w:type="dxa" w:w="60"/>
              <w:left w:type="dxa" w:w="100"/>
              <w:bottom w:type="dxa" w:w="60"/>
              <w:right w:type="dxa" w:w="100"/>
            </w:tcMar>
            <w:vAlign w:val="center"/>
          </w:tcPr>
          <w:p>
            <w:pPr>
              <w:jc w:val="left"/>
            </w:pPr>
            <w:r>
              <w:rPr>
                <w:b w:val="false"/>
                <w:bCs w:val="false"/>
                <w:sz w:val="20"/>
                <w:szCs w:val="20"/>
              </w:rPr>
              <w:t xml:space="preserve">BCC</w:t>
            </w:r>
          </w:p>
        </w:tc>
        <w:tc>
          <w:tcPr>
            <w:tcW w:type="dxa" w:w="3200"/>
            <w:tcMar>
              <w:top w:type="dxa" w:w="60"/>
              <w:left w:type="dxa" w:w="100"/>
              <w:bottom w:type="dxa" w:w="60"/>
              <w:right w:type="dxa" w:w="100"/>
            </w:tcMar>
            <w:vAlign w:val="center"/>
          </w:tcPr>
          <w:p>
            <w:pPr>
              <w:jc w:val="center"/>
            </w:pPr>
            <w:r>
              <w:rPr>
                <w:b w:val="false"/>
                <w:bCs w:val="false"/>
                <w:sz w:val="20"/>
                <w:szCs w:val="20"/>
              </w:rPr>
              <w:t xml:space="preserve">Basal Cell Carcinoma</w:t>
            </w:r>
          </w:p>
        </w:tc>
        <w:tc>
          <w:tcPr>
            <w:tcW w:type="dxa" w:w="1800"/>
            <w:tcMar>
              <w:top w:type="dxa" w:w="60"/>
              <w:left w:type="dxa" w:w="100"/>
              <w:bottom w:type="dxa" w:w="60"/>
              <w:right w:type="dxa" w:w="100"/>
            </w:tcMar>
            <w:vAlign w:val="center"/>
          </w:tcPr>
          <w:p>
            <w:pPr>
              <w:jc w:val="center"/>
            </w:pPr>
            <w:r>
              <w:rPr>
                <w:b w:val="false"/>
                <w:bCs w:val="false"/>
                <w:sz w:val="20"/>
                <w:szCs w:val="20"/>
              </w:rPr>
              <w:t xml:space="preserve">3,323</w:t>
            </w:r>
          </w:p>
        </w:tc>
        <w:tc>
          <w:tcPr>
            <w:tcW w:type="dxa" w:w="2626"/>
            <w:tcMar>
              <w:top w:type="dxa" w:w="60"/>
              <w:left w:type="dxa" w:w="100"/>
              <w:bottom w:type="dxa" w:w="60"/>
              <w:right w:type="dxa" w:w="100"/>
            </w:tcMar>
            <w:vAlign w:val="center"/>
          </w:tcPr>
          <w:p>
            <w:pPr>
              <w:jc w:val="center"/>
            </w:pPr>
            <w:r>
              <w:rPr>
                <w:b w:val="false"/>
                <w:bCs w:val="false"/>
                <w:sz w:val="20"/>
                <w:szCs w:val="20"/>
              </w:rPr>
              <w:t xml:space="preserve">13.7%</w:t>
            </w:r>
          </w:p>
        </w:tc>
      </w:tr>
      <w:tr>
        <w:tc>
          <w:tcPr>
            <w:tcW w:type="dxa" w:w="1400"/>
            <w:tcMar>
              <w:top w:type="dxa" w:w="60"/>
              <w:left w:type="dxa" w:w="100"/>
              <w:bottom w:type="dxa" w:w="60"/>
              <w:right w:type="dxa" w:w="100"/>
            </w:tcMar>
            <w:vAlign w:val="center"/>
          </w:tcPr>
          <w:p>
            <w:pPr>
              <w:jc w:val="left"/>
            </w:pPr>
            <w:r>
              <w:rPr>
                <w:b w:val="false"/>
                <w:bCs w:val="false"/>
                <w:sz w:val="20"/>
                <w:szCs w:val="20"/>
              </w:rPr>
              <w:t xml:space="preserve">BKL</w:t>
            </w:r>
          </w:p>
        </w:tc>
        <w:tc>
          <w:tcPr>
            <w:tcW w:type="dxa" w:w="3200"/>
            <w:tcMar>
              <w:top w:type="dxa" w:w="60"/>
              <w:left w:type="dxa" w:w="100"/>
              <w:bottom w:type="dxa" w:w="60"/>
              <w:right w:type="dxa" w:w="100"/>
            </w:tcMar>
            <w:vAlign w:val="center"/>
          </w:tcPr>
          <w:p>
            <w:pPr>
              <w:jc w:val="center"/>
            </w:pPr>
            <w:r>
              <w:rPr>
                <w:b w:val="false"/>
                <w:bCs w:val="false"/>
                <w:sz w:val="20"/>
                <w:szCs w:val="20"/>
              </w:rPr>
              <w:t xml:space="preserve">Benign Keratosis</w:t>
            </w:r>
          </w:p>
        </w:tc>
        <w:tc>
          <w:tcPr>
            <w:tcW w:type="dxa" w:w="1800"/>
            <w:tcMar>
              <w:top w:type="dxa" w:w="60"/>
              <w:left w:type="dxa" w:w="100"/>
              <w:bottom w:type="dxa" w:w="60"/>
              <w:right w:type="dxa" w:w="100"/>
            </w:tcMar>
            <w:vAlign w:val="center"/>
          </w:tcPr>
          <w:p>
            <w:pPr>
              <w:jc w:val="center"/>
            </w:pPr>
            <w:r>
              <w:rPr>
                <w:b w:val="false"/>
                <w:bCs w:val="false"/>
                <w:sz w:val="20"/>
                <w:szCs w:val="20"/>
              </w:rPr>
              <w:t xml:space="preserve">2,624</w:t>
            </w:r>
          </w:p>
        </w:tc>
        <w:tc>
          <w:tcPr>
            <w:tcW w:type="dxa" w:w="2626"/>
            <w:tcMar>
              <w:top w:type="dxa" w:w="60"/>
              <w:left w:type="dxa" w:w="100"/>
              <w:bottom w:type="dxa" w:w="60"/>
              <w:right w:type="dxa" w:w="100"/>
            </w:tcMar>
            <w:vAlign w:val="center"/>
          </w:tcPr>
          <w:p>
            <w:pPr>
              <w:jc w:val="center"/>
            </w:pPr>
            <w:r>
              <w:rPr>
                <w:b w:val="false"/>
                <w:bCs w:val="false"/>
                <w:sz w:val="20"/>
                <w:szCs w:val="20"/>
              </w:rPr>
              <w:t xml:space="preserve">10.8%</w:t>
            </w:r>
          </w:p>
        </w:tc>
      </w:tr>
      <w:tr>
        <w:tc>
          <w:tcPr>
            <w:tcW w:type="dxa" w:w="1400"/>
            <w:tcMar>
              <w:top w:type="dxa" w:w="60"/>
              <w:left w:type="dxa" w:w="100"/>
              <w:bottom w:type="dxa" w:w="60"/>
              <w:right w:type="dxa" w:w="100"/>
            </w:tcMar>
            <w:vAlign w:val="center"/>
          </w:tcPr>
          <w:p>
            <w:pPr>
              <w:jc w:val="left"/>
            </w:pPr>
            <w:r>
              <w:rPr>
                <w:b w:val="false"/>
                <w:bCs w:val="false"/>
                <w:sz w:val="20"/>
                <w:szCs w:val="20"/>
              </w:rPr>
              <w:t xml:space="preserve">AK</w:t>
            </w:r>
          </w:p>
        </w:tc>
        <w:tc>
          <w:tcPr>
            <w:tcW w:type="dxa" w:w="3200"/>
            <w:tcMar>
              <w:top w:type="dxa" w:w="60"/>
              <w:left w:type="dxa" w:w="100"/>
              <w:bottom w:type="dxa" w:w="60"/>
              <w:right w:type="dxa" w:w="100"/>
            </w:tcMar>
            <w:vAlign w:val="center"/>
          </w:tcPr>
          <w:p>
            <w:pPr>
              <w:jc w:val="center"/>
            </w:pPr>
            <w:r>
              <w:rPr>
                <w:b w:val="false"/>
                <w:bCs w:val="false"/>
                <w:sz w:val="20"/>
                <w:szCs w:val="20"/>
              </w:rPr>
              <w:t xml:space="preserve">Actinic Keratosis</w:t>
            </w:r>
          </w:p>
        </w:tc>
        <w:tc>
          <w:tcPr>
            <w:tcW w:type="dxa" w:w="1800"/>
            <w:tcMar>
              <w:top w:type="dxa" w:w="60"/>
              <w:left w:type="dxa" w:w="100"/>
              <w:bottom w:type="dxa" w:w="60"/>
              <w:right w:type="dxa" w:w="100"/>
            </w:tcMar>
            <w:vAlign w:val="center"/>
          </w:tcPr>
          <w:p>
            <w:pPr>
              <w:jc w:val="center"/>
            </w:pPr>
            <w:r>
              <w:rPr>
                <w:b w:val="false"/>
                <w:bCs w:val="false"/>
                <w:sz w:val="20"/>
                <w:szCs w:val="20"/>
              </w:rPr>
              <w:t xml:space="preserve">867</w:t>
            </w:r>
          </w:p>
        </w:tc>
        <w:tc>
          <w:tcPr>
            <w:tcW w:type="dxa" w:w="2626"/>
            <w:tcMar>
              <w:top w:type="dxa" w:w="60"/>
              <w:left w:type="dxa" w:w="100"/>
              <w:bottom w:type="dxa" w:w="60"/>
              <w:right w:type="dxa" w:w="100"/>
            </w:tcMar>
            <w:vAlign w:val="center"/>
          </w:tcPr>
          <w:p>
            <w:pPr>
              <w:jc w:val="center"/>
            </w:pPr>
            <w:r>
              <w:rPr>
                <w:b w:val="false"/>
                <w:bCs w:val="false"/>
                <w:sz w:val="20"/>
                <w:szCs w:val="20"/>
              </w:rPr>
              <w:t xml:space="preserve">3.6%</w:t>
            </w:r>
          </w:p>
        </w:tc>
      </w:tr>
    </w:tbl>
    <w:p>
      <w:pPr>
        <w:spacing w:after="200"/>
      </w:pPr>
      <w:r>
        <w:rPr>
          <w:i/>
          <w:iCs/>
          <w:sz w:val="20"/>
          <w:szCs w:val="20"/>
        </w:rPr>
        <w:t xml:space="preserve">Note: NV alone accounts for more than half of the subset, while AK accounts for well under 5%, so the dataset is meaningfully imbalanced even after dropping the three rarest classes.</w:t>
      </w:r>
    </w:p>
    <w:p>
      <w:pPr>
        <w:spacing w:after="200"/>
      </w:pPr>
      <w:r>
        <w:rPr>
          <w:b w:val="false"/>
          <w:bCs w:val="false"/>
          <w:i w:val="false"/>
          <w:iCs w:val="false"/>
        </w:rPr>
        <w:t xml:space="preserve">The subset was split into training, validation, and test sets using a stratified 70/15/15 split (stratified on class label, random seed fixed for reproducibility), giving 16,947 training images, 3,632 validation images, and 3,632 test images. All images were resized to 224×224 pixels and cached in memory once as decoded arrays to remove repeated JPEG decode and resize cost across epochs, then normalized to ImageNet mean and standard deviation before being passed to any network. Training images were additionally augmented with a random horizontal flip and a random rotation of up to 15 degrees to reduce overfitting given the limited number of images in the minority classes; validation and test images received no augmentation.</w:t>
      </w:r>
    </w:p>
    <w:p>
      <w:pPr>
        <w:spacing w:after="200"/>
      </w:pPr>
      <w:r>
        <w:rPr>
          <w:b w:val="false"/>
          <w:bCs w:val="false"/>
          <w:i w:val="false"/>
          <w:iCs w:val="false"/>
        </w:rPr>
        <w:t xml:space="preserve">Class imbalance was addressed throughout the pipeline rather than only at one stage: CNN training used a cross-entropy loss weighted by inverse class frequency (for example, AK received a weight of 5.58 and NV a weight of 0.38), and every classical classifier in Task 2 used balanced class weighting or balanced sample weighting during fitting.</w:t>
      </w:r>
    </w:p>
    <w:p>
      <w:pPr>
        <w:pStyle w:val="Heading1"/>
        <w:spacing w:after="160" w:before="360"/>
      </w:pPr>
      <w:r>
        <w:t xml:space="preserve">3. Methodology</w:t>
      </w:r>
    </w:p>
    <w:p>
      <w:pPr>
        <w:pStyle w:val="Heading2"/>
        <w:spacing w:after="120" w:before="260"/>
      </w:pPr>
      <w:r>
        <w:t xml:space="preserve">3.1 Transfer-Learning Backbone Comparison (Task 1)</w:t>
      </w:r>
    </w:p>
    <w:p>
      <w:pPr>
        <w:spacing w:after="200"/>
      </w:pPr>
      <w:r>
        <w:rPr>
          <w:b w:val="false"/>
          <w:bCs w:val="false"/>
          <w:i w:val="false"/>
          <w:iCs w:val="false"/>
        </w:rPr>
        <w:t xml:space="preserve">Eight ImageNet-pretrained backbones were compared: AlexNet, VGG16, VGG19, ResNet18, ResNet50, ResNet101, DenseNet121, and EfficientNet-B0. For each backbone, the final classification layer was replaced with a new linear layer with five outputs, one per retained class. Each model was trained with a two-phase warmup-then-fine-tune schedule rather than a single training phase: in the warmup phase (2 epochs) the pretrained backbone was frozen and only the new classification head was trained, using the Adam optimizer at a learning rate of 1×10⁻³; in the fine-tune phase (6 epochs) all layers were unfrozen and trained jointly at a lower learning rate of 1×10⁻⁴. This warmup step lets the randomly initialized head start learning sensible weights before it is allowed to influence gradients flowing back into the pretrained backbone, which reduces the risk of the initial noisy head disturbing otherwise useful pretrained filters. All models used a batch size of 64 and the class-weighted cross-entropy loss described above. Each trained model was evaluated once on the held-out test set, reporting accuracy, macro-averaged precision, recall and F1-score, and macro-averaged one-vs-rest AUC.</w:t>
      </w:r>
    </w:p>
    <w:p>
      <w:pPr>
        <w:pStyle w:val="Heading2"/>
        <w:spacing w:after="120" w:before="260"/>
      </w:pPr>
      <w:r>
        <w:t xml:space="preserve">3.2 Deep-Feature Extraction and Classical Classifiers (Task 2)</w:t>
      </w:r>
    </w:p>
    <w:p>
      <w:pPr>
        <w:spacing w:after="200"/>
      </w:pPr>
      <w:r>
        <w:rPr>
          <w:b w:val="false"/>
          <w:bCs w:val="false"/>
          <w:i w:val="false"/>
          <w:iCs w:val="false"/>
        </w:rPr>
        <w:t xml:space="preserve">The best-performing backbone from Task 1 (ResNet50, see Section 4.1) was reused as a fixed feature extractor by replacing its final layer with an identity mapping, yielding a 2048-dimensional feature vector per image (train features: 16,947 × 2048; test features: 3,632 × 2048). Seven classical classifiers were trained on these features: Logistic Regression (balanced class weights, max_iter = 2000), Decision Tree (balanced class weights), Random Forest (200 trees, balanced class weights), K-Nearest Neighbors (k = 5), Linear SVM (balanced class weights), RBF-SVM (balanced class weights), and XGBoost (200 estimators, balanced sample weights). The two SVM variants were trained on a stratified 6,000-image subsample of the training features rather than the full 16,947, since SVM training time grows steeply with sample count; all other classifiers used the full training set. Every classifier was evaluated once on the same held-out test features using the same five metrics as Task 1.</w:t>
      </w:r>
    </w:p>
    <w:p>
      <w:pPr>
        <w:pStyle w:val="Heading2"/>
        <w:spacing w:after="120" w:before="260"/>
      </w:pPr>
      <w:r>
        <w:t xml:space="preserve">3.3 Hyperparameter Tuning of the Best Classifier</w:t>
      </w:r>
    </w:p>
    <w:p>
      <w:pPr>
        <w:spacing w:after="200"/>
      </w:pPr>
      <w:r>
        <w:rPr>
          <w:b w:val="false"/>
          <w:bCs w:val="false"/>
          <w:i w:val="false"/>
          <w:iCs w:val="false"/>
        </w:rPr>
        <w:t xml:space="preserve">The classifier with the highest test accuracy in Task 2, RBF-SVM (see Section 4.2), was selected for hyperparameter tuning. A grid search with 3-fold cross-validation, scored on accuracy, was configured over C ∈ {0.1, 1, 10, 100} and gamma ∈ {scale, 0.01, 0.001}, a total of 12 parameter combinations and 36 model fits.</w:t>
      </w:r>
    </w:p>
    <w:p>
      <w:pPr>
        <w:pStyle w:val="Heading2"/>
        <w:spacing w:after="120" w:before="260"/>
      </w:pPr>
      <w:r>
        <w:t xml:space="preserve">3.4 Computational Efficiency Benchmark</w:t>
      </w:r>
    </w:p>
    <w:p>
      <w:pPr>
        <w:spacing w:after="200"/>
      </w:pPr>
      <w:r>
        <w:rPr>
          <w:b w:val="false"/>
          <w:bCs w:val="false"/>
          <w:i w:val="false"/>
          <w:iCs w:val="false"/>
        </w:rPr>
        <w:t xml:space="preserve">Seven of the eight Task 1 backbones (all except ResNet101, consistent with the assignment's Table 3 template) were compared on four efficiency measures: parameter count, obtained by summing the number of elements across all model parameters; on-disk size, obtained by serializing the model's state dictionary to disk and measuring the resulting file size; FLOPs, estimated with the thop library using the standard convention of two FLOPs per multiply-accumulate operation (thop's authors note this is approximate for some layer types in newer architectures such as EfficientNet's squeeze-and-excitation blocks); and single-image inference time, measured as the mean wall-clock time of 30 forward passes on one 224×224 image after 5 unmeasured warmup passes. Accuracy for each model was carried over from Table 1.</w:t>
      </w:r>
    </w:p>
    <w:p>
      <w:pPr>
        <w:pStyle w:val="Heading1"/>
        <w:spacing w:after="160" w:before="360"/>
      </w:pPr>
      <w:r>
        <w:t xml:space="preserve">4. Results</w:t>
      </w:r>
    </w:p>
    <w:p>
      <w:pPr>
        <w:pStyle w:val="Heading2"/>
        <w:spacing w:after="120" w:before="260"/>
      </w:pPr>
      <w:r>
        <w:t xml:space="preserve">4.1 Table 1: Comparison of Transfer-Learning Models</w:t>
      </w:r>
    </w:p>
    <w:p>
      <w:pPr>
        <w:spacing w:after="80" w:before="120"/>
      </w:pPr>
      <w:r>
        <w:rPr>
          <w:b/>
          <w:bCs/>
        </w:rPr>
        <w:t xml:space="preserve">Table 1. Comparison of Transfer Learning Models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365"/>
        <w:gridCol w:w="1365"/>
        <w:gridCol w:w="1365"/>
        <w:gridCol w:w="1365"/>
        <w:gridCol w:w="1365"/>
      </w:tblGrid>
      <w:tr>
        <w:trPr>
          <w:tblHeader/>
        </w:trPr>
        <w:tc>
          <w:tcPr>
            <w:tcW w:type="dxa" w:w="2200"/>
            <w:shd w:fill="D9E2F3" w:val="clear"/>
            <w:tcMar>
              <w:top w:type="dxa" w:w="60"/>
              <w:left w:type="dxa" w:w="100"/>
              <w:bottom w:type="dxa" w:w="60"/>
              <w:right w:type="dxa" w:w="100"/>
            </w:tcMar>
            <w:vAlign w:val="center"/>
          </w:tcPr>
          <w:p>
            <w:pPr>
              <w:jc w:val="center"/>
            </w:pPr>
            <w:r>
              <w:rPr>
                <w:b/>
                <w:bCs/>
                <w:sz w:val="20"/>
                <w:szCs w:val="20"/>
              </w:rPr>
              <w:t xml:space="preserve">Model</w:t>
            </w:r>
          </w:p>
        </w:tc>
        <w:tc>
          <w:tcPr>
            <w:tcW w:type="dxa" w:w="1365"/>
            <w:shd w:fill="D9E2F3" w:val="clear"/>
            <w:tcMar>
              <w:top w:type="dxa" w:w="60"/>
              <w:left w:type="dxa" w:w="100"/>
              <w:bottom w:type="dxa" w:w="60"/>
              <w:right w:type="dxa" w:w="100"/>
            </w:tcMar>
            <w:vAlign w:val="center"/>
          </w:tcPr>
          <w:p>
            <w:pPr>
              <w:jc w:val="center"/>
            </w:pPr>
            <w:r>
              <w:rPr>
                <w:b/>
                <w:bCs/>
                <w:sz w:val="20"/>
                <w:szCs w:val="20"/>
              </w:rPr>
              <w:t xml:space="preserve">Accuracy (%)</w:t>
            </w:r>
          </w:p>
        </w:tc>
        <w:tc>
          <w:tcPr>
            <w:tcW w:type="dxa" w:w="1365"/>
            <w:shd w:fill="D9E2F3" w:val="clear"/>
            <w:tcMar>
              <w:top w:type="dxa" w:w="60"/>
              <w:left w:type="dxa" w:w="100"/>
              <w:bottom w:type="dxa" w:w="60"/>
              <w:right w:type="dxa" w:w="100"/>
            </w:tcMar>
            <w:vAlign w:val="center"/>
          </w:tcPr>
          <w:p>
            <w:pPr>
              <w:jc w:val="center"/>
            </w:pPr>
            <w:r>
              <w:rPr>
                <w:b/>
                <w:bCs/>
                <w:sz w:val="20"/>
                <w:szCs w:val="20"/>
              </w:rPr>
              <w:t xml:space="preserve">Precision (%)</w:t>
            </w:r>
          </w:p>
        </w:tc>
        <w:tc>
          <w:tcPr>
            <w:tcW w:type="dxa" w:w="1365"/>
            <w:shd w:fill="D9E2F3" w:val="clear"/>
            <w:tcMar>
              <w:top w:type="dxa" w:w="60"/>
              <w:left w:type="dxa" w:w="100"/>
              <w:bottom w:type="dxa" w:w="60"/>
              <w:right w:type="dxa" w:w="100"/>
            </w:tcMar>
            <w:vAlign w:val="center"/>
          </w:tcPr>
          <w:p>
            <w:pPr>
              <w:jc w:val="center"/>
            </w:pPr>
            <w:r>
              <w:rPr>
                <w:b/>
                <w:bCs/>
                <w:sz w:val="20"/>
                <w:szCs w:val="20"/>
              </w:rPr>
              <w:t xml:space="preserve">Recall (%)</w:t>
            </w:r>
          </w:p>
        </w:tc>
        <w:tc>
          <w:tcPr>
            <w:tcW w:type="dxa" w:w="1365"/>
            <w:shd w:fill="D9E2F3" w:val="clear"/>
            <w:tcMar>
              <w:top w:type="dxa" w:w="60"/>
              <w:left w:type="dxa" w:w="100"/>
              <w:bottom w:type="dxa" w:w="60"/>
              <w:right w:type="dxa" w:w="100"/>
            </w:tcMar>
            <w:vAlign w:val="center"/>
          </w:tcPr>
          <w:p>
            <w:pPr>
              <w:jc w:val="center"/>
            </w:pPr>
            <w:r>
              <w:rPr>
                <w:b/>
                <w:bCs/>
                <w:sz w:val="20"/>
                <w:szCs w:val="20"/>
              </w:rPr>
              <w:t xml:space="preserve">F1-Score (%)</w:t>
            </w:r>
          </w:p>
        </w:tc>
        <w:tc>
          <w:tcPr>
            <w:tcW w:type="dxa" w:w="1365"/>
            <w:shd w:fill="D9E2F3" w:val="clear"/>
            <w:tcMar>
              <w:top w:type="dxa" w:w="60"/>
              <w:left w:type="dxa" w:w="100"/>
              <w:bottom w:type="dxa" w:w="60"/>
              <w:right w:type="dxa" w:w="100"/>
            </w:tcMar>
            <w:vAlign w:val="center"/>
          </w:tcPr>
          <w:p>
            <w:pPr>
              <w:jc w:val="center"/>
            </w:pPr>
            <w:r>
              <w:rPr>
                <w:b/>
                <w:bCs/>
                <w:sz w:val="20"/>
                <w:szCs w:val="20"/>
              </w:rPr>
              <w:t xml:space="preserve">AUC (%)</w:t>
            </w:r>
          </w:p>
        </w:tc>
      </w:tr>
      <w:tr>
        <w:tc>
          <w:tcPr>
            <w:tcW w:type="dxa" w:w="2200"/>
            <w:tcMar>
              <w:top w:type="dxa" w:w="60"/>
              <w:left w:type="dxa" w:w="100"/>
              <w:bottom w:type="dxa" w:w="60"/>
              <w:right w:type="dxa" w:w="100"/>
            </w:tcMar>
            <w:vAlign w:val="center"/>
          </w:tcPr>
          <w:p>
            <w:pPr>
              <w:jc w:val="left"/>
            </w:pPr>
            <w:r>
              <w:rPr>
                <w:b w:val="false"/>
                <w:bCs w:val="false"/>
                <w:sz w:val="20"/>
                <w:szCs w:val="20"/>
              </w:rPr>
              <w:t xml:space="preserve">AlexNet</w:t>
            </w:r>
          </w:p>
        </w:tc>
        <w:tc>
          <w:tcPr>
            <w:tcW w:type="dxa" w:w="1365"/>
            <w:tcMar>
              <w:top w:type="dxa" w:w="60"/>
              <w:left w:type="dxa" w:w="100"/>
              <w:bottom w:type="dxa" w:w="60"/>
              <w:right w:type="dxa" w:w="100"/>
            </w:tcMar>
            <w:vAlign w:val="center"/>
          </w:tcPr>
          <w:p>
            <w:pPr>
              <w:jc w:val="center"/>
            </w:pPr>
            <w:r>
              <w:rPr>
                <w:b w:val="false"/>
                <w:bCs w:val="false"/>
                <w:sz w:val="20"/>
                <w:szCs w:val="20"/>
              </w:rPr>
              <w:t xml:space="preserve">65.09</w:t>
            </w:r>
          </w:p>
        </w:tc>
        <w:tc>
          <w:tcPr>
            <w:tcW w:type="dxa" w:w="1365"/>
            <w:tcMar>
              <w:top w:type="dxa" w:w="60"/>
              <w:left w:type="dxa" w:w="100"/>
              <w:bottom w:type="dxa" w:w="60"/>
              <w:right w:type="dxa" w:w="100"/>
            </w:tcMar>
            <w:vAlign w:val="center"/>
          </w:tcPr>
          <w:p>
            <w:pPr>
              <w:jc w:val="center"/>
            </w:pPr>
            <w:r>
              <w:rPr>
                <w:b w:val="false"/>
                <w:bCs w:val="false"/>
                <w:sz w:val="20"/>
                <w:szCs w:val="20"/>
              </w:rPr>
              <w:t xml:space="preserve">58.16</w:t>
            </w:r>
          </w:p>
        </w:tc>
        <w:tc>
          <w:tcPr>
            <w:tcW w:type="dxa" w:w="1365"/>
            <w:tcMar>
              <w:top w:type="dxa" w:w="60"/>
              <w:left w:type="dxa" w:w="100"/>
              <w:bottom w:type="dxa" w:w="60"/>
              <w:right w:type="dxa" w:w="100"/>
            </w:tcMar>
            <w:vAlign w:val="center"/>
          </w:tcPr>
          <w:p>
            <w:pPr>
              <w:jc w:val="center"/>
            </w:pPr>
            <w:r>
              <w:rPr>
                <w:b w:val="false"/>
                <w:bCs w:val="false"/>
                <w:sz w:val="20"/>
                <w:szCs w:val="20"/>
              </w:rPr>
              <w:t xml:space="preserve">68.58</w:t>
            </w:r>
          </w:p>
        </w:tc>
        <w:tc>
          <w:tcPr>
            <w:tcW w:type="dxa" w:w="1365"/>
            <w:tcMar>
              <w:top w:type="dxa" w:w="60"/>
              <w:left w:type="dxa" w:w="100"/>
              <w:bottom w:type="dxa" w:w="60"/>
              <w:right w:type="dxa" w:w="100"/>
            </w:tcMar>
            <w:vAlign w:val="center"/>
          </w:tcPr>
          <w:p>
            <w:pPr>
              <w:jc w:val="center"/>
            </w:pPr>
            <w:r>
              <w:rPr>
                <w:b w:val="false"/>
                <w:bCs w:val="false"/>
                <w:sz w:val="20"/>
                <w:szCs w:val="20"/>
              </w:rPr>
              <w:t xml:space="preserve">60.19</w:t>
            </w:r>
          </w:p>
        </w:tc>
        <w:tc>
          <w:tcPr>
            <w:tcW w:type="dxa" w:w="1365"/>
            <w:tcMar>
              <w:top w:type="dxa" w:w="60"/>
              <w:left w:type="dxa" w:w="100"/>
              <w:bottom w:type="dxa" w:w="60"/>
              <w:right w:type="dxa" w:w="100"/>
            </w:tcMar>
            <w:vAlign w:val="center"/>
          </w:tcPr>
          <w:p>
            <w:pPr>
              <w:jc w:val="center"/>
            </w:pPr>
            <w:r>
              <w:rPr>
                <w:b w:val="false"/>
                <w:bCs w:val="false"/>
                <w:sz w:val="20"/>
                <w:szCs w:val="20"/>
              </w:rPr>
              <w:t xml:space="preserve">91.11</w:t>
            </w:r>
          </w:p>
        </w:tc>
      </w:tr>
      <w:tr>
        <w:tc>
          <w:tcPr>
            <w:tcW w:type="dxa" w:w="2200"/>
            <w:tcMar>
              <w:top w:type="dxa" w:w="60"/>
              <w:left w:type="dxa" w:w="100"/>
              <w:bottom w:type="dxa" w:w="60"/>
              <w:right w:type="dxa" w:w="100"/>
            </w:tcMar>
            <w:vAlign w:val="center"/>
          </w:tcPr>
          <w:p>
            <w:pPr>
              <w:jc w:val="left"/>
            </w:pPr>
            <w:r>
              <w:rPr>
                <w:b w:val="false"/>
                <w:bCs w:val="false"/>
                <w:sz w:val="20"/>
                <w:szCs w:val="20"/>
              </w:rPr>
              <w:t xml:space="preserve">VGG16</w:t>
            </w:r>
          </w:p>
        </w:tc>
        <w:tc>
          <w:tcPr>
            <w:tcW w:type="dxa" w:w="1365"/>
            <w:tcMar>
              <w:top w:type="dxa" w:w="60"/>
              <w:left w:type="dxa" w:w="100"/>
              <w:bottom w:type="dxa" w:w="60"/>
              <w:right w:type="dxa" w:w="100"/>
            </w:tcMar>
            <w:vAlign w:val="center"/>
          </w:tcPr>
          <w:p>
            <w:pPr>
              <w:jc w:val="center"/>
            </w:pPr>
            <w:r>
              <w:rPr>
                <w:b w:val="false"/>
                <w:bCs w:val="false"/>
                <w:sz w:val="20"/>
                <w:szCs w:val="20"/>
              </w:rPr>
              <w:t xml:space="preserve">71.37</w:t>
            </w:r>
          </w:p>
        </w:tc>
        <w:tc>
          <w:tcPr>
            <w:tcW w:type="dxa" w:w="1365"/>
            <w:tcMar>
              <w:top w:type="dxa" w:w="60"/>
              <w:left w:type="dxa" w:w="100"/>
              <w:bottom w:type="dxa" w:w="60"/>
              <w:right w:type="dxa" w:w="100"/>
            </w:tcMar>
            <w:vAlign w:val="center"/>
          </w:tcPr>
          <w:p>
            <w:pPr>
              <w:jc w:val="center"/>
            </w:pPr>
            <w:r>
              <w:rPr>
                <w:b w:val="false"/>
                <w:bCs w:val="false"/>
                <w:sz w:val="20"/>
                <w:szCs w:val="20"/>
              </w:rPr>
              <w:t xml:space="preserve">63.05</w:t>
            </w:r>
          </w:p>
        </w:tc>
        <w:tc>
          <w:tcPr>
            <w:tcW w:type="dxa" w:w="1365"/>
            <w:tcMar>
              <w:top w:type="dxa" w:w="60"/>
              <w:left w:type="dxa" w:w="100"/>
              <w:bottom w:type="dxa" w:w="60"/>
              <w:right w:type="dxa" w:w="100"/>
            </w:tcMar>
            <w:vAlign w:val="center"/>
          </w:tcPr>
          <w:p>
            <w:pPr>
              <w:jc w:val="center"/>
            </w:pPr>
            <w:r>
              <w:rPr>
                <w:b w:val="false"/>
                <w:bCs w:val="false"/>
                <w:sz w:val="20"/>
                <w:szCs w:val="20"/>
              </w:rPr>
              <w:t xml:space="preserve">70.00</w:t>
            </w:r>
          </w:p>
        </w:tc>
        <w:tc>
          <w:tcPr>
            <w:tcW w:type="dxa" w:w="1365"/>
            <w:tcMar>
              <w:top w:type="dxa" w:w="60"/>
              <w:left w:type="dxa" w:w="100"/>
              <w:bottom w:type="dxa" w:w="60"/>
              <w:right w:type="dxa" w:w="100"/>
            </w:tcMar>
            <w:vAlign w:val="center"/>
          </w:tcPr>
          <w:p>
            <w:pPr>
              <w:jc w:val="center"/>
            </w:pPr>
            <w:r>
              <w:rPr>
                <w:b w:val="false"/>
                <w:bCs w:val="false"/>
                <w:sz w:val="20"/>
                <w:szCs w:val="20"/>
              </w:rPr>
              <w:t xml:space="preserve">65.08</w:t>
            </w:r>
          </w:p>
        </w:tc>
        <w:tc>
          <w:tcPr>
            <w:tcW w:type="dxa" w:w="1365"/>
            <w:tcMar>
              <w:top w:type="dxa" w:w="60"/>
              <w:left w:type="dxa" w:w="100"/>
              <w:bottom w:type="dxa" w:w="60"/>
              <w:right w:type="dxa" w:w="100"/>
            </w:tcMar>
            <w:vAlign w:val="center"/>
          </w:tcPr>
          <w:p>
            <w:pPr>
              <w:jc w:val="center"/>
            </w:pPr>
            <w:r>
              <w:rPr>
                <w:b w:val="false"/>
                <w:bCs w:val="false"/>
                <w:sz w:val="20"/>
                <w:szCs w:val="20"/>
              </w:rPr>
              <w:t xml:space="preserve">92.57</w:t>
            </w:r>
          </w:p>
        </w:tc>
      </w:tr>
      <w:tr>
        <w:tc>
          <w:tcPr>
            <w:tcW w:type="dxa" w:w="2200"/>
            <w:tcMar>
              <w:top w:type="dxa" w:w="60"/>
              <w:left w:type="dxa" w:w="100"/>
              <w:bottom w:type="dxa" w:w="60"/>
              <w:right w:type="dxa" w:w="100"/>
            </w:tcMar>
            <w:vAlign w:val="center"/>
          </w:tcPr>
          <w:p>
            <w:pPr>
              <w:jc w:val="left"/>
            </w:pPr>
            <w:r>
              <w:rPr>
                <w:b w:val="false"/>
                <w:bCs w:val="false"/>
                <w:sz w:val="20"/>
                <w:szCs w:val="20"/>
              </w:rPr>
              <w:t xml:space="preserve">VGG19</w:t>
            </w:r>
          </w:p>
        </w:tc>
        <w:tc>
          <w:tcPr>
            <w:tcW w:type="dxa" w:w="1365"/>
            <w:tcMar>
              <w:top w:type="dxa" w:w="60"/>
              <w:left w:type="dxa" w:w="100"/>
              <w:bottom w:type="dxa" w:w="60"/>
              <w:right w:type="dxa" w:w="100"/>
            </w:tcMar>
            <w:vAlign w:val="center"/>
          </w:tcPr>
          <w:p>
            <w:pPr>
              <w:jc w:val="center"/>
            </w:pPr>
            <w:r>
              <w:rPr>
                <w:b w:val="false"/>
                <w:bCs w:val="false"/>
                <w:sz w:val="20"/>
                <w:szCs w:val="20"/>
              </w:rPr>
              <w:t xml:space="preserve">64.29</w:t>
            </w:r>
          </w:p>
        </w:tc>
        <w:tc>
          <w:tcPr>
            <w:tcW w:type="dxa" w:w="1365"/>
            <w:tcMar>
              <w:top w:type="dxa" w:w="60"/>
              <w:left w:type="dxa" w:w="100"/>
              <w:bottom w:type="dxa" w:w="60"/>
              <w:right w:type="dxa" w:w="100"/>
            </w:tcMar>
            <w:vAlign w:val="center"/>
          </w:tcPr>
          <w:p>
            <w:pPr>
              <w:jc w:val="center"/>
            </w:pPr>
            <w:r>
              <w:rPr>
                <w:b w:val="false"/>
                <w:bCs w:val="false"/>
                <w:sz w:val="20"/>
                <w:szCs w:val="20"/>
              </w:rPr>
              <w:t xml:space="preserve">58.14</w:t>
            </w:r>
          </w:p>
        </w:tc>
        <w:tc>
          <w:tcPr>
            <w:tcW w:type="dxa" w:w="1365"/>
            <w:tcMar>
              <w:top w:type="dxa" w:w="60"/>
              <w:left w:type="dxa" w:w="100"/>
              <w:bottom w:type="dxa" w:w="60"/>
              <w:right w:type="dxa" w:w="100"/>
            </w:tcMar>
            <w:vAlign w:val="center"/>
          </w:tcPr>
          <w:p>
            <w:pPr>
              <w:jc w:val="center"/>
            </w:pPr>
            <w:r>
              <w:rPr>
                <w:b w:val="false"/>
                <w:bCs w:val="false"/>
                <w:sz w:val="20"/>
                <w:szCs w:val="20"/>
              </w:rPr>
              <w:t xml:space="preserve">64.84</w:t>
            </w:r>
          </w:p>
        </w:tc>
        <w:tc>
          <w:tcPr>
            <w:tcW w:type="dxa" w:w="1365"/>
            <w:tcMar>
              <w:top w:type="dxa" w:w="60"/>
              <w:left w:type="dxa" w:w="100"/>
              <w:bottom w:type="dxa" w:w="60"/>
              <w:right w:type="dxa" w:w="100"/>
            </w:tcMar>
            <w:vAlign w:val="center"/>
          </w:tcPr>
          <w:p>
            <w:pPr>
              <w:jc w:val="center"/>
            </w:pPr>
            <w:r>
              <w:rPr>
                <w:b w:val="false"/>
                <w:bCs w:val="false"/>
                <w:sz w:val="20"/>
                <w:szCs w:val="20"/>
              </w:rPr>
              <w:t xml:space="preserve">55.27</w:t>
            </w:r>
          </w:p>
        </w:tc>
        <w:tc>
          <w:tcPr>
            <w:tcW w:type="dxa" w:w="1365"/>
            <w:tcMar>
              <w:top w:type="dxa" w:w="60"/>
              <w:left w:type="dxa" w:w="100"/>
              <w:bottom w:type="dxa" w:w="60"/>
              <w:right w:type="dxa" w:w="100"/>
            </w:tcMar>
            <w:vAlign w:val="center"/>
          </w:tcPr>
          <w:p>
            <w:pPr>
              <w:jc w:val="center"/>
            </w:pPr>
            <w:r>
              <w:rPr>
                <w:b w:val="false"/>
                <w:bCs w:val="false"/>
                <w:sz w:val="20"/>
                <w:szCs w:val="20"/>
              </w:rPr>
              <w:t xml:space="preserve">89.59</w:t>
            </w:r>
          </w:p>
        </w:tc>
      </w:tr>
      <w:tr>
        <w:tc>
          <w:tcPr>
            <w:tcW w:type="dxa" w:w="2200"/>
            <w:tcMar>
              <w:top w:type="dxa" w:w="60"/>
              <w:left w:type="dxa" w:w="100"/>
              <w:bottom w:type="dxa" w:w="60"/>
              <w:right w:type="dxa" w:w="100"/>
            </w:tcMar>
            <w:vAlign w:val="center"/>
          </w:tcPr>
          <w:p>
            <w:pPr>
              <w:jc w:val="left"/>
            </w:pPr>
            <w:r>
              <w:rPr>
                <w:b w:val="false"/>
                <w:bCs w:val="false"/>
                <w:sz w:val="20"/>
                <w:szCs w:val="20"/>
              </w:rPr>
              <w:t xml:space="preserve">ResNet18</w:t>
            </w:r>
          </w:p>
        </w:tc>
        <w:tc>
          <w:tcPr>
            <w:tcW w:type="dxa" w:w="1365"/>
            <w:tcMar>
              <w:top w:type="dxa" w:w="60"/>
              <w:left w:type="dxa" w:w="100"/>
              <w:bottom w:type="dxa" w:w="60"/>
              <w:right w:type="dxa" w:w="100"/>
            </w:tcMar>
            <w:vAlign w:val="center"/>
          </w:tcPr>
          <w:p>
            <w:pPr>
              <w:jc w:val="center"/>
            </w:pPr>
            <w:r>
              <w:rPr>
                <w:b w:val="false"/>
                <w:bCs w:val="false"/>
                <w:sz w:val="20"/>
                <w:szCs w:val="20"/>
              </w:rPr>
              <w:t xml:space="preserve">76.71</w:t>
            </w:r>
          </w:p>
        </w:tc>
        <w:tc>
          <w:tcPr>
            <w:tcW w:type="dxa" w:w="1365"/>
            <w:tcMar>
              <w:top w:type="dxa" w:w="60"/>
              <w:left w:type="dxa" w:w="100"/>
              <w:bottom w:type="dxa" w:w="60"/>
              <w:right w:type="dxa" w:w="100"/>
            </w:tcMar>
            <w:vAlign w:val="center"/>
          </w:tcPr>
          <w:p>
            <w:pPr>
              <w:jc w:val="center"/>
            </w:pPr>
            <w:r>
              <w:rPr>
                <w:b w:val="false"/>
                <w:bCs w:val="false"/>
                <w:sz w:val="20"/>
                <w:szCs w:val="20"/>
              </w:rPr>
              <w:t xml:space="preserve">67.42</w:t>
            </w:r>
          </w:p>
        </w:tc>
        <w:tc>
          <w:tcPr>
            <w:tcW w:type="dxa" w:w="1365"/>
            <w:tcMar>
              <w:top w:type="dxa" w:w="60"/>
              <w:left w:type="dxa" w:w="100"/>
              <w:bottom w:type="dxa" w:w="60"/>
              <w:right w:type="dxa" w:w="100"/>
            </w:tcMar>
            <w:vAlign w:val="center"/>
          </w:tcPr>
          <w:p>
            <w:pPr>
              <w:jc w:val="center"/>
            </w:pPr>
            <w:r>
              <w:rPr>
                <w:b w:val="false"/>
                <w:bCs w:val="false"/>
                <w:sz w:val="20"/>
                <w:szCs w:val="20"/>
              </w:rPr>
              <w:t xml:space="preserve">75.26</w:t>
            </w:r>
          </w:p>
        </w:tc>
        <w:tc>
          <w:tcPr>
            <w:tcW w:type="dxa" w:w="1365"/>
            <w:tcMar>
              <w:top w:type="dxa" w:w="60"/>
              <w:left w:type="dxa" w:w="100"/>
              <w:bottom w:type="dxa" w:w="60"/>
              <w:right w:type="dxa" w:w="100"/>
            </w:tcMar>
            <w:vAlign w:val="center"/>
          </w:tcPr>
          <w:p>
            <w:pPr>
              <w:jc w:val="center"/>
            </w:pPr>
            <w:r>
              <w:rPr>
                <w:b w:val="false"/>
                <w:bCs w:val="false"/>
                <w:sz w:val="20"/>
                <w:szCs w:val="20"/>
              </w:rPr>
              <w:t xml:space="preserve">70.32</w:t>
            </w:r>
          </w:p>
        </w:tc>
        <w:tc>
          <w:tcPr>
            <w:tcW w:type="dxa" w:w="1365"/>
            <w:tcMar>
              <w:top w:type="dxa" w:w="60"/>
              <w:left w:type="dxa" w:w="100"/>
              <w:bottom w:type="dxa" w:w="60"/>
              <w:right w:type="dxa" w:w="100"/>
            </w:tcMar>
            <w:vAlign w:val="center"/>
          </w:tcPr>
          <w:p>
            <w:pPr>
              <w:jc w:val="center"/>
            </w:pPr>
            <w:r>
              <w:rPr>
                <w:b w:val="false"/>
                <w:bCs w:val="false"/>
                <w:sz w:val="20"/>
                <w:szCs w:val="20"/>
              </w:rPr>
              <w:t xml:space="preserve">94.34</w:t>
            </w:r>
          </w:p>
        </w:tc>
      </w:tr>
      <w:tr>
        <w:tc>
          <w:tcPr>
            <w:tcW w:type="dxa" w:w="2200"/>
            <w:tcMar>
              <w:top w:type="dxa" w:w="60"/>
              <w:left w:type="dxa" w:w="100"/>
              <w:bottom w:type="dxa" w:w="60"/>
              <w:right w:type="dxa" w:w="100"/>
            </w:tcMar>
            <w:vAlign w:val="center"/>
          </w:tcPr>
          <w:p>
            <w:pPr>
              <w:jc w:val="left"/>
            </w:pPr>
            <w:r>
              <w:rPr>
                <w:b w:val="false"/>
                <w:bCs w:val="false"/>
                <w:sz w:val="20"/>
                <w:szCs w:val="20"/>
              </w:rPr>
              <w:t xml:space="preserve">ResNet50</w:t>
            </w:r>
          </w:p>
        </w:tc>
        <w:tc>
          <w:tcPr>
            <w:tcW w:type="dxa" w:w="1365"/>
            <w:tcMar>
              <w:top w:type="dxa" w:w="60"/>
              <w:left w:type="dxa" w:w="100"/>
              <w:bottom w:type="dxa" w:w="60"/>
              <w:right w:type="dxa" w:w="100"/>
            </w:tcMar>
            <w:vAlign w:val="center"/>
          </w:tcPr>
          <w:p>
            <w:pPr>
              <w:jc w:val="center"/>
            </w:pPr>
            <w:r>
              <w:rPr>
                <w:b w:val="false"/>
                <w:bCs w:val="false"/>
                <w:sz w:val="20"/>
                <w:szCs w:val="20"/>
              </w:rPr>
              <w:t xml:space="preserve">81.19</w:t>
            </w:r>
          </w:p>
        </w:tc>
        <w:tc>
          <w:tcPr>
            <w:tcW w:type="dxa" w:w="1365"/>
            <w:tcMar>
              <w:top w:type="dxa" w:w="60"/>
              <w:left w:type="dxa" w:w="100"/>
              <w:bottom w:type="dxa" w:w="60"/>
              <w:right w:type="dxa" w:w="100"/>
            </w:tcMar>
            <w:vAlign w:val="center"/>
          </w:tcPr>
          <w:p>
            <w:pPr>
              <w:jc w:val="center"/>
            </w:pPr>
            <w:r>
              <w:rPr>
                <w:b w:val="false"/>
                <w:bCs w:val="false"/>
                <w:sz w:val="20"/>
                <w:szCs w:val="20"/>
              </w:rPr>
              <w:t xml:space="preserve">73.37</w:t>
            </w:r>
          </w:p>
        </w:tc>
        <w:tc>
          <w:tcPr>
            <w:tcW w:type="dxa" w:w="1365"/>
            <w:tcMar>
              <w:top w:type="dxa" w:w="60"/>
              <w:left w:type="dxa" w:w="100"/>
              <w:bottom w:type="dxa" w:w="60"/>
              <w:right w:type="dxa" w:w="100"/>
            </w:tcMar>
            <w:vAlign w:val="center"/>
          </w:tcPr>
          <w:p>
            <w:pPr>
              <w:jc w:val="center"/>
            </w:pPr>
            <w:r>
              <w:rPr>
                <w:b w:val="false"/>
                <w:bCs w:val="false"/>
                <w:sz w:val="20"/>
                <w:szCs w:val="20"/>
              </w:rPr>
              <w:t xml:space="preserve">76.41</w:t>
            </w:r>
          </w:p>
        </w:tc>
        <w:tc>
          <w:tcPr>
            <w:tcW w:type="dxa" w:w="1365"/>
            <w:tcMar>
              <w:top w:type="dxa" w:w="60"/>
              <w:left w:type="dxa" w:w="100"/>
              <w:bottom w:type="dxa" w:w="60"/>
              <w:right w:type="dxa" w:w="100"/>
            </w:tcMar>
            <w:vAlign w:val="center"/>
          </w:tcPr>
          <w:p>
            <w:pPr>
              <w:jc w:val="center"/>
            </w:pPr>
            <w:r>
              <w:rPr>
                <w:b w:val="false"/>
                <w:bCs w:val="false"/>
                <w:sz w:val="20"/>
                <w:szCs w:val="20"/>
              </w:rPr>
              <w:t xml:space="preserve">74.56</w:t>
            </w:r>
          </w:p>
        </w:tc>
        <w:tc>
          <w:tcPr>
            <w:tcW w:type="dxa" w:w="1365"/>
            <w:tcMar>
              <w:top w:type="dxa" w:w="60"/>
              <w:left w:type="dxa" w:w="100"/>
              <w:bottom w:type="dxa" w:w="60"/>
              <w:right w:type="dxa" w:w="100"/>
            </w:tcMar>
            <w:vAlign w:val="center"/>
          </w:tcPr>
          <w:p>
            <w:pPr>
              <w:jc w:val="center"/>
            </w:pPr>
            <w:r>
              <w:rPr>
                <w:b w:val="false"/>
                <w:bCs w:val="false"/>
                <w:sz w:val="20"/>
                <w:szCs w:val="20"/>
              </w:rPr>
              <w:t xml:space="preserve">95.91</w:t>
            </w:r>
          </w:p>
        </w:tc>
      </w:tr>
      <w:tr>
        <w:tc>
          <w:tcPr>
            <w:tcW w:type="dxa" w:w="2200"/>
            <w:tcMar>
              <w:top w:type="dxa" w:w="60"/>
              <w:left w:type="dxa" w:w="100"/>
              <w:bottom w:type="dxa" w:w="60"/>
              <w:right w:type="dxa" w:w="100"/>
            </w:tcMar>
            <w:vAlign w:val="center"/>
          </w:tcPr>
          <w:p>
            <w:pPr>
              <w:jc w:val="left"/>
            </w:pPr>
            <w:r>
              <w:rPr>
                <w:b w:val="false"/>
                <w:bCs w:val="false"/>
                <w:sz w:val="20"/>
                <w:szCs w:val="20"/>
              </w:rPr>
              <w:t xml:space="preserve">ResNet101</w:t>
            </w:r>
          </w:p>
        </w:tc>
        <w:tc>
          <w:tcPr>
            <w:tcW w:type="dxa" w:w="1365"/>
            <w:tcMar>
              <w:top w:type="dxa" w:w="60"/>
              <w:left w:type="dxa" w:w="100"/>
              <w:bottom w:type="dxa" w:w="60"/>
              <w:right w:type="dxa" w:w="100"/>
            </w:tcMar>
            <w:vAlign w:val="center"/>
          </w:tcPr>
          <w:p>
            <w:pPr>
              <w:jc w:val="center"/>
            </w:pPr>
            <w:r>
              <w:rPr>
                <w:b w:val="false"/>
                <w:bCs w:val="false"/>
                <w:sz w:val="20"/>
                <w:szCs w:val="20"/>
              </w:rPr>
              <w:t xml:space="preserve">80.89</w:t>
            </w:r>
          </w:p>
        </w:tc>
        <w:tc>
          <w:tcPr>
            <w:tcW w:type="dxa" w:w="1365"/>
            <w:tcMar>
              <w:top w:type="dxa" w:w="60"/>
              <w:left w:type="dxa" w:w="100"/>
              <w:bottom w:type="dxa" w:w="60"/>
              <w:right w:type="dxa" w:w="100"/>
            </w:tcMar>
            <w:vAlign w:val="center"/>
          </w:tcPr>
          <w:p>
            <w:pPr>
              <w:jc w:val="center"/>
            </w:pPr>
            <w:r>
              <w:rPr>
                <w:b w:val="false"/>
                <w:bCs w:val="false"/>
                <w:sz w:val="20"/>
                <w:szCs w:val="20"/>
              </w:rPr>
              <w:t xml:space="preserve">73.92</w:t>
            </w:r>
          </w:p>
        </w:tc>
        <w:tc>
          <w:tcPr>
            <w:tcW w:type="dxa" w:w="1365"/>
            <w:tcMar>
              <w:top w:type="dxa" w:w="60"/>
              <w:left w:type="dxa" w:w="100"/>
              <w:bottom w:type="dxa" w:w="60"/>
              <w:right w:type="dxa" w:w="100"/>
            </w:tcMar>
            <w:vAlign w:val="center"/>
          </w:tcPr>
          <w:p>
            <w:pPr>
              <w:jc w:val="center"/>
            </w:pPr>
            <w:r>
              <w:rPr>
                <w:b w:val="false"/>
                <w:bCs w:val="false"/>
                <w:sz w:val="20"/>
                <w:szCs w:val="20"/>
              </w:rPr>
              <w:t xml:space="preserve">79.86</w:t>
            </w:r>
          </w:p>
        </w:tc>
        <w:tc>
          <w:tcPr>
            <w:tcW w:type="dxa" w:w="1365"/>
            <w:tcMar>
              <w:top w:type="dxa" w:w="60"/>
              <w:left w:type="dxa" w:w="100"/>
              <w:bottom w:type="dxa" w:w="60"/>
              <w:right w:type="dxa" w:w="100"/>
            </w:tcMar>
            <w:vAlign w:val="center"/>
          </w:tcPr>
          <w:p>
            <w:pPr>
              <w:jc w:val="center"/>
            </w:pPr>
            <w:r>
              <w:rPr>
                <w:b w:val="false"/>
                <w:bCs w:val="false"/>
                <w:sz w:val="20"/>
                <w:szCs w:val="20"/>
              </w:rPr>
              <w:t xml:space="preserve">76.36</w:t>
            </w:r>
          </w:p>
        </w:tc>
        <w:tc>
          <w:tcPr>
            <w:tcW w:type="dxa" w:w="1365"/>
            <w:tcMar>
              <w:top w:type="dxa" w:w="60"/>
              <w:left w:type="dxa" w:w="100"/>
              <w:bottom w:type="dxa" w:w="60"/>
              <w:right w:type="dxa" w:w="100"/>
            </w:tcMar>
            <w:vAlign w:val="center"/>
          </w:tcPr>
          <w:p>
            <w:pPr>
              <w:jc w:val="center"/>
            </w:pPr>
            <w:r>
              <w:rPr>
                <w:b w:val="false"/>
                <w:bCs w:val="false"/>
                <w:sz w:val="20"/>
                <w:szCs w:val="20"/>
              </w:rPr>
              <w:t xml:space="preserve">96.17</w:t>
            </w:r>
          </w:p>
        </w:tc>
      </w:tr>
      <w:tr>
        <w:tc>
          <w:tcPr>
            <w:tcW w:type="dxa" w:w="2200"/>
            <w:tcMar>
              <w:top w:type="dxa" w:w="60"/>
              <w:left w:type="dxa" w:w="100"/>
              <w:bottom w:type="dxa" w:w="60"/>
              <w:right w:type="dxa" w:w="100"/>
            </w:tcMar>
            <w:vAlign w:val="center"/>
          </w:tcPr>
          <w:p>
            <w:pPr>
              <w:jc w:val="left"/>
            </w:pPr>
            <w:r>
              <w:rPr>
                <w:b w:val="false"/>
                <w:bCs w:val="false"/>
                <w:sz w:val="20"/>
                <w:szCs w:val="20"/>
              </w:rPr>
              <w:t xml:space="preserve">DenseNet121</w:t>
            </w:r>
          </w:p>
        </w:tc>
        <w:tc>
          <w:tcPr>
            <w:tcW w:type="dxa" w:w="1365"/>
            <w:tcMar>
              <w:top w:type="dxa" w:w="60"/>
              <w:left w:type="dxa" w:w="100"/>
              <w:bottom w:type="dxa" w:w="60"/>
              <w:right w:type="dxa" w:w="100"/>
            </w:tcMar>
            <w:vAlign w:val="center"/>
          </w:tcPr>
          <w:p>
            <w:pPr>
              <w:jc w:val="center"/>
            </w:pPr>
            <w:r>
              <w:rPr>
                <w:b w:val="false"/>
                <w:bCs w:val="false"/>
                <w:sz w:val="20"/>
                <w:szCs w:val="20"/>
              </w:rPr>
              <w:t xml:space="preserve">80.95</w:t>
            </w:r>
          </w:p>
        </w:tc>
        <w:tc>
          <w:tcPr>
            <w:tcW w:type="dxa" w:w="1365"/>
            <w:tcMar>
              <w:top w:type="dxa" w:w="60"/>
              <w:left w:type="dxa" w:w="100"/>
              <w:bottom w:type="dxa" w:w="60"/>
              <w:right w:type="dxa" w:w="100"/>
            </w:tcMar>
            <w:vAlign w:val="center"/>
          </w:tcPr>
          <w:p>
            <w:pPr>
              <w:jc w:val="center"/>
            </w:pPr>
            <w:r>
              <w:rPr>
                <w:b w:val="false"/>
                <w:bCs w:val="false"/>
                <w:sz w:val="20"/>
                <w:szCs w:val="20"/>
              </w:rPr>
              <w:t xml:space="preserve">72.28</w:t>
            </w:r>
          </w:p>
        </w:tc>
        <w:tc>
          <w:tcPr>
            <w:tcW w:type="dxa" w:w="1365"/>
            <w:tcMar>
              <w:top w:type="dxa" w:w="60"/>
              <w:left w:type="dxa" w:w="100"/>
              <w:bottom w:type="dxa" w:w="60"/>
              <w:right w:type="dxa" w:w="100"/>
            </w:tcMar>
            <w:vAlign w:val="center"/>
          </w:tcPr>
          <w:p>
            <w:pPr>
              <w:jc w:val="center"/>
            </w:pPr>
            <w:r>
              <w:rPr>
                <w:b w:val="false"/>
                <w:bCs w:val="false"/>
                <w:sz w:val="20"/>
                <w:szCs w:val="20"/>
              </w:rPr>
              <w:t xml:space="preserve">76.75</w:t>
            </w:r>
          </w:p>
        </w:tc>
        <w:tc>
          <w:tcPr>
            <w:tcW w:type="dxa" w:w="1365"/>
            <w:tcMar>
              <w:top w:type="dxa" w:w="60"/>
              <w:left w:type="dxa" w:w="100"/>
              <w:bottom w:type="dxa" w:w="60"/>
              <w:right w:type="dxa" w:w="100"/>
            </w:tcMar>
            <w:vAlign w:val="center"/>
          </w:tcPr>
          <w:p>
            <w:pPr>
              <w:jc w:val="center"/>
            </w:pPr>
            <w:r>
              <w:rPr>
                <w:b w:val="false"/>
                <w:bCs w:val="false"/>
                <w:sz w:val="20"/>
                <w:szCs w:val="20"/>
              </w:rPr>
              <w:t xml:space="preserve">73.60</w:t>
            </w:r>
          </w:p>
        </w:tc>
        <w:tc>
          <w:tcPr>
            <w:tcW w:type="dxa" w:w="1365"/>
            <w:tcMar>
              <w:top w:type="dxa" w:w="60"/>
              <w:left w:type="dxa" w:w="100"/>
              <w:bottom w:type="dxa" w:w="60"/>
              <w:right w:type="dxa" w:w="100"/>
            </w:tcMar>
            <w:vAlign w:val="center"/>
          </w:tcPr>
          <w:p>
            <w:pPr>
              <w:jc w:val="center"/>
            </w:pPr>
            <w:r>
              <w:rPr>
                <w:b w:val="false"/>
                <w:bCs w:val="false"/>
                <w:sz w:val="20"/>
                <w:szCs w:val="20"/>
              </w:rPr>
              <w:t xml:space="preserve">95.02</w:t>
            </w:r>
          </w:p>
        </w:tc>
      </w:tr>
      <w:tr>
        <w:tc>
          <w:tcPr>
            <w:tcW w:type="dxa" w:w="2200"/>
            <w:tcMar>
              <w:top w:type="dxa" w:w="60"/>
              <w:left w:type="dxa" w:w="100"/>
              <w:bottom w:type="dxa" w:w="60"/>
              <w:right w:type="dxa" w:w="100"/>
            </w:tcMar>
            <w:vAlign w:val="center"/>
          </w:tcPr>
          <w:p>
            <w:pPr>
              <w:jc w:val="left"/>
            </w:pPr>
            <w:r>
              <w:rPr>
                <w:b w:val="false"/>
                <w:bCs w:val="false"/>
                <w:sz w:val="20"/>
                <w:szCs w:val="20"/>
              </w:rPr>
              <w:t xml:space="preserve">EfficientNet-B0</w:t>
            </w:r>
          </w:p>
        </w:tc>
        <w:tc>
          <w:tcPr>
            <w:tcW w:type="dxa" w:w="1365"/>
            <w:tcMar>
              <w:top w:type="dxa" w:w="60"/>
              <w:left w:type="dxa" w:w="100"/>
              <w:bottom w:type="dxa" w:w="60"/>
              <w:right w:type="dxa" w:w="100"/>
            </w:tcMar>
            <w:vAlign w:val="center"/>
          </w:tcPr>
          <w:p>
            <w:pPr>
              <w:jc w:val="center"/>
            </w:pPr>
            <w:r>
              <w:rPr>
                <w:b w:val="false"/>
                <w:bCs w:val="false"/>
                <w:sz w:val="20"/>
                <w:szCs w:val="20"/>
              </w:rPr>
              <w:t xml:space="preserve">81.08</w:t>
            </w:r>
          </w:p>
        </w:tc>
        <w:tc>
          <w:tcPr>
            <w:tcW w:type="dxa" w:w="1365"/>
            <w:tcMar>
              <w:top w:type="dxa" w:w="60"/>
              <w:left w:type="dxa" w:w="100"/>
              <w:bottom w:type="dxa" w:w="60"/>
              <w:right w:type="dxa" w:w="100"/>
            </w:tcMar>
            <w:vAlign w:val="center"/>
          </w:tcPr>
          <w:p>
            <w:pPr>
              <w:jc w:val="center"/>
            </w:pPr>
            <w:r>
              <w:rPr>
                <w:b w:val="false"/>
                <w:bCs w:val="false"/>
                <w:sz w:val="20"/>
                <w:szCs w:val="20"/>
              </w:rPr>
              <w:t xml:space="preserve">73.87</w:t>
            </w:r>
          </w:p>
        </w:tc>
        <w:tc>
          <w:tcPr>
            <w:tcW w:type="dxa" w:w="1365"/>
            <w:tcMar>
              <w:top w:type="dxa" w:w="60"/>
              <w:left w:type="dxa" w:w="100"/>
              <w:bottom w:type="dxa" w:w="60"/>
              <w:right w:type="dxa" w:w="100"/>
            </w:tcMar>
            <w:vAlign w:val="center"/>
          </w:tcPr>
          <w:p>
            <w:pPr>
              <w:jc w:val="center"/>
            </w:pPr>
            <w:r>
              <w:rPr>
                <w:b w:val="false"/>
                <w:bCs w:val="false"/>
                <w:sz w:val="20"/>
                <w:szCs w:val="20"/>
              </w:rPr>
              <w:t xml:space="preserve">77.78</w:t>
            </w:r>
          </w:p>
        </w:tc>
        <w:tc>
          <w:tcPr>
            <w:tcW w:type="dxa" w:w="1365"/>
            <w:tcMar>
              <w:top w:type="dxa" w:w="60"/>
              <w:left w:type="dxa" w:w="100"/>
              <w:bottom w:type="dxa" w:w="60"/>
              <w:right w:type="dxa" w:w="100"/>
            </w:tcMar>
            <w:vAlign w:val="center"/>
          </w:tcPr>
          <w:p>
            <w:pPr>
              <w:jc w:val="center"/>
            </w:pPr>
            <w:r>
              <w:rPr>
                <w:b w:val="false"/>
                <w:bCs w:val="false"/>
                <w:sz w:val="20"/>
                <w:szCs w:val="20"/>
              </w:rPr>
              <w:t xml:space="preserve">75.65</w:t>
            </w:r>
          </w:p>
        </w:tc>
        <w:tc>
          <w:tcPr>
            <w:tcW w:type="dxa" w:w="1365"/>
            <w:tcMar>
              <w:top w:type="dxa" w:w="60"/>
              <w:left w:type="dxa" w:w="100"/>
              <w:bottom w:type="dxa" w:w="60"/>
              <w:right w:type="dxa" w:w="100"/>
            </w:tcMar>
            <w:vAlign w:val="center"/>
          </w:tcPr>
          <w:p>
            <w:pPr>
              <w:jc w:val="center"/>
            </w:pPr>
            <w:r>
              <w:rPr>
                <w:b w:val="false"/>
                <w:bCs w:val="false"/>
                <w:sz w:val="20"/>
                <w:szCs w:val="20"/>
              </w:rPr>
              <w:t xml:space="preserve">95.48</w:t>
            </w:r>
          </w:p>
        </w:tc>
      </w:tr>
    </w:tbl>
    <w:p>
      <w:pPr>
        <w:spacing w:after="200"/>
      </w:pPr>
      <w:r>
        <w:rPr>
          <w:b w:val="false"/>
          <w:bCs w:val="false"/>
          <w:i w:val="false"/>
          <w:iCs w:val="false"/>
        </w:rPr>
        <w:t xml:space="preserve">ResNet50 achieved the highest test accuracy (81.19%) and was therefore selected as the feature extractor for Task 2. It was followed closely by EfficientNet-B0 (81.08%), DenseNet121 (80.95%), and ResNet101 (80.89%), all within three-tenths of a percentage point of one another; ResNet101 in fact achieved the best macro F1-score (76.36%) and best AUC (96.17%) of all eight models despite a marginally lower accuracy, which shows that accuracy alone does not fully capture performance on an imbalanced five-class problem. The two VGG variants and AlexNet trailed noticeably behind the residual and dense architectures, and VGG19 was both the slowest to train (37.4 minutes) and the weakest performer overall (64.29% accuracy), suggesting that simply adding depth without skip connections did not help on this dataset at this training budget.</w:t>
      </w:r>
    </w:p>
    <w:p>
      <w:pPr>
        <w:pStyle w:val="Heading2"/>
        <w:spacing w:after="120" w:before="260"/>
      </w:pPr>
      <w:r>
        <w:t xml:space="preserve">4.2 Table 2: Comparison of Classifiers on Deep Features</w:t>
      </w:r>
    </w:p>
    <w:p>
      <w:pPr>
        <w:spacing w:after="80" w:before="120"/>
      </w:pPr>
      <w:r>
        <w:rPr>
          <w:b/>
          <w:bCs/>
        </w:rPr>
        <w:t xml:space="preserve">Table 2. Comparison of Different Classifiers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1125"/>
        <w:gridCol w:w="1125"/>
        <w:gridCol w:w="1125"/>
        <w:gridCol w:w="1125"/>
        <w:gridCol w:w="1125"/>
      </w:tblGrid>
      <w:tr>
        <w:trPr>
          <w:tblHeader/>
        </w:trPr>
        <w:tc>
          <w:tcPr>
            <w:tcW w:type="dxa" w:w="1400"/>
            <w:shd w:fill="D9E2F3" w:val="clear"/>
            <w:tcMar>
              <w:top w:type="dxa" w:w="60"/>
              <w:left w:type="dxa" w:w="100"/>
              <w:bottom w:type="dxa" w:w="60"/>
              <w:right w:type="dxa" w:w="100"/>
            </w:tcMar>
            <w:vAlign w:val="center"/>
          </w:tcPr>
          <w:p>
            <w:pPr>
              <w:jc w:val="center"/>
            </w:pPr>
            <w:r>
              <w:rPr>
                <w:b/>
                <w:bCs/>
                <w:sz w:val="20"/>
                <w:szCs w:val="20"/>
              </w:rPr>
              <w:t xml:space="preserve">Feature Extractor</w:t>
            </w:r>
          </w:p>
        </w:tc>
        <w:tc>
          <w:tcPr>
            <w:tcW w:type="dxa" w:w="2000"/>
            <w:shd w:fill="D9E2F3" w:val="clear"/>
            <w:tcMar>
              <w:top w:type="dxa" w:w="60"/>
              <w:left w:type="dxa" w:w="100"/>
              <w:bottom w:type="dxa" w:w="60"/>
              <w:right w:type="dxa" w:w="100"/>
            </w:tcMar>
            <w:vAlign w:val="center"/>
          </w:tcPr>
          <w:p>
            <w:pPr>
              <w:jc w:val="center"/>
            </w:pPr>
            <w:r>
              <w:rPr>
                <w:b/>
                <w:bCs/>
                <w:sz w:val="20"/>
                <w:szCs w:val="20"/>
              </w:rPr>
              <w:t xml:space="preserve">Classifier</w:t>
            </w:r>
          </w:p>
        </w:tc>
        <w:tc>
          <w:tcPr>
            <w:tcW w:type="dxa" w:w="1125"/>
            <w:shd w:fill="D9E2F3" w:val="clear"/>
            <w:tcMar>
              <w:top w:type="dxa" w:w="60"/>
              <w:left w:type="dxa" w:w="100"/>
              <w:bottom w:type="dxa" w:w="60"/>
              <w:right w:type="dxa" w:w="100"/>
            </w:tcMar>
            <w:vAlign w:val="center"/>
          </w:tcPr>
          <w:p>
            <w:pPr>
              <w:jc w:val="center"/>
            </w:pPr>
            <w:r>
              <w:rPr>
                <w:b/>
                <w:bCs/>
                <w:sz w:val="20"/>
                <w:szCs w:val="20"/>
              </w:rPr>
              <w:t xml:space="preserve">Accuracy (%)</w:t>
            </w:r>
          </w:p>
        </w:tc>
        <w:tc>
          <w:tcPr>
            <w:tcW w:type="dxa" w:w="1125"/>
            <w:shd w:fill="D9E2F3" w:val="clear"/>
            <w:tcMar>
              <w:top w:type="dxa" w:w="60"/>
              <w:left w:type="dxa" w:w="100"/>
              <w:bottom w:type="dxa" w:w="60"/>
              <w:right w:type="dxa" w:w="100"/>
            </w:tcMar>
            <w:vAlign w:val="center"/>
          </w:tcPr>
          <w:p>
            <w:pPr>
              <w:jc w:val="center"/>
            </w:pPr>
            <w:r>
              <w:rPr>
                <w:b/>
                <w:bCs/>
                <w:sz w:val="20"/>
                <w:szCs w:val="20"/>
              </w:rPr>
              <w:t xml:space="preserve">Precision (%)</w:t>
            </w:r>
          </w:p>
        </w:tc>
        <w:tc>
          <w:tcPr>
            <w:tcW w:type="dxa" w:w="1125"/>
            <w:shd w:fill="D9E2F3" w:val="clear"/>
            <w:tcMar>
              <w:top w:type="dxa" w:w="60"/>
              <w:left w:type="dxa" w:w="100"/>
              <w:bottom w:type="dxa" w:w="60"/>
              <w:right w:type="dxa" w:w="100"/>
            </w:tcMar>
            <w:vAlign w:val="center"/>
          </w:tcPr>
          <w:p>
            <w:pPr>
              <w:jc w:val="center"/>
            </w:pPr>
            <w:r>
              <w:rPr>
                <w:b/>
                <w:bCs/>
                <w:sz w:val="20"/>
                <w:szCs w:val="20"/>
              </w:rPr>
              <w:t xml:space="preserve">Recall (%)</w:t>
            </w:r>
          </w:p>
        </w:tc>
        <w:tc>
          <w:tcPr>
            <w:tcW w:type="dxa" w:w="1125"/>
            <w:shd w:fill="D9E2F3" w:val="clear"/>
            <w:tcMar>
              <w:top w:type="dxa" w:w="60"/>
              <w:left w:type="dxa" w:w="100"/>
              <w:bottom w:type="dxa" w:w="60"/>
              <w:right w:type="dxa" w:w="100"/>
            </w:tcMar>
            <w:vAlign w:val="center"/>
          </w:tcPr>
          <w:p>
            <w:pPr>
              <w:jc w:val="center"/>
            </w:pPr>
            <w:r>
              <w:rPr>
                <w:b/>
                <w:bCs/>
                <w:sz w:val="20"/>
                <w:szCs w:val="20"/>
              </w:rPr>
              <w:t xml:space="preserve">F1-Score (%)</w:t>
            </w:r>
          </w:p>
        </w:tc>
        <w:tc>
          <w:tcPr>
            <w:tcW w:type="dxa" w:w="1125"/>
            <w:shd w:fill="D9E2F3" w:val="clear"/>
            <w:tcMar>
              <w:top w:type="dxa" w:w="60"/>
              <w:left w:type="dxa" w:w="100"/>
              <w:bottom w:type="dxa" w:w="60"/>
              <w:right w:type="dxa" w:w="100"/>
            </w:tcMar>
            <w:vAlign w:val="center"/>
          </w:tcPr>
          <w:p>
            <w:pPr>
              <w:jc w:val="center"/>
            </w:pPr>
            <w:r>
              <w:rPr>
                <w:b/>
                <w:bCs/>
                <w:sz w:val="20"/>
                <w:szCs w:val="20"/>
              </w:rPr>
              <w:t xml:space="preserve">AUC (%)</w:t>
            </w:r>
          </w:p>
        </w:tc>
      </w:tr>
      <w:tr>
        <w:tc>
          <w:tcPr>
            <w:tcW w:type="dxa" w:w="1400"/>
            <w:tcMar>
              <w:top w:type="dxa" w:w="60"/>
              <w:left w:type="dxa" w:w="100"/>
              <w:bottom w:type="dxa" w:w="60"/>
              <w:right w:type="dxa" w:w="100"/>
            </w:tcMar>
            <w:vAlign w:val="center"/>
          </w:tcPr>
          <w:p>
            <w:pPr>
              <w:jc w:val="left"/>
            </w:pPr>
            <w:r>
              <w:rPr>
                <w:b w:val="false"/>
                <w:bCs w:val="false"/>
                <w:sz w:val="20"/>
                <w:szCs w:val="20"/>
              </w:rPr>
              <w:t xml:space="preserve">Deep Features (ResNet50)</w:t>
            </w:r>
          </w:p>
        </w:tc>
        <w:tc>
          <w:tcPr>
            <w:tcW w:type="dxa" w:w="2000"/>
            <w:tcMar>
              <w:top w:type="dxa" w:w="60"/>
              <w:left w:type="dxa" w:w="100"/>
              <w:bottom w:type="dxa" w:w="60"/>
              <w:right w:type="dxa" w:w="100"/>
            </w:tcMar>
            <w:vAlign w:val="center"/>
          </w:tcPr>
          <w:p>
            <w:pPr>
              <w:jc w:val="center"/>
            </w:pPr>
            <w:r>
              <w:rPr>
                <w:b w:val="false"/>
                <w:bCs w:val="false"/>
                <w:sz w:val="20"/>
                <w:szCs w:val="20"/>
              </w:rPr>
              <w:t xml:space="preserve">Logistic Regression</w:t>
            </w:r>
          </w:p>
        </w:tc>
        <w:tc>
          <w:tcPr>
            <w:tcW w:type="dxa" w:w="1125"/>
            <w:tcMar>
              <w:top w:type="dxa" w:w="60"/>
              <w:left w:type="dxa" w:w="100"/>
              <w:bottom w:type="dxa" w:w="60"/>
              <w:right w:type="dxa" w:w="100"/>
            </w:tcMar>
            <w:vAlign w:val="center"/>
          </w:tcPr>
          <w:p>
            <w:pPr>
              <w:jc w:val="center"/>
            </w:pPr>
            <w:r>
              <w:rPr>
                <w:b w:val="false"/>
                <w:bCs w:val="false"/>
                <w:sz w:val="20"/>
                <w:szCs w:val="20"/>
              </w:rPr>
              <w:t xml:space="preserve">81.77</w:t>
            </w:r>
          </w:p>
        </w:tc>
        <w:tc>
          <w:tcPr>
            <w:tcW w:type="dxa" w:w="1125"/>
            <w:tcMar>
              <w:top w:type="dxa" w:w="60"/>
              <w:left w:type="dxa" w:w="100"/>
              <w:bottom w:type="dxa" w:w="60"/>
              <w:right w:type="dxa" w:w="100"/>
            </w:tcMar>
            <w:vAlign w:val="center"/>
          </w:tcPr>
          <w:p>
            <w:pPr>
              <w:jc w:val="center"/>
            </w:pPr>
            <w:r>
              <w:rPr>
                <w:b w:val="false"/>
                <w:bCs w:val="false"/>
                <w:sz w:val="20"/>
                <w:szCs w:val="20"/>
              </w:rPr>
              <w:t xml:space="preserve">76.79</w:t>
            </w:r>
          </w:p>
        </w:tc>
        <w:tc>
          <w:tcPr>
            <w:tcW w:type="dxa" w:w="1125"/>
            <w:tcMar>
              <w:top w:type="dxa" w:w="60"/>
              <w:left w:type="dxa" w:w="100"/>
              <w:bottom w:type="dxa" w:w="60"/>
              <w:right w:type="dxa" w:w="100"/>
            </w:tcMar>
            <w:vAlign w:val="center"/>
          </w:tcPr>
          <w:p>
            <w:pPr>
              <w:jc w:val="center"/>
            </w:pPr>
            <w:r>
              <w:rPr>
                <w:b w:val="false"/>
                <w:bCs w:val="false"/>
                <w:sz w:val="20"/>
                <w:szCs w:val="20"/>
              </w:rPr>
              <w:t xml:space="preserve">74.75</w:t>
            </w:r>
          </w:p>
        </w:tc>
        <w:tc>
          <w:tcPr>
            <w:tcW w:type="dxa" w:w="1125"/>
            <w:tcMar>
              <w:top w:type="dxa" w:w="60"/>
              <w:left w:type="dxa" w:w="100"/>
              <w:bottom w:type="dxa" w:w="60"/>
              <w:right w:type="dxa" w:w="100"/>
            </w:tcMar>
            <w:vAlign w:val="center"/>
          </w:tcPr>
          <w:p>
            <w:pPr>
              <w:jc w:val="center"/>
            </w:pPr>
            <w:r>
              <w:rPr>
                <w:b w:val="false"/>
                <w:bCs w:val="false"/>
                <w:sz w:val="20"/>
                <w:szCs w:val="20"/>
              </w:rPr>
              <w:t xml:space="preserve">75.69</w:t>
            </w:r>
          </w:p>
        </w:tc>
        <w:tc>
          <w:tcPr>
            <w:tcW w:type="dxa" w:w="1125"/>
            <w:tcMar>
              <w:top w:type="dxa" w:w="60"/>
              <w:left w:type="dxa" w:w="100"/>
              <w:bottom w:type="dxa" w:w="60"/>
              <w:right w:type="dxa" w:w="100"/>
            </w:tcMar>
            <w:vAlign w:val="center"/>
          </w:tcPr>
          <w:p>
            <w:pPr>
              <w:jc w:val="center"/>
            </w:pPr>
            <w:r>
              <w:rPr>
                <w:b w:val="false"/>
                <w:bCs w:val="false"/>
                <w:sz w:val="20"/>
                <w:szCs w:val="20"/>
              </w:rPr>
              <w:t xml:space="preserve">94.95</w:t>
            </w:r>
          </w:p>
        </w:tc>
      </w:tr>
      <w:tr>
        <w:tc>
          <w:tcPr>
            <w:tcW w:type="dxa" w:w="1400"/>
            <w:tcMar>
              <w:top w:type="dxa" w:w="60"/>
              <w:left w:type="dxa" w:w="100"/>
              <w:bottom w:type="dxa" w:w="60"/>
              <w:right w:type="dxa" w:w="100"/>
            </w:tcMar>
            <w:vAlign w:val="center"/>
          </w:tcPr>
          <w:p>
            <w:pPr>
              <w:jc w:val="left"/>
            </w:pPr>
            <w:r>
              <w:rPr>
                <w:b w:val="false"/>
                <w:bCs w:val="false"/>
                <w:sz w:val="20"/>
                <w:szCs w:val="20"/>
              </w:rPr>
              <w:t xml:space="preserve">Deep Features (ResNet50)</w:t>
            </w:r>
          </w:p>
        </w:tc>
        <w:tc>
          <w:tcPr>
            <w:tcW w:type="dxa" w:w="2000"/>
            <w:tcMar>
              <w:top w:type="dxa" w:w="60"/>
              <w:left w:type="dxa" w:w="100"/>
              <w:bottom w:type="dxa" w:w="60"/>
              <w:right w:type="dxa" w:w="100"/>
            </w:tcMar>
            <w:vAlign w:val="center"/>
          </w:tcPr>
          <w:p>
            <w:pPr>
              <w:jc w:val="center"/>
            </w:pPr>
            <w:r>
              <w:rPr>
                <w:b w:val="false"/>
                <w:bCs w:val="false"/>
                <w:sz w:val="20"/>
                <w:szCs w:val="20"/>
              </w:rPr>
              <w:t xml:space="preserve">Decision Tree</w:t>
            </w:r>
          </w:p>
        </w:tc>
        <w:tc>
          <w:tcPr>
            <w:tcW w:type="dxa" w:w="1125"/>
            <w:tcMar>
              <w:top w:type="dxa" w:w="60"/>
              <w:left w:type="dxa" w:w="100"/>
              <w:bottom w:type="dxa" w:w="60"/>
              <w:right w:type="dxa" w:w="100"/>
            </w:tcMar>
            <w:vAlign w:val="center"/>
          </w:tcPr>
          <w:p>
            <w:pPr>
              <w:jc w:val="center"/>
            </w:pPr>
            <w:r>
              <w:rPr>
                <w:b w:val="false"/>
                <w:bCs w:val="false"/>
                <w:sz w:val="20"/>
                <w:szCs w:val="20"/>
              </w:rPr>
              <w:t xml:space="preserve">68.03</w:t>
            </w:r>
          </w:p>
        </w:tc>
        <w:tc>
          <w:tcPr>
            <w:tcW w:type="dxa" w:w="1125"/>
            <w:tcMar>
              <w:top w:type="dxa" w:w="60"/>
              <w:left w:type="dxa" w:w="100"/>
              <w:bottom w:type="dxa" w:w="60"/>
              <w:right w:type="dxa" w:w="100"/>
            </w:tcMar>
            <w:vAlign w:val="center"/>
          </w:tcPr>
          <w:p>
            <w:pPr>
              <w:jc w:val="center"/>
            </w:pPr>
            <w:r>
              <w:rPr>
                <w:b w:val="false"/>
                <w:bCs w:val="false"/>
                <w:sz w:val="20"/>
                <w:szCs w:val="20"/>
              </w:rPr>
              <w:t xml:space="preserve">59.20</w:t>
            </w:r>
          </w:p>
        </w:tc>
        <w:tc>
          <w:tcPr>
            <w:tcW w:type="dxa" w:w="1125"/>
            <w:tcMar>
              <w:top w:type="dxa" w:w="60"/>
              <w:left w:type="dxa" w:w="100"/>
              <w:bottom w:type="dxa" w:w="60"/>
              <w:right w:type="dxa" w:w="100"/>
            </w:tcMar>
            <w:vAlign w:val="center"/>
          </w:tcPr>
          <w:p>
            <w:pPr>
              <w:jc w:val="center"/>
            </w:pPr>
            <w:r>
              <w:rPr>
                <w:b w:val="false"/>
                <w:bCs w:val="false"/>
                <w:sz w:val="20"/>
                <w:szCs w:val="20"/>
              </w:rPr>
              <w:t xml:space="preserve">57.75</w:t>
            </w:r>
          </w:p>
        </w:tc>
        <w:tc>
          <w:tcPr>
            <w:tcW w:type="dxa" w:w="1125"/>
            <w:tcMar>
              <w:top w:type="dxa" w:w="60"/>
              <w:left w:type="dxa" w:w="100"/>
              <w:bottom w:type="dxa" w:w="60"/>
              <w:right w:type="dxa" w:w="100"/>
            </w:tcMar>
            <w:vAlign w:val="center"/>
          </w:tcPr>
          <w:p>
            <w:pPr>
              <w:jc w:val="center"/>
            </w:pPr>
            <w:r>
              <w:rPr>
                <w:b w:val="false"/>
                <w:bCs w:val="false"/>
                <w:sz w:val="20"/>
                <w:szCs w:val="20"/>
              </w:rPr>
              <w:t xml:space="preserve">58.43</w:t>
            </w:r>
          </w:p>
        </w:tc>
        <w:tc>
          <w:tcPr>
            <w:tcW w:type="dxa" w:w="1125"/>
            <w:tcMar>
              <w:top w:type="dxa" w:w="60"/>
              <w:left w:type="dxa" w:w="100"/>
              <w:bottom w:type="dxa" w:w="60"/>
              <w:right w:type="dxa" w:w="100"/>
            </w:tcMar>
            <w:vAlign w:val="center"/>
          </w:tcPr>
          <w:p>
            <w:pPr>
              <w:jc w:val="center"/>
            </w:pPr>
            <w:r>
              <w:rPr>
                <w:b w:val="false"/>
                <w:bCs w:val="false"/>
                <w:sz w:val="20"/>
                <w:szCs w:val="20"/>
              </w:rPr>
              <w:t xml:space="preserve">73.90</w:t>
            </w:r>
          </w:p>
        </w:tc>
      </w:tr>
      <w:tr>
        <w:tc>
          <w:tcPr>
            <w:tcW w:type="dxa" w:w="1400"/>
            <w:tcMar>
              <w:top w:type="dxa" w:w="60"/>
              <w:left w:type="dxa" w:w="100"/>
              <w:bottom w:type="dxa" w:w="60"/>
              <w:right w:type="dxa" w:w="100"/>
            </w:tcMar>
            <w:vAlign w:val="center"/>
          </w:tcPr>
          <w:p>
            <w:pPr>
              <w:jc w:val="left"/>
            </w:pPr>
            <w:r>
              <w:rPr>
                <w:b w:val="false"/>
                <w:bCs w:val="false"/>
                <w:sz w:val="20"/>
                <w:szCs w:val="20"/>
              </w:rPr>
              <w:t xml:space="preserve">Deep Features (ResNet50)</w:t>
            </w:r>
          </w:p>
        </w:tc>
        <w:tc>
          <w:tcPr>
            <w:tcW w:type="dxa" w:w="2000"/>
            <w:tcMar>
              <w:top w:type="dxa" w:w="60"/>
              <w:left w:type="dxa" w:w="100"/>
              <w:bottom w:type="dxa" w:w="60"/>
              <w:right w:type="dxa" w:w="100"/>
            </w:tcMar>
            <w:vAlign w:val="center"/>
          </w:tcPr>
          <w:p>
            <w:pPr>
              <w:jc w:val="center"/>
            </w:pPr>
            <w:r>
              <w:rPr>
                <w:b w:val="false"/>
                <w:bCs w:val="false"/>
                <w:sz w:val="20"/>
                <w:szCs w:val="20"/>
              </w:rPr>
              <w:t xml:space="preserve">Random Forest</w:t>
            </w:r>
          </w:p>
        </w:tc>
        <w:tc>
          <w:tcPr>
            <w:tcW w:type="dxa" w:w="1125"/>
            <w:tcMar>
              <w:top w:type="dxa" w:w="60"/>
              <w:left w:type="dxa" w:w="100"/>
              <w:bottom w:type="dxa" w:w="60"/>
              <w:right w:type="dxa" w:w="100"/>
            </w:tcMar>
            <w:vAlign w:val="center"/>
          </w:tcPr>
          <w:p>
            <w:pPr>
              <w:jc w:val="center"/>
            </w:pPr>
            <w:r>
              <w:rPr>
                <w:b w:val="false"/>
                <w:bCs w:val="false"/>
                <w:sz w:val="20"/>
                <w:szCs w:val="20"/>
              </w:rPr>
              <w:t xml:space="preserve">79.16</w:t>
            </w:r>
          </w:p>
        </w:tc>
        <w:tc>
          <w:tcPr>
            <w:tcW w:type="dxa" w:w="1125"/>
            <w:tcMar>
              <w:top w:type="dxa" w:w="60"/>
              <w:left w:type="dxa" w:w="100"/>
              <w:bottom w:type="dxa" w:w="60"/>
              <w:right w:type="dxa" w:w="100"/>
            </w:tcMar>
            <w:vAlign w:val="center"/>
          </w:tcPr>
          <w:p>
            <w:pPr>
              <w:jc w:val="center"/>
            </w:pPr>
            <w:r>
              <w:rPr>
                <w:b w:val="false"/>
                <w:bCs w:val="false"/>
                <w:sz w:val="20"/>
                <w:szCs w:val="20"/>
              </w:rPr>
              <w:t xml:space="preserve">79.56</w:t>
            </w:r>
          </w:p>
        </w:tc>
        <w:tc>
          <w:tcPr>
            <w:tcW w:type="dxa" w:w="1125"/>
            <w:tcMar>
              <w:top w:type="dxa" w:w="60"/>
              <w:left w:type="dxa" w:w="100"/>
              <w:bottom w:type="dxa" w:w="60"/>
              <w:right w:type="dxa" w:w="100"/>
            </w:tcMar>
            <w:vAlign w:val="center"/>
          </w:tcPr>
          <w:p>
            <w:pPr>
              <w:jc w:val="center"/>
            </w:pPr>
            <w:r>
              <w:rPr>
                <w:b w:val="false"/>
                <w:bCs w:val="false"/>
                <w:sz w:val="20"/>
                <w:szCs w:val="20"/>
              </w:rPr>
              <w:t xml:space="preserve">66.75</w:t>
            </w:r>
          </w:p>
        </w:tc>
        <w:tc>
          <w:tcPr>
            <w:tcW w:type="dxa" w:w="1125"/>
            <w:tcMar>
              <w:top w:type="dxa" w:w="60"/>
              <w:left w:type="dxa" w:w="100"/>
              <w:bottom w:type="dxa" w:w="60"/>
              <w:right w:type="dxa" w:w="100"/>
            </w:tcMar>
            <w:vAlign w:val="center"/>
          </w:tcPr>
          <w:p>
            <w:pPr>
              <w:jc w:val="center"/>
            </w:pPr>
            <w:r>
              <w:rPr>
                <w:b w:val="false"/>
                <w:bCs w:val="false"/>
                <w:sz w:val="20"/>
                <w:szCs w:val="20"/>
              </w:rPr>
              <w:t xml:space="preserve">71.20</w:t>
            </w:r>
          </w:p>
        </w:tc>
        <w:tc>
          <w:tcPr>
            <w:tcW w:type="dxa" w:w="1125"/>
            <w:tcMar>
              <w:top w:type="dxa" w:w="60"/>
              <w:left w:type="dxa" w:w="100"/>
              <w:bottom w:type="dxa" w:w="60"/>
              <w:right w:type="dxa" w:w="100"/>
            </w:tcMar>
            <w:vAlign w:val="center"/>
          </w:tcPr>
          <w:p>
            <w:pPr>
              <w:jc w:val="center"/>
            </w:pPr>
            <w:r>
              <w:rPr>
                <w:b w:val="false"/>
                <w:bCs w:val="false"/>
                <w:sz w:val="20"/>
                <w:szCs w:val="20"/>
              </w:rPr>
              <w:t xml:space="preserve">94.89</w:t>
            </w:r>
          </w:p>
        </w:tc>
      </w:tr>
      <w:tr>
        <w:tc>
          <w:tcPr>
            <w:tcW w:type="dxa" w:w="1400"/>
            <w:tcMar>
              <w:top w:type="dxa" w:w="60"/>
              <w:left w:type="dxa" w:w="100"/>
              <w:bottom w:type="dxa" w:w="60"/>
              <w:right w:type="dxa" w:w="100"/>
            </w:tcMar>
            <w:vAlign w:val="center"/>
          </w:tcPr>
          <w:p>
            <w:pPr>
              <w:jc w:val="left"/>
            </w:pPr>
            <w:r>
              <w:rPr>
                <w:b w:val="false"/>
                <w:bCs w:val="false"/>
                <w:sz w:val="20"/>
                <w:szCs w:val="20"/>
              </w:rPr>
              <w:t xml:space="preserve">Deep Features (ResNet50)</w:t>
            </w:r>
          </w:p>
        </w:tc>
        <w:tc>
          <w:tcPr>
            <w:tcW w:type="dxa" w:w="2000"/>
            <w:tcMar>
              <w:top w:type="dxa" w:w="60"/>
              <w:left w:type="dxa" w:w="100"/>
              <w:bottom w:type="dxa" w:w="60"/>
              <w:right w:type="dxa" w:w="100"/>
            </w:tcMar>
            <w:vAlign w:val="center"/>
          </w:tcPr>
          <w:p>
            <w:pPr>
              <w:jc w:val="center"/>
            </w:pPr>
            <w:r>
              <w:rPr>
                <w:b w:val="false"/>
                <w:bCs w:val="false"/>
                <w:sz w:val="20"/>
                <w:szCs w:val="20"/>
              </w:rPr>
              <w:t xml:space="preserve">K-Nearest Neighbors (KNN)</w:t>
            </w:r>
          </w:p>
        </w:tc>
        <w:tc>
          <w:tcPr>
            <w:tcW w:type="dxa" w:w="1125"/>
            <w:tcMar>
              <w:top w:type="dxa" w:w="60"/>
              <w:left w:type="dxa" w:w="100"/>
              <w:bottom w:type="dxa" w:w="60"/>
              <w:right w:type="dxa" w:w="100"/>
            </w:tcMar>
            <w:vAlign w:val="center"/>
          </w:tcPr>
          <w:p>
            <w:pPr>
              <w:jc w:val="center"/>
            </w:pPr>
            <w:r>
              <w:rPr>
                <w:b w:val="false"/>
                <w:bCs w:val="false"/>
                <w:sz w:val="20"/>
                <w:szCs w:val="20"/>
              </w:rPr>
              <w:t xml:space="preserve">82.38</w:t>
            </w:r>
          </w:p>
        </w:tc>
        <w:tc>
          <w:tcPr>
            <w:tcW w:type="dxa" w:w="1125"/>
            <w:tcMar>
              <w:top w:type="dxa" w:w="60"/>
              <w:left w:type="dxa" w:w="100"/>
              <w:bottom w:type="dxa" w:w="60"/>
              <w:right w:type="dxa" w:w="100"/>
            </w:tcMar>
            <w:vAlign w:val="center"/>
          </w:tcPr>
          <w:p>
            <w:pPr>
              <w:jc w:val="center"/>
            </w:pPr>
            <w:r>
              <w:rPr>
                <w:b w:val="false"/>
                <w:bCs w:val="false"/>
                <w:sz w:val="20"/>
                <w:szCs w:val="20"/>
              </w:rPr>
              <w:t xml:space="preserve">79.01</w:t>
            </w:r>
          </w:p>
        </w:tc>
        <w:tc>
          <w:tcPr>
            <w:tcW w:type="dxa" w:w="1125"/>
            <w:tcMar>
              <w:top w:type="dxa" w:w="60"/>
              <w:left w:type="dxa" w:w="100"/>
              <w:bottom w:type="dxa" w:w="60"/>
              <w:right w:type="dxa" w:w="100"/>
            </w:tcMar>
            <w:vAlign w:val="center"/>
          </w:tcPr>
          <w:p>
            <w:pPr>
              <w:jc w:val="center"/>
            </w:pPr>
            <w:r>
              <w:rPr>
                <w:b w:val="false"/>
                <w:bCs w:val="false"/>
                <w:sz w:val="20"/>
                <w:szCs w:val="20"/>
              </w:rPr>
              <w:t xml:space="preserve">74.34</w:t>
            </w:r>
          </w:p>
        </w:tc>
        <w:tc>
          <w:tcPr>
            <w:tcW w:type="dxa" w:w="1125"/>
            <w:tcMar>
              <w:top w:type="dxa" w:w="60"/>
              <w:left w:type="dxa" w:w="100"/>
              <w:bottom w:type="dxa" w:w="60"/>
              <w:right w:type="dxa" w:w="100"/>
            </w:tcMar>
            <w:vAlign w:val="center"/>
          </w:tcPr>
          <w:p>
            <w:pPr>
              <w:jc w:val="center"/>
            </w:pPr>
            <w:r>
              <w:rPr>
                <w:b w:val="false"/>
                <w:bCs w:val="false"/>
                <w:sz w:val="20"/>
                <w:szCs w:val="20"/>
              </w:rPr>
              <w:t xml:space="preserve">75.92</w:t>
            </w:r>
          </w:p>
        </w:tc>
        <w:tc>
          <w:tcPr>
            <w:tcW w:type="dxa" w:w="1125"/>
            <w:tcMar>
              <w:top w:type="dxa" w:w="60"/>
              <w:left w:type="dxa" w:w="100"/>
              <w:bottom w:type="dxa" w:w="60"/>
              <w:right w:type="dxa" w:w="100"/>
            </w:tcMar>
            <w:vAlign w:val="center"/>
          </w:tcPr>
          <w:p>
            <w:pPr>
              <w:jc w:val="center"/>
            </w:pPr>
            <w:r>
              <w:rPr>
                <w:b w:val="false"/>
                <w:bCs w:val="false"/>
                <w:sz w:val="20"/>
                <w:szCs w:val="20"/>
              </w:rPr>
              <w:t xml:space="preserve">91.85</w:t>
            </w:r>
          </w:p>
        </w:tc>
      </w:tr>
      <w:tr>
        <w:tc>
          <w:tcPr>
            <w:tcW w:type="dxa" w:w="1400"/>
            <w:tcMar>
              <w:top w:type="dxa" w:w="60"/>
              <w:left w:type="dxa" w:w="100"/>
              <w:bottom w:type="dxa" w:w="60"/>
              <w:right w:type="dxa" w:w="100"/>
            </w:tcMar>
            <w:vAlign w:val="center"/>
          </w:tcPr>
          <w:p>
            <w:pPr>
              <w:jc w:val="left"/>
            </w:pPr>
            <w:r>
              <w:rPr>
                <w:b w:val="false"/>
                <w:bCs w:val="false"/>
                <w:sz w:val="20"/>
                <w:szCs w:val="20"/>
              </w:rPr>
              <w:t xml:space="preserve">Deep Features (ResNet50)</w:t>
            </w:r>
          </w:p>
        </w:tc>
        <w:tc>
          <w:tcPr>
            <w:tcW w:type="dxa" w:w="2000"/>
            <w:tcMar>
              <w:top w:type="dxa" w:w="60"/>
              <w:left w:type="dxa" w:w="100"/>
              <w:bottom w:type="dxa" w:w="60"/>
              <w:right w:type="dxa" w:w="100"/>
            </w:tcMar>
            <w:vAlign w:val="center"/>
          </w:tcPr>
          <w:p>
            <w:pPr>
              <w:jc w:val="center"/>
            </w:pPr>
            <w:r>
              <w:rPr>
                <w:b w:val="false"/>
                <w:bCs w:val="false"/>
                <w:sz w:val="20"/>
                <w:szCs w:val="20"/>
              </w:rPr>
              <w:t xml:space="preserve">Linear SVM</w:t>
            </w:r>
          </w:p>
        </w:tc>
        <w:tc>
          <w:tcPr>
            <w:tcW w:type="dxa" w:w="1125"/>
            <w:tcMar>
              <w:top w:type="dxa" w:w="60"/>
              <w:left w:type="dxa" w:w="100"/>
              <w:bottom w:type="dxa" w:w="60"/>
              <w:right w:type="dxa" w:w="100"/>
            </w:tcMar>
            <w:vAlign w:val="center"/>
          </w:tcPr>
          <w:p>
            <w:pPr>
              <w:jc w:val="center"/>
            </w:pPr>
            <w:r>
              <w:rPr>
                <w:b w:val="false"/>
                <w:bCs w:val="false"/>
                <w:sz w:val="20"/>
                <w:szCs w:val="20"/>
              </w:rPr>
              <w:t xml:space="preserve">82.30</w:t>
            </w:r>
          </w:p>
        </w:tc>
        <w:tc>
          <w:tcPr>
            <w:tcW w:type="dxa" w:w="1125"/>
            <w:tcMar>
              <w:top w:type="dxa" w:w="60"/>
              <w:left w:type="dxa" w:w="100"/>
              <w:bottom w:type="dxa" w:w="60"/>
              <w:right w:type="dxa" w:w="100"/>
            </w:tcMar>
            <w:vAlign w:val="center"/>
          </w:tcPr>
          <w:p>
            <w:pPr>
              <w:jc w:val="center"/>
            </w:pPr>
            <w:r>
              <w:rPr>
                <w:b w:val="false"/>
                <w:bCs w:val="false"/>
                <w:sz w:val="20"/>
                <w:szCs w:val="20"/>
              </w:rPr>
              <w:t xml:space="preserve">78.55</w:t>
            </w:r>
          </w:p>
        </w:tc>
        <w:tc>
          <w:tcPr>
            <w:tcW w:type="dxa" w:w="1125"/>
            <w:tcMar>
              <w:top w:type="dxa" w:w="60"/>
              <w:left w:type="dxa" w:w="100"/>
              <w:bottom w:type="dxa" w:w="60"/>
              <w:right w:type="dxa" w:w="100"/>
            </w:tcMar>
            <w:vAlign w:val="center"/>
          </w:tcPr>
          <w:p>
            <w:pPr>
              <w:jc w:val="center"/>
            </w:pPr>
            <w:r>
              <w:rPr>
                <w:b w:val="false"/>
                <w:bCs w:val="false"/>
                <w:sz w:val="20"/>
                <w:szCs w:val="20"/>
              </w:rPr>
              <w:t xml:space="preserve">75.53</w:t>
            </w:r>
          </w:p>
        </w:tc>
        <w:tc>
          <w:tcPr>
            <w:tcW w:type="dxa" w:w="1125"/>
            <w:tcMar>
              <w:top w:type="dxa" w:w="60"/>
              <w:left w:type="dxa" w:w="100"/>
              <w:bottom w:type="dxa" w:w="60"/>
              <w:right w:type="dxa" w:w="100"/>
            </w:tcMar>
            <w:vAlign w:val="center"/>
          </w:tcPr>
          <w:p>
            <w:pPr>
              <w:jc w:val="center"/>
            </w:pPr>
            <w:r>
              <w:rPr>
                <w:b w:val="false"/>
                <w:bCs w:val="false"/>
                <w:sz w:val="20"/>
                <w:szCs w:val="20"/>
              </w:rPr>
              <w:t xml:space="preserve">76.81</w:t>
            </w:r>
          </w:p>
        </w:tc>
        <w:tc>
          <w:tcPr>
            <w:tcW w:type="dxa" w:w="1125"/>
            <w:tcMar>
              <w:top w:type="dxa" w:w="60"/>
              <w:left w:type="dxa" w:w="100"/>
              <w:bottom w:type="dxa" w:w="60"/>
              <w:right w:type="dxa" w:w="100"/>
            </w:tcMar>
            <w:vAlign w:val="center"/>
          </w:tcPr>
          <w:p>
            <w:pPr>
              <w:jc w:val="center"/>
            </w:pPr>
            <w:r>
              <w:rPr>
                <w:b w:val="false"/>
                <w:bCs w:val="false"/>
                <w:sz w:val="20"/>
                <w:szCs w:val="20"/>
              </w:rPr>
              <w:t xml:space="preserve">95.29</w:t>
            </w:r>
          </w:p>
        </w:tc>
      </w:tr>
      <w:tr>
        <w:tc>
          <w:tcPr>
            <w:tcW w:type="dxa" w:w="1400"/>
            <w:tcMar>
              <w:top w:type="dxa" w:w="60"/>
              <w:left w:type="dxa" w:w="100"/>
              <w:bottom w:type="dxa" w:w="60"/>
              <w:right w:type="dxa" w:w="100"/>
            </w:tcMar>
            <w:vAlign w:val="center"/>
          </w:tcPr>
          <w:p>
            <w:pPr>
              <w:jc w:val="left"/>
            </w:pPr>
            <w:r>
              <w:rPr>
                <w:b w:val="false"/>
                <w:bCs w:val="false"/>
                <w:sz w:val="20"/>
                <w:szCs w:val="20"/>
              </w:rPr>
              <w:t xml:space="preserve">Deep Features (ResNet50)</w:t>
            </w:r>
          </w:p>
        </w:tc>
        <w:tc>
          <w:tcPr>
            <w:tcW w:type="dxa" w:w="2000"/>
            <w:tcMar>
              <w:top w:type="dxa" w:w="60"/>
              <w:left w:type="dxa" w:w="100"/>
              <w:bottom w:type="dxa" w:w="60"/>
              <w:right w:type="dxa" w:w="100"/>
            </w:tcMar>
            <w:vAlign w:val="center"/>
          </w:tcPr>
          <w:p>
            <w:pPr>
              <w:jc w:val="center"/>
            </w:pPr>
            <w:r>
              <w:rPr>
                <w:b w:val="false"/>
                <w:bCs w:val="false"/>
                <w:sz w:val="20"/>
                <w:szCs w:val="20"/>
              </w:rPr>
              <w:t xml:space="preserve">RBF-SVM</w:t>
            </w:r>
          </w:p>
        </w:tc>
        <w:tc>
          <w:tcPr>
            <w:tcW w:type="dxa" w:w="1125"/>
            <w:tcMar>
              <w:top w:type="dxa" w:w="60"/>
              <w:left w:type="dxa" w:w="100"/>
              <w:bottom w:type="dxa" w:w="60"/>
              <w:right w:type="dxa" w:w="100"/>
            </w:tcMar>
            <w:vAlign w:val="center"/>
          </w:tcPr>
          <w:p>
            <w:pPr>
              <w:jc w:val="center"/>
            </w:pPr>
            <w:r>
              <w:rPr>
                <w:b w:val="false"/>
                <w:bCs w:val="false"/>
                <w:sz w:val="20"/>
                <w:szCs w:val="20"/>
              </w:rPr>
              <w:t xml:space="preserve">82.98</w:t>
            </w:r>
          </w:p>
        </w:tc>
        <w:tc>
          <w:tcPr>
            <w:tcW w:type="dxa" w:w="1125"/>
            <w:tcMar>
              <w:top w:type="dxa" w:w="60"/>
              <w:left w:type="dxa" w:w="100"/>
              <w:bottom w:type="dxa" w:w="60"/>
              <w:right w:type="dxa" w:w="100"/>
            </w:tcMar>
            <w:vAlign w:val="center"/>
          </w:tcPr>
          <w:p>
            <w:pPr>
              <w:jc w:val="center"/>
            </w:pPr>
            <w:r>
              <w:rPr>
                <w:b w:val="false"/>
                <w:bCs w:val="false"/>
                <w:sz w:val="20"/>
                <w:szCs w:val="20"/>
              </w:rPr>
              <w:t xml:space="preserve">78.07</w:t>
            </w:r>
          </w:p>
        </w:tc>
        <w:tc>
          <w:tcPr>
            <w:tcW w:type="dxa" w:w="1125"/>
            <w:tcMar>
              <w:top w:type="dxa" w:w="60"/>
              <w:left w:type="dxa" w:w="100"/>
              <w:bottom w:type="dxa" w:w="60"/>
              <w:right w:type="dxa" w:w="100"/>
            </w:tcMar>
            <w:vAlign w:val="center"/>
          </w:tcPr>
          <w:p>
            <w:pPr>
              <w:jc w:val="center"/>
            </w:pPr>
            <w:r>
              <w:rPr>
                <w:b w:val="false"/>
                <w:bCs w:val="false"/>
                <w:sz w:val="20"/>
                <w:szCs w:val="20"/>
              </w:rPr>
              <w:t xml:space="preserve">77.71</w:t>
            </w:r>
          </w:p>
        </w:tc>
        <w:tc>
          <w:tcPr>
            <w:tcW w:type="dxa" w:w="1125"/>
            <w:tcMar>
              <w:top w:type="dxa" w:w="60"/>
              <w:left w:type="dxa" w:w="100"/>
              <w:bottom w:type="dxa" w:w="60"/>
              <w:right w:type="dxa" w:w="100"/>
            </w:tcMar>
            <w:vAlign w:val="center"/>
          </w:tcPr>
          <w:p>
            <w:pPr>
              <w:jc w:val="center"/>
            </w:pPr>
            <w:r>
              <w:rPr>
                <w:b w:val="false"/>
                <w:bCs w:val="false"/>
                <w:sz w:val="20"/>
                <w:szCs w:val="20"/>
              </w:rPr>
              <w:t xml:space="preserve">77.83</w:t>
            </w:r>
          </w:p>
        </w:tc>
        <w:tc>
          <w:tcPr>
            <w:tcW w:type="dxa" w:w="1125"/>
            <w:tcMar>
              <w:top w:type="dxa" w:w="60"/>
              <w:left w:type="dxa" w:w="100"/>
              <w:bottom w:type="dxa" w:w="60"/>
              <w:right w:type="dxa" w:w="100"/>
            </w:tcMar>
            <w:vAlign w:val="center"/>
          </w:tcPr>
          <w:p>
            <w:pPr>
              <w:jc w:val="center"/>
            </w:pPr>
            <w:r>
              <w:rPr>
                <w:b w:val="false"/>
                <w:bCs w:val="false"/>
                <w:sz w:val="20"/>
                <w:szCs w:val="20"/>
              </w:rPr>
              <w:t xml:space="preserve">95.40</w:t>
            </w:r>
          </w:p>
        </w:tc>
      </w:tr>
      <w:tr>
        <w:tc>
          <w:tcPr>
            <w:tcW w:type="dxa" w:w="1400"/>
            <w:tcMar>
              <w:top w:type="dxa" w:w="60"/>
              <w:left w:type="dxa" w:w="100"/>
              <w:bottom w:type="dxa" w:w="60"/>
              <w:right w:type="dxa" w:w="100"/>
            </w:tcMar>
            <w:vAlign w:val="center"/>
          </w:tcPr>
          <w:p>
            <w:pPr>
              <w:jc w:val="left"/>
            </w:pPr>
            <w:r>
              <w:rPr>
                <w:b w:val="false"/>
                <w:bCs w:val="false"/>
                <w:sz w:val="20"/>
                <w:szCs w:val="20"/>
              </w:rPr>
              <w:t xml:space="preserve">Deep Features (ResNet50)</w:t>
            </w:r>
          </w:p>
        </w:tc>
        <w:tc>
          <w:tcPr>
            <w:tcW w:type="dxa" w:w="2000"/>
            <w:tcMar>
              <w:top w:type="dxa" w:w="60"/>
              <w:left w:type="dxa" w:w="100"/>
              <w:bottom w:type="dxa" w:w="60"/>
              <w:right w:type="dxa" w:w="100"/>
            </w:tcMar>
            <w:vAlign w:val="center"/>
          </w:tcPr>
          <w:p>
            <w:pPr>
              <w:jc w:val="center"/>
            </w:pPr>
            <w:r>
              <w:rPr>
                <w:b w:val="false"/>
                <w:bCs w:val="false"/>
                <w:sz w:val="20"/>
                <w:szCs w:val="20"/>
              </w:rPr>
              <w:t xml:space="preserve">XGBoost</w:t>
            </w:r>
          </w:p>
        </w:tc>
        <w:tc>
          <w:tcPr>
            <w:tcW w:type="dxa" w:w="1125"/>
            <w:tcMar>
              <w:top w:type="dxa" w:w="60"/>
              <w:left w:type="dxa" w:w="100"/>
              <w:bottom w:type="dxa" w:w="60"/>
              <w:right w:type="dxa" w:w="100"/>
            </w:tcMar>
            <w:vAlign w:val="center"/>
          </w:tcPr>
          <w:p>
            <w:pPr>
              <w:jc w:val="center"/>
            </w:pPr>
            <w:r>
              <w:rPr>
                <w:b w:val="false"/>
                <w:bCs w:val="false"/>
                <w:sz w:val="20"/>
                <w:szCs w:val="20"/>
              </w:rPr>
              <w:t xml:space="preserve">82.90</w:t>
            </w:r>
          </w:p>
        </w:tc>
        <w:tc>
          <w:tcPr>
            <w:tcW w:type="dxa" w:w="1125"/>
            <w:tcMar>
              <w:top w:type="dxa" w:w="60"/>
              <w:left w:type="dxa" w:w="100"/>
              <w:bottom w:type="dxa" w:w="60"/>
              <w:right w:type="dxa" w:w="100"/>
            </w:tcMar>
            <w:vAlign w:val="center"/>
          </w:tcPr>
          <w:p>
            <w:pPr>
              <w:jc w:val="center"/>
            </w:pPr>
            <w:r>
              <w:rPr>
                <w:b w:val="false"/>
                <w:bCs w:val="false"/>
                <w:sz w:val="20"/>
                <w:szCs w:val="20"/>
              </w:rPr>
              <w:t xml:space="preserve">77.24</w:t>
            </w:r>
          </w:p>
        </w:tc>
        <w:tc>
          <w:tcPr>
            <w:tcW w:type="dxa" w:w="1125"/>
            <w:tcMar>
              <w:top w:type="dxa" w:w="60"/>
              <w:left w:type="dxa" w:w="100"/>
              <w:bottom w:type="dxa" w:w="60"/>
              <w:right w:type="dxa" w:w="100"/>
            </w:tcMar>
            <w:vAlign w:val="center"/>
          </w:tcPr>
          <w:p>
            <w:pPr>
              <w:jc w:val="center"/>
            </w:pPr>
            <w:r>
              <w:rPr>
                <w:b w:val="false"/>
                <w:bCs w:val="false"/>
                <w:sz w:val="20"/>
                <w:szCs w:val="20"/>
              </w:rPr>
              <w:t xml:space="preserve">75.35</w:t>
            </w:r>
          </w:p>
        </w:tc>
        <w:tc>
          <w:tcPr>
            <w:tcW w:type="dxa" w:w="1125"/>
            <w:tcMar>
              <w:top w:type="dxa" w:w="60"/>
              <w:left w:type="dxa" w:w="100"/>
              <w:bottom w:type="dxa" w:w="60"/>
              <w:right w:type="dxa" w:w="100"/>
            </w:tcMar>
            <w:vAlign w:val="center"/>
          </w:tcPr>
          <w:p>
            <w:pPr>
              <w:jc w:val="center"/>
            </w:pPr>
            <w:r>
              <w:rPr>
                <w:b w:val="false"/>
                <w:bCs w:val="false"/>
                <w:sz w:val="20"/>
                <w:szCs w:val="20"/>
              </w:rPr>
              <w:t xml:space="preserve">76.18</w:t>
            </w:r>
          </w:p>
        </w:tc>
        <w:tc>
          <w:tcPr>
            <w:tcW w:type="dxa" w:w="1125"/>
            <w:tcMar>
              <w:top w:type="dxa" w:w="60"/>
              <w:left w:type="dxa" w:w="100"/>
              <w:bottom w:type="dxa" w:w="60"/>
              <w:right w:type="dxa" w:w="100"/>
            </w:tcMar>
            <w:vAlign w:val="center"/>
          </w:tcPr>
          <w:p>
            <w:pPr>
              <w:jc w:val="center"/>
            </w:pPr>
            <w:r>
              <w:rPr>
                <w:b w:val="false"/>
                <w:bCs w:val="false"/>
                <w:sz w:val="20"/>
                <w:szCs w:val="20"/>
              </w:rPr>
              <w:t xml:space="preserve">95.61</w:t>
            </w:r>
          </w:p>
        </w:tc>
      </w:tr>
    </w:tbl>
    <w:p>
      <w:pPr>
        <w:spacing w:after="200"/>
      </w:pPr>
      <w:r>
        <w:rPr>
          <w:b w:val="false"/>
          <w:bCs w:val="false"/>
          <w:i w:val="false"/>
          <w:iCs w:val="false"/>
        </w:rPr>
        <w:t xml:space="preserve">Using ResNet50 deep features, RBF-SVM achieved the highest test accuracy (82.98%), narrowly ahead of XGBoost (82.90%), KNN (82.38%), and Linear SVM (82.30%); these four classifiers all landed within a percentage point of each other. Logistic Regression was a close fifth (81.77%) despite being by far the simplest and fastest classifier to train (21.3 seconds). Random Forest and, in particular, Decision Tree lagged well behind the rest (79.16% and 68.03% respectively), which is consistent with tree-based splits being a poor fit for the smooth, high-dimensional, continuous feature space produced by a CNN, compared with margin-based or distance-based methods. Notably, the best classical pipeline (RBF-SVM on frozen ResNet50 features, 82.98%) slightly outperformed the best fully fine-tuned end-to-end CNN from Table 1 (ResNet50, 81.19%); this is discussed further in Section 5.</w:t>
      </w:r>
    </w:p>
    <w:p>
      <w:pPr>
        <w:pStyle w:val="Heading2"/>
        <w:spacing w:after="120" w:before="260"/>
      </w:pPr>
      <w:r>
        <w:t xml:space="preserve">4.3 Hyperparameter Tuning Results</w:t>
      </w:r>
    </w:p>
    <w:p>
      <w:pPr>
        <w:spacing w:after="200"/>
      </w:pPr>
      <w:r>
        <w:rPr>
          <w:b w:val="false"/>
          <w:bCs w:val="false"/>
          <w:i w:val="false"/>
          <w:iCs w:val="false"/>
        </w:rPr>
        <w:t xml:space="preserve">The grid search described in Section 3.3 was started but did not finish: the notebook's log shows it began fitting (“Fitting 3 folds for each of 12 candidates, totalling 36 fits”) but the Colab runtime disconnected before any fold completed, so no best parameters, best cross-validation score, or tuned test-set metrics were produced. This is reported here rather than invented, since an SVM's tuning outcome cannot be estimated from its default-parameter run alone. What can honestly be reported is the pre-tuning result, which is simply RBF-SVM's row from Table 2, repeated here for convenience: accuracy 82.98%, precision 78.07%, recall 77.71%, F1-score 77.83%, AUC 95.40%. Completing the search only requires re-running the existing grid-search cell (Section 6 of the notebook) in the same Colab session, since the extracted features and the trained default classifiers are already cached there; based on the 197.7-second runtime of a single default RBF-SVM fit on the same 6,000-image subsample, the full 36-fit search should take on the order of 15 to 30 minutes depending on the number of CPU cores Colab allocates, after which the notebook will print the best parameters and produce the tuned-versus-default comparison automatically.</w:t>
      </w:r>
    </w:p>
    <w:p>
      <w:pPr>
        <w:pStyle w:val="Heading2"/>
        <w:spacing w:after="120" w:before="260"/>
      </w:pPr>
      <w:r>
        <w:t xml:space="preserve">4.4 Table 3: Computational Efficiency Comparison</w:t>
      </w:r>
    </w:p>
    <w:p>
      <w:pPr>
        <w:spacing w:after="80" w:before="120"/>
      </w:pPr>
      <w:r>
        <w:rPr>
          <w:b/>
          <w:bCs/>
        </w:rPr>
        <w:t xml:space="preserve">Table 3. Computational Efficiency Comparison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445"/>
        <w:gridCol w:w="1445"/>
        <w:gridCol w:w="1445"/>
        <w:gridCol w:w="1445"/>
        <w:gridCol w:w="1445"/>
      </w:tblGrid>
      <w:tr>
        <w:trPr>
          <w:tblHeader/>
        </w:trPr>
        <w:tc>
          <w:tcPr>
            <w:tcW w:type="dxa" w:w="1800"/>
            <w:shd w:fill="D9E2F3" w:val="clear"/>
            <w:tcMar>
              <w:top w:type="dxa" w:w="60"/>
              <w:left w:type="dxa" w:w="100"/>
              <w:bottom w:type="dxa" w:w="60"/>
              <w:right w:type="dxa" w:w="100"/>
            </w:tcMar>
            <w:vAlign w:val="center"/>
          </w:tcPr>
          <w:p>
            <w:pPr>
              <w:jc w:val="center"/>
            </w:pPr>
            <w:r>
              <w:rPr>
                <w:b/>
                <w:bCs/>
                <w:sz w:val="20"/>
                <w:szCs w:val="20"/>
              </w:rPr>
              <w:t xml:space="preserve">Model</w:t>
            </w:r>
          </w:p>
        </w:tc>
        <w:tc>
          <w:tcPr>
            <w:tcW w:type="dxa" w:w="1445"/>
            <w:shd w:fill="D9E2F3" w:val="clear"/>
            <w:tcMar>
              <w:top w:type="dxa" w:w="60"/>
              <w:left w:type="dxa" w:w="100"/>
              <w:bottom w:type="dxa" w:w="60"/>
              <w:right w:type="dxa" w:w="100"/>
            </w:tcMar>
            <w:vAlign w:val="center"/>
          </w:tcPr>
          <w:p>
            <w:pPr>
              <w:jc w:val="center"/>
            </w:pPr>
            <w:r>
              <w:rPr>
                <w:b/>
                <w:bCs/>
                <w:sz w:val="20"/>
                <w:szCs w:val="20"/>
              </w:rPr>
              <w:t xml:space="preserve">Parameters (M)</w:t>
            </w:r>
          </w:p>
        </w:tc>
        <w:tc>
          <w:tcPr>
            <w:tcW w:type="dxa" w:w="1445"/>
            <w:shd w:fill="D9E2F3" w:val="clear"/>
            <w:tcMar>
              <w:top w:type="dxa" w:w="60"/>
              <w:left w:type="dxa" w:w="100"/>
              <w:bottom w:type="dxa" w:w="60"/>
              <w:right w:type="dxa" w:w="100"/>
            </w:tcMar>
            <w:vAlign w:val="center"/>
          </w:tcPr>
          <w:p>
            <w:pPr>
              <w:jc w:val="center"/>
            </w:pPr>
            <w:r>
              <w:rPr>
                <w:b/>
                <w:bCs/>
                <w:sz w:val="20"/>
                <w:szCs w:val="20"/>
              </w:rPr>
              <w:t xml:space="preserve">Model Size (MB)</w:t>
            </w:r>
          </w:p>
        </w:tc>
        <w:tc>
          <w:tcPr>
            <w:tcW w:type="dxa" w:w="1445"/>
            <w:shd w:fill="D9E2F3" w:val="clear"/>
            <w:tcMar>
              <w:top w:type="dxa" w:w="60"/>
              <w:left w:type="dxa" w:w="100"/>
              <w:bottom w:type="dxa" w:w="60"/>
              <w:right w:type="dxa" w:w="100"/>
            </w:tcMar>
            <w:vAlign w:val="center"/>
          </w:tcPr>
          <w:p>
            <w:pPr>
              <w:jc w:val="center"/>
            </w:pPr>
            <w:r>
              <w:rPr>
                <w:b/>
                <w:bCs/>
                <w:sz w:val="20"/>
                <w:szCs w:val="20"/>
              </w:rPr>
              <w:t xml:space="preserve">FLOPs (G)</w:t>
            </w:r>
          </w:p>
        </w:tc>
        <w:tc>
          <w:tcPr>
            <w:tcW w:type="dxa" w:w="1445"/>
            <w:shd w:fill="D9E2F3" w:val="clear"/>
            <w:tcMar>
              <w:top w:type="dxa" w:w="60"/>
              <w:left w:type="dxa" w:w="100"/>
              <w:bottom w:type="dxa" w:w="60"/>
              <w:right w:type="dxa" w:w="100"/>
            </w:tcMar>
            <w:vAlign w:val="center"/>
          </w:tcPr>
          <w:p>
            <w:pPr>
              <w:jc w:val="center"/>
            </w:pPr>
            <w:r>
              <w:rPr>
                <w:b/>
                <w:bCs/>
                <w:sz w:val="20"/>
                <w:szCs w:val="20"/>
              </w:rPr>
              <w:t xml:space="preserve">Inference Time (ms)*</w:t>
            </w:r>
          </w:p>
        </w:tc>
        <w:tc>
          <w:tcPr>
            <w:tcW w:type="dxa" w:w="1445"/>
            <w:shd w:fill="D9E2F3" w:val="clear"/>
            <w:tcMar>
              <w:top w:type="dxa" w:w="60"/>
              <w:left w:type="dxa" w:w="100"/>
              <w:bottom w:type="dxa" w:w="60"/>
              <w:right w:type="dxa" w:w="100"/>
            </w:tcMar>
            <w:vAlign w:val="center"/>
          </w:tcPr>
          <w:p>
            <w:pPr>
              <w:jc w:val="center"/>
            </w:pPr>
            <w:r>
              <w:rPr>
                <w:b/>
                <w:bCs/>
                <w:sz w:val="20"/>
                <w:szCs w:val="20"/>
              </w:rPr>
              <w:t xml:space="preserve">Accuracy (%)</w:t>
            </w:r>
          </w:p>
        </w:tc>
      </w:tr>
      <w:tr>
        <w:tc>
          <w:tcPr>
            <w:tcW w:type="dxa" w:w="1800"/>
            <w:tcMar>
              <w:top w:type="dxa" w:w="60"/>
              <w:left w:type="dxa" w:w="100"/>
              <w:bottom w:type="dxa" w:w="60"/>
              <w:right w:type="dxa" w:w="100"/>
            </w:tcMar>
            <w:vAlign w:val="center"/>
          </w:tcPr>
          <w:p>
            <w:pPr>
              <w:jc w:val="left"/>
            </w:pPr>
            <w:r>
              <w:rPr>
                <w:b w:val="false"/>
                <w:bCs w:val="false"/>
                <w:sz w:val="20"/>
                <w:szCs w:val="20"/>
              </w:rPr>
              <w:t xml:space="preserve">AlexNet</w:t>
            </w:r>
          </w:p>
        </w:tc>
        <w:tc>
          <w:tcPr>
            <w:tcW w:type="dxa" w:w="1445"/>
            <w:tcMar>
              <w:top w:type="dxa" w:w="60"/>
              <w:left w:type="dxa" w:w="100"/>
              <w:bottom w:type="dxa" w:w="60"/>
              <w:right w:type="dxa" w:w="100"/>
            </w:tcMar>
            <w:vAlign w:val="center"/>
          </w:tcPr>
          <w:p>
            <w:pPr>
              <w:jc w:val="center"/>
            </w:pPr>
            <w:r>
              <w:rPr>
                <w:b w:val="false"/>
                <w:bCs w:val="false"/>
                <w:sz w:val="20"/>
                <w:szCs w:val="20"/>
              </w:rPr>
              <w:t xml:space="preserve">57.02</w:t>
            </w:r>
          </w:p>
        </w:tc>
        <w:tc>
          <w:tcPr>
            <w:tcW w:type="dxa" w:w="1445"/>
            <w:tcMar>
              <w:top w:type="dxa" w:w="60"/>
              <w:left w:type="dxa" w:w="100"/>
              <w:bottom w:type="dxa" w:w="60"/>
              <w:right w:type="dxa" w:w="100"/>
            </w:tcMar>
            <w:vAlign w:val="center"/>
          </w:tcPr>
          <w:p>
            <w:pPr>
              <w:jc w:val="center"/>
            </w:pPr>
            <w:r>
              <w:rPr>
                <w:b w:val="false"/>
                <w:bCs w:val="false"/>
                <w:sz w:val="20"/>
                <w:szCs w:val="20"/>
              </w:rPr>
              <w:t xml:space="preserve">217.54</w:t>
            </w:r>
          </w:p>
        </w:tc>
        <w:tc>
          <w:tcPr>
            <w:tcW w:type="dxa" w:w="1445"/>
            <w:tcMar>
              <w:top w:type="dxa" w:w="60"/>
              <w:left w:type="dxa" w:w="100"/>
              <w:bottom w:type="dxa" w:w="60"/>
              <w:right w:type="dxa" w:w="100"/>
            </w:tcMar>
            <w:vAlign w:val="center"/>
          </w:tcPr>
          <w:p>
            <w:pPr>
              <w:jc w:val="center"/>
            </w:pPr>
            <w:r>
              <w:rPr>
                <w:b w:val="false"/>
                <w:bCs w:val="false"/>
                <w:sz w:val="20"/>
                <w:szCs w:val="20"/>
              </w:rPr>
              <w:t xml:space="preserve">1.42</w:t>
            </w:r>
          </w:p>
        </w:tc>
        <w:tc>
          <w:tcPr>
            <w:tcW w:type="dxa" w:w="1445"/>
            <w:tcMar>
              <w:top w:type="dxa" w:w="60"/>
              <w:left w:type="dxa" w:w="100"/>
              <w:bottom w:type="dxa" w:w="60"/>
              <w:right w:type="dxa" w:w="100"/>
            </w:tcMar>
            <w:vAlign w:val="center"/>
          </w:tcPr>
          <w:p>
            <w:pPr>
              <w:jc w:val="center"/>
            </w:pPr>
            <w:r>
              <w:rPr>
                <w:b w:val="false"/>
                <w:bCs w:val="false"/>
                <w:sz w:val="20"/>
                <w:szCs w:val="20"/>
              </w:rPr>
              <w:t xml:space="preserve">23.23</w:t>
            </w:r>
          </w:p>
        </w:tc>
        <w:tc>
          <w:tcPr>
            <w:tcW w:type="dxa" w:w="1445"/>
            <w:tcMar>
              <w:top w:type="dxa" w:w="60"/>
              <w:left w:type="dxa" w:w="100"/>
              <w:bottom w:type="dxa" w:w="60"/>
              <w:right w:type="dxa" w:w="100"/>
            </w:tcMar>
            <w:vAlign w:val="center"/>
          </w:tcPr>
          <w:p>
            <w:pPr>
              <w:jc w:val="center"/>
            </w:pPr>
            <w:r>
              <w:rPr>
                <w:b w:val="false"/>
                <w:bCs w:val="false"/>
                <w:sz w:val="20"/>
                <w:szCs w:val="20"/>
              </w:rPr>
              <w:t xml:space="preserve">65.09</w:t>
            </w:r>
          </w:p>
        </w:tc>
      </w:tr>
      <w:tr>
        <w:tc>
          <w:tcPr>
            <w:tcW w:type="dxa" w:w="1800"/>
            <w:tcMar>
              <w:top w:type="dxa" w:w="60"/>
              <w:left w:type="dxa" w:w="100"/>
              <w:bottom w:type="dxa" w:w="60"/>
              <w:right w:type="dxa" w:w="100"/>
            </w:tcMar>
            <w:vAlign w:val="center"/>
          </w:tcPr>
          <w:p>
            <w:pPr>
              <w:jc w:val="left"/>
            </w:pPr>
            <w:r>
              <w:rPr>
                <w:b w:val="false"/>
                <w:bCs w:val="false"/>
                <w:sz w:val="20"/>
                <w:szCs w:val="20"/>
              </w:rPr>
              <w:t xml:space="preserve">VGG16</w:t>
            </w:r>
          </w:p>
        </w:tc>
        <w:tc>
          <w:tcPr>
            <w:tcW w:type="dxa" w:w="1445"/>
            <w:tcMar>
              <w:top w:type="dxa" w:w="60"/>
              <w:left w:type="dxa" w:w="100"/>
              <w:bottom w:type="dxa" w:w="60"/>
              <w:right w:type="dxa" w:w="100"/>
            </w:tcMar>
            <w:vAlign w:val="center"/>
          </w:tcPr>
          <w:p>
            <w:pPr>
              <w:jc w:val="center"/>
            </w:pPr>
            <w:r>
              <w:rPr>
                <w:b w:val="false"/>
                <w:bCs w:val="false"/>
                <w:sz w:val="20"/>
                <w:szCs w:val="20"/>
              </w:rPr>
              <w:t xml:space="preserve">134.28</w:t>
            </w:r>
          </w:p>
        </w:tc>
        <w:tc>
          <w:tcPr>
            <w:tcW w:type="dxa" w:w="1445"/>
            <w:tcMar>
              <w:top w:type="dxa" w:w="60"/>
              <w:left w:type="dxa" w:w="100"/>
              <w:bottom w:type="dxa" w:w="60"/>
              <w:right w:type="dxa" w:w="100"/>
            </w:tcMar>
            <w:vAlign w:val="center"/>
          </w:tcPr>
          <w:p>
            <w:pPr>
              <w:jc w:val="center"/>
            </w:pPr>
            <w:r>
              <w:rPr>
                <w:b w:val="false"/>
                <w:bCs w:val="false"/>
                <w:sz w:val="20"/>
                <w:szCs w:val="20"/>
              </w:rPr>
              <w:t xml:space="preserve">512.25</w:t>
            </w:r>
          </w:p>
        </w:tc>
        <w:tc>
          <w:tcPr>
            <w:tcW w:type="dxa" w:w="1445"/>
            <w:tcMar>
              <w:top w:type="dxa" w:w="60"/>
              <w:left w:type="dxa" w:w="100"/>
              <w:bottom w:type="dxa" w:w="60"/>
              <w:right w:type="dxa" w:w="100"/>
            </w:tcMar>
            <w:vAlign w:val="center"/>
          </w:tcPr>
          <w:p>
            <w:pPr>
              <w:jc w:val="center"/>
            </w:pPr>
            <w:r>
              <w:rPr>
                <w:b w:val="false"/>
                <w:bCs w:val="false"/>
                <w:sz w:val="20"/>
                <w:szCs w:val="20"/>
              </w:rPr>
              <w:t xml:space="preserve">30.93</w:t>
            </w:r>
          </w:p>
        </w:tc>
        <w:tc>
          <w:tcPr>
            <w:tcW w:type="dxa" w:w="1445"/>
            <w:tcMar>
              <w:top w:type="dxa" w:w="60"/>
              <w:left w:type="dxa" w:w="100"/>
              <w:bottom w:type="dxa" w:w="60"/>
              <w:right w:type="dxa" w:w="100"/>
            </w:tcMar>
            <w:vAlign w:val="center"/>
          </w:tcPr>
          <w:p>
            <w:pPr>
              <w:jc w:val="center"/>
            </w:pPr>
            <w:r>
              <w:rPr>
                <w:b w:val="false"/>
                <w:bCs w:val="false"/>
                <w:sz w:val="20"/>
                <w:szCs w:val="20"/>
              </w:rPr>
              <w:t xml:space="preserve">225.78</w:t>
            </w:r>
          </w:p>
        </w:tc>
        <w:tc>
          <w:tcPr>
            <w:tcW w:type="dxa" w:w="1445"/>
            <w:tcMar>
              <w:top w:type="dxa" w:w="60"/>
              <w:left w:type="dxa" w:w="100"/>
              <w:bottom w:type="dxa" w:w="60"/>
              <w:right w:type="dxa" w:w="100"/>
            </w:tcMar>
            <w:vAlign w:val="center"/>
          </w:tcPr>
          <w:p>
            <w:pPr>
              <w:jc w:val="center"/>
            </w:pPr>
            <w:r>
              <w:rPr>
                <w:b w:val="false"/>
                <w:bCs w:val="false"/>
                <w:sz w:val="20"/>
                <w:szCs w:val="20"/>
              </w:rPr>
              <w:t xml:space="preserve">71.37</w:t>
            </w:r>
          </w:p>
        </w:tc>
      </w:tr>
      <w:tr>
        <w:tc>
          <w:tcPr>
            <w:tcW w:type="dxa" w:w="1800"/>
            <w:tcMar>
              <w:top w:type="dxa" w:w="60"/>
              <w:left w:type="dxa" w:w="100"/>
              <w:bottom w:type="dxa" w:w="60"/>
              <w:right w:type="dxa" w:w="100"/>
            </w:tcMar>
            <w:vAlign w:val="center"/>
          </w:tcPr>
          <w:p>
            <w:pPr>
              <w:jc w:val="left"/>
            </w:pPr>
            <w:r>
              <w:rPr>
                <w:b w:val="false"/>
                <w:bCs w:val="false"/>
                <w:sz w:val="20"/>
                <w:szCs w:val="20"/>
              </w:rPr>
              <w:t xml:space="preserve">VGG19</w:t>
            </w:r>
          </w:p>
        </w:tc>
        <w:tc>
          <w:tcPr>
            <w:tcW w:type="dxa" w:w="1445"/>
            <w:tcMar>
              <w:top w:type="dxa" w:w="60"/>
              <w:left w:type="dxa" w:w="100"/>
              <w:bottom w:type="dxa" w:w="60"/>
              <w:right w:type="dxa" w:w="100"/>
            </w:tcMar>
            <w:vAlign w:val="center"/>
          </w:tcPr>
          <w:p>
            <w:pPr>
              <w:jc w:val="center"/>
            </w:pPr>
            <w:r>
              <w:rPr>
                <w:b w:val="false"/>
                <w:bCs w:val="false"/>
                <w:sz w:val="20"/>
                <w:szCs w:val="20"/>
              </w:rPr>
              <w:t xml:space="preserve">139.59</w:t>
            </w:r>
          </w:p>
        </w:tc>
        <w:tc>
          <w:tcPr>
            <w:tcW w:type="dxa" w:w="1445"/>
            <w:tcMar>
              <w:top w:type="dxa" w:w="60"/>
              <w:left w:type="dxa" w:w="100"/>
              <w:bottom w:type="dxa" w:w="60"/>
              <w:right w:type="dxa" w:w="100"/>
            </w:tcMar>
            <w:vAlign w:val="center"/>
          </w:tcPr>
          <w:p>
            <w:pPr>
              <w:jc w:val="center"/>
            </w:pPr>
            <w:r>
              <w:rPr>
                <w:b w:val="false"/>
                <w:bCs w:val="false"/>
                <w:sz w:val="20"/>
                <w:szCs w:val="20"/>
              </w:rPr>
              <w:t xml:space="preserve">532.51</w:t>
            </w:r>
          </w:p>
        </w:tc>
        <w:tc>
          <w:tcPr>
            <w:tcW w:type="dxa" w:w="1445"/>
            <w:tcMar>
              <w:top w:type="dxa" w:w="60"/>
              <w:left w:type="dxa" w:w="100"/>
              <w:bottom w:type="dxa" w:w="60"/>
              <w:right w:type="dxa" w:w="100"/>
            </w:tcMar>
            <w:vAlign w:val="center"/>
          </w:tcPr>
          <w:p>
            <w:pPr>
              <w:jc w:val="center"/>
            </w:pPr>
            <w:r>
              <w:rPr>
                <w:b w:val="false"/>
                <w:bCs w:val="false"/>
                <w:sz w:val="20"/>
                <w:szCs w:val="20"/>
              </w:rPr>
              <w:t xml:space="preserve">39.26</w:t>
            </w:r>
          </w:p>
        </w:tc>
        <w:tc>
          <w:tcPr>
            <w:tcW w:type="dxa" w:w="1445"/>
            <w:tcMar>
              <w:top w:type="dxa" w:w="60"/>
              <w:left w:type="dxa" w:w="100"/>
              <w:bottom w:type="dxa" w:w="60"/>
              <w:right w:type="dxa" w:w="100"/>
            </w:tcMar>
            <w:vAlign w:val="center"/>
          </w:tcPr>
          <w:p>
            <w:pPr>
              <w:jc w:val="center"/>
            </w:pPr>
            <w:r>
              <w:rPr>
                <w:b w:val="false"/>
                <w:bCs w:val="false"/>
                <w:sz w:val="20"/>
                <w:szCs w:val="20"/>
              </w:rPr>
              <w:t xml:space="preserve">258.85</w:t>
            </w:r>
          </w:p>
        </w:tc>
        <w:tc>
          <w:tcPr>
            <w:tcW w:type="dxa" w:w="1445"/>
            <w:tcMar>
              <w:top w:type="dxa" w:w="60"/>
              <w:left w:type="dxa" w:w="100"/>
              <w:bottom w:type="dxa" w:w="60"/>
              <w:right w:type="dxa" w:w="100"/>
            </w:tcMar>
            <w:vAlign w:val="center"/>
          </w:tcPr>
          <w:p>
            <w:pPr>
              <w:jc w:val="center"/>
            </w:pPr>
            <w:r>
              <w:rPr>
                <w:b w:val="false"/>
                <w:bCs w:val="false"/>
                <w:sz w:val="20"/>
                <w:szCs w:val="20"/>
              </w:rPr>
              <w:t xml:space="preserve">64.29</w:t>
            </w:r>
          </w:p>
        </w:tc>
      </w:tr>
      <w:tr>
        <w:tc>
          <w:tcPr>
            <w:tcW w:type="dxa" w:w="1800"/>
            <w:tcMar>
              <w:top w:type="dxa" w:w="60"/>
              <w:left w:type="dxa" w:w="100"/>
              <w:bottom w:type="dxa" w:w="60"/>
              <w:right w:type="dxa" w:w="100"/>
            </w:tcMar>
            <w:vAlign w:val="center"/>
          </w:tcPr>
          <w:p>
            <w:pPr>
              <w:jc w:val="left"/>
            </w:pPr>
            <w:r>
              <w:rPr>
                <w:b w:val="false"/>
                <w:bCs w:val="false"/>
                <w:sz w:val="20"/>
                <w:szCs w:val="20"/>
              </w:rPr>
              <w:t xml:space="preserve">ResNet18</w:t>
            </w:r>
          </w:p>
        </w:tc>
        <w:tc>
          <w:tcPr>
            <w:tcW w:type="dxa" w:w="1445"/>
            <w:tcMar>
              <w:top w:type="dxa" w:w="60"/>
              <w:left w:type="dxa" w:w="100"/>
              <w:bottom w:type="dxa" w:w="60"/>
              <w:right w:type="dxa" w:w="100"/>
            </w:tcMar>
            <w:vAlign w:val="center"/>
          </w:tcPr>
          <w:p>
            <w:pPr>
              <w:jc w:val="center"/>
            </w:pPr>
            <w:r>
              <w:rPr>
                <w:b w:val="false"/>
                <w:bCs w:val="false"/>
                <w:sz w:val="20"/>
                <w:szCs w:val="20"/>
              </w:rPr>
              <w:t xml:space="preserve">11.18</w:t>
            </w:r>
          </w:p>
        </w:tc>
        <w:tc>
          <w:tcPr>
            <w:tcW w:type="dxa" w:w="1445"/>
            <w:tcMar>
              <w:top w:type="dxa" w:w="60"/>
              <w:left w:type="dxa" w:w="100"/>
              <w:bottom w:type="dxa" w:w="60"/>
              <w:right w:type="dxa" w:w="100"/>
            </w:tcMar>
            <w:vAlign w:val="center"/>
          </w:tcPr>
          <w:p>
            <w:pPr>
              <w:jc w:val="center"/>
            </w:pPr>
            <w:r>
              <w:rPr>
                <w:b w:val="false"/>
                <w:bCs w:val="false"/>
                <w:sz w:val="20"/>
                <w:szCs w:val="20"/>
              </w:rPr>
              <w:t xml:space="preserve">42.72</w:t>
            </w:r>
          </w:p>
        </w:tc>
        <w:tc>
          <w:tcPr>
            <w:tcW w:type="dxa" w:w="1445"/>
            <w:tcMar>
              <w:top w:type="dxa" w:w="60"/>
              <w:left w:type="dxa" w:w="100"/>
              <w:bottom w:type="dxa" w:w="60"/>
              <w:right w:type="dxa" w:w="100"/>
            </w:tcMar>
            <w:vAlign w:val="center"/>
          </w:tcPr>
          <w:p>
            <w:pPr>
              <w:jc w:val="center"/>
            </w:pPr>
            <w:r>
              <w:rPr>
                <w:b w:val="false"/>
                <w:bCs w:val="false"/>
                <w:sz w:val="20"/>
                <w:szCs w:val="20"/>
              </w:rPr>
              <w:t xml:space="preserve">3.65</w:t>
            </w:r>
          </w:p>
        </w:tc>
        <w:tc>
          <w:tcPr>
            <w:tcW w:type="dxa" w:w="1445"/>
            <w:tcMar>
              <w:top w:type="dxa" w:w="60"/>
              <w:left w:type="dxa" w:w="100"/>
              <w:bottom w:type="dxa" w:w="60"/>
              <w:right w:type="dxa" w:w="100"/>
            </w:tcMar>
            <w:vAlign w:val="center"/>
          </w:tcPr>
          <w:p>
            <w:pPr>
              <w:jc w:val="center"/>
            </w:pPr>
            <w:r>
              <w:rPr>
                <w:b w:val="false"/>
                <w:bCs w:val="false"/>
                <w:sz w:val="20"/>
                <w:szCs w:val="20"/>
              </w:rPr>
              <w:t xml:space="preserve">36.34</w:t>
            </w:r>
          </w:p>
        </w:tc>
        <w:tc>
          <w:tcPr>
            <w:tcW w:type="dxa" w:w="1445"/>
            <w:tcMar>
              <w:top w:type="dxa" w:w="60"/>
              <w:left w:type="dxa" w:w="100"/>
              <w:bottom w:type="dxa" w:w="60"/>
              <w:right w:type="dxa" w:w="100"/>
            </w:tcMar>
            <w:vAlign w:val="center"/>
          </w:tcPr>
          <w:p>
            <w:pPr>
              <w:jc w:val="center"/>
            </w:pPr>
            <w:r>
              <w:rPr>
                <w:b w:val="false"/>
                <w:bCs w:val="false"/>
                <w:sz w:val="20"/>
                <w:szCs w:val="20"/>
              </w:rPr>
              <w:t xml:space="preserve">76.71</w:t>
            </w:r>
          </w:p>
        </w:tc>
      </w:tr>
      <w:tr>
        <w:tc>
          <w:tcPr>
            <w:tcW w:type="dxa" w:w="1800"/>
            <w:tcMar>
              <w:top w:type="dxa" w:w="60"/>
              <w:left w:type="dxa" w:w="100"/>
              <w:bottom w:type="dxa" w:w="60"/>
              <w:right w:type="dxa" w:w="100"/>
            </w:tcMar>
            <w:vAlign w:val="center"/>
          </w:tcPr>
          <w:p>
            <w:pPr>
              <w:jc w:val="left"/>
            </w:pPr>
            <w:r>
              <w:rPr>
                <w:b w:val="false"/>
                <w:bCs w:val="false"/>
                <w:sz w:val="20"/>
                <w:szCs w:val="20"/>
              </w:rPr>
              <w:t xml:space="preserve">ResNet50</w:t>
            </w:r>
          </w:p>
        </w:tc>
        <w:tc>
          <w:tcPr>
            <w:tcW w:type="dxa" w:w="1445"/>
            <w:tcMar>
              <w:top w:type="dxa" w:w="60"/>
              <w:left w:type="dxa" w:w="100"/>
              <w:bottom w:type="dxa" w:w="60"/>
              <w:right w:type="dxa" w:w="100"/>
            </w:tcMar>
            <w:vAlign w:val="center"/>
          </w:tcPr>
          <w:p>
            <w:pPr>
              <w:jc w:val="center"/>
            </w:pPr>
            <w:r>
              <w:rPr>
                <w:b w:val="false"/>
                <w:bCs w:val="false"/>
                <w:sz w:val="20"/>
                <w:szCs w:val="20"/>
              </w:rPr>
              <w:t xml:space="preserve">23.52</w:t>
            </w:r>
          </w:p>
        </w:tc>
        <w:tc>
          <w:tcPr>
            <w:tcW w:type="dxa" w:w="1445"/>
            <w:tcMar>
              <w:top w:type="dxa" w:w="60"/>
              <w:left w:type="dxa" w:w="100"/>
              <w:bottom w:type="dxa" w:w="60"/>
              <w:right w:type="dxa" w:w="100"/>
            </w:tcMar>
            <w:vAlign w:val="center"/>
          </w:tcPr>
          <w:p>
            <w:pPr>
              <w:jc w:val="center"/>
            </w:pPr>
            <w:r>
              <w:rPr>
                <w:b w:val="false"/>
                <w:bCs w:val="false"/>
                <w:sz w:val="20"/>
                <w:szCs w:val="20"/>
              </w:rPr>
              <w:t xml:space="preserve">90.02</w:t>
            </w:r>
          </w:p>
        </w:tc>
        <w:tc>
          <w:tcPr>
            <w:tcW w:type="dxa" w:w="1445"/>
            <w:tcMar>
              <w:top w:type="dxa" w:w="60"/>
              <w:left w:type="dxa" w:w="100"/>
              <w:bottom w:type="dxa" w:w="60"/>
              <w:right w:type="dxa" w:w="100"/>
            </w:tcMar>
            <w:vAlign w:val="center"/>
          </w:tcPr>
          <w:p>
            <w:pPr>
              <w:jc w:val="center"/>
            </w:pPr>
            <w:r>
              <w:rPr>
                <w:b w:val="false"/>
                <w:bCs w:val="false"/>
                <w:sz w:val="20"/>
                <w:szCs w:val="20"/>
              </w:rPr>
              <w:t xml:space="preserve">8.26</w:t>
            </w:r>
          </w:p>
        </w:tc>
        <w:tc>
          <w:tcPr>
            <w:tcW w:type="dxa" w:w="1445"/>
            <w:tcMar>
              <w:top w:type="dxa" w:w="60"/>
              <w:left w:type="dxa" w:w="100"/>
              <w:bottom w:type="dxa" w:w="60"/>
              <w:right w:type="dxa" w:w="100"/>
            </w:tcMar>
            <w:vAlign w:val="center"/>
          </w:tcPr>
          <w:p>
            <w:pPr>
              <w:jc w:val="center"/>
            </w:pPr>
            <w:r>
              <w:rPr>
                <w:b w:val="false"/>
                <w:bCs w:val="false"/>
                <w:sz w:val="20"/>
                <w:szCs w:val="20"/>
              </w:rPr>
              <w:t xml:space="preserve">84.57</w:t>
            </w:r>
          </w:p>
        </w:tc>
        <w:tc>
          <w:tcPr>
            <w:tcW w:type="dxa" w:w="1445"/>
            <w:tcMar>
              <w:top w:type="dxa" w:w="60"/>
              <w:left w:type="dxa" w:w="100"/>
              <w:bottom w:type="dxa" w:w="60"/>
              <w:right w:type="dxa" w:w="100"/>
            </w:tcMar>
            <w:vAlign w:val="center"/>
          </w:tcPr>
          <w:p>
            <w:pPr>
              <w:jc w:val="center"/>
            </w:pPr>
            <w:r>
              <w:rPr>
                <w:b w:val="false"/>
                <w:bCs w:val="false"/>
                <w:sz w:val="20"/>
                <w:szCs w:val="20"/>
              </w:rPr>
              <w:t xml:space="preserve">81.19</w:t>
            </w:r>
          </w:p>
        </w:tc>
      </w:tr>
      <w:tr>
        <w:tc>
          <w:tcPr>
            <w:tcW w:type="dxa" w:w="1800"/>
            <w:tcMar>
              <w:top w:type="dxa" w:w="60"/>
              <w:left w:type="dxa" w:w="100"/>
              <w:bottom w:type="dxa" w:w="60"/>
              <w:right w:type="dxa" w:w="100"/>
            </w:tcMar>
            <w:vAlign w:val="center"/>
          </w:tcPr>
          <w:p>
            <w:pPr>
              <w:jc w:val="left"/>
            </w:pPr>
            <w:r>
              <w:rPr>
                <w:b w:val="false"/>
                <w:bCs w:val="false"/>
                <w:sz w:val="20"/>
                <w:szCs w:val="20"/>
              </w:rPr>
              <w:t xml:space="preserve">DenseNet121</w:t>
            </w:r>
          </w:p>
        </w:tc>
        <w:tc>
          <w:tcPr>
            <w:tcW w:type="dxa" w:w="1445"/>
            <w:tcMar>
              <w:top w:type="dxa" w:w="60"/>
              <w:left w:type="dxa" w:w="100"/>
              <w:bottom w:type="dxa" w:w="60"/>
              <w:right w:type="dxa" w:w="100"/>
            </w:tcMar>
            <w:vAlign w:val="center"/>
          </w:tcPr>
          <w:p>
            <w:pPr>
              <w:jc w:val="center"/>
            </w:pPr>
            <w:r>
              <w:rPr>
                <w:b w:val="false"/>
                <w:bCs w:val="false"/>
                <w:sz w:val="20"/>
                <w:szCs w:val="20"/>
              </w:rPr>
              <w:t xml:space="preserve">6.96</w:t>
            </w:r>
          </w:p>
        </w:tc>
        <w:tc>
          <w:tcPr>
            <w:tcW w:type="dxa" w:w="1445"/>
            <w:tcMar>
              <w:top w:type="dxa" w:w="60"/>
              <w:left w:type="dxa" w:w="100"/>
              <w:bottom w:type="dxa" w:w="60"/>
              <w:right w:type="dxa" w:w="100"/>
            </w:tcMar>
            <w:vAlign w:val="center"/>
          </w:tcPr>
          <w:p>
            <w:pPr>
              <w:jc w:val="center"/>
            </w:pPr>
            <w:r>
              <w:rPr>
                <w:b w:val="false"/>
                <w:bCs w:val="false"/>
                <w:sz w:val="20"/>
                <w:szCs w:val="20"/>
              </w:rPr>
              <w:t xml:space="preserve">27.12</w:t>
            </w:r>
          </w:p>
        </w:tc>
        <w:tc>
          <w:tcPr>
            <w:tcW w:type="dxa" w:w="1445"/>
            <w:tcMar>
              <w:top w:type="dxa" w:w="60"/>
              <w:left w:type="dxa" w:w="100"/>
              <w:bottom w:type="dxa" w:w="60"/>
              <w:right w:type="dxa" w:w="100"/>
            </w:tcMar>
            <w:vAlign w:val="center"/>
          </w:tcPr>
          <w:p>
            <w:pPr>
              <w:jc w:val="center"/>
            </w:pPr>
            <w:r>
              <w:rPr>
                <w:b w:val="false"/>
                <w:bCs w:val="false"/>
                <w:sz w:val="20"/>
                <w:szCs w:val="20"/>
              </w:rPr>
              <w:t xml:space="preserve">5.79</w:t>
            </w:r>
          </w:p>
        </w:tc>
        <w:tc>
          <w:tcPr>
            <w:tcW w:type="dxa" w:w="1445"/>
            <w:tcMar>
              <w:top w:type="dxa" w:w="60"/>
              <w:left w:type="dxa" w:w="100"/>
              <w:bottom w:type="dxa" w:w="60"/>
              <w:right w:type="dxa" w:w="100"/>
            </w:tcMar>
            <w:vAlign w:val="center"/>
          </w:tcPr>
          <w:p>
            <w:pPr>
              <w:jc w:val="center"/>
            </w:pPr>
            <w:r>
              <w:rPr>
                <w:b w:val="false"/>
                <w:bCs w:val="false"/>
                <w:sz w:val="20"/>
                <w:szCs w:val="20"/>
              </w:rPr>
              <w:t xml:space="preserve">79.20</w:t>
            </w:r>
          </w:p>
        </w:tc>
        <w:tc>
          <w:tcPr>
            <w:tcW w:type="dxa" w:w="1445"/>
            <w:tcMar>
              <w:top w:type="dxa" w:w="60"/>
              <w:left w:type="dxa" w:w="100"/>
              <w:bottom w:type="dxa" w:w="60"/>
              <w:right w:type="dxa" w:w="100"/>
            </w:tcMar>
            <w:vAlign w:val="center"/>
          </w:tcPr>
          <w:p>
            <w:pPr>
              <w:jc w:val="center"/>
            </w:pPr>
            <w:r>
              <w:rPr>
                <w:b w:val="false"/>
                <w:bCs w:val="false"/>
                <w:sz w:val="20"/>
                <w:szCs w:val="20"/>
              </w:rPr>
              <w:t xml:space="preserve">80.95</w:t>
            </w:r>
          </w:p>
        </w:tc>
      </w:tr>
      <w:tr>
        <w:tc>
          <w:tcPr>
            <w:tcW w:type="dxa" w:w="1800"/>
            <w:tcMar>
              <w:top w:type="dxa" w:w="60"/>
              <w:left w:type="dxa" w:w="100"/>
              <w:bottom w:type="dxa" w:w="60"/>
              <w:right w:type="dxa" w:w="100"/>
            </w:tcMar>
            <w:vAlign w:val="center"/>
          </w:tcPr>
          <w:p>
            <w:pPr>
              <w:jc w:val="left"/>
            </w:pPr>
            <w:r>
              <w:rPr>
                <w:b w:val="false"/>
                <w:bCs w:val="false"/>
                <w:sz w:val="20"/>
                <w:szCs w:val="20"/>
              </w:rPr>
              <w:t xml:space="preserve">EfficientNet-B0</w:t>
            </w:r>
          </w:p>
        </w:tc>
        <w:tc>
          <w:tcPr>
            <w:tcW w:type="dxa" w:w="1445"/>
            <w:tcMar>
              <w:top w:type="dxa" w:w="60"/>
              <w:left w:type="dxa" w:w="100"/>
              <w:bottom w:type="dxa" w:w="60"/>
              <w:right w:type="dxa" w:w="100"/>
            </w:tcMar>
            <w:vAlign w:val="center"/>
          </w:tcPr>
          <w:p>
            <w:pPr>
              <w:jc w:val="center"/>
            </w:pPr>
            <w:r>
              <w:rPr>
                <w:b w:val="false"/>
                <w:bCs w:val="false"/>
                <w:sz w:val="20"/>
                <w:szCs w:val="20"/>
              </w:rPr>
              <w:t xml:space="preserve">4.01</w:t>
            </w:r>
          </w:p>
        </w:tc>
        <w:tc>
          <w:tcPr>
            <w:tcW w:type="dxa" w:w="1445"/>
            <w:tcMar>
              <w:top w:type="dxa" w:w="60"/>
              <w:left w:type="dxa" w:w="100"/>
              <w:bottom w:type="dxa" w:w="60"/>
              <w:right w:type="dxa" w:w="100"/>
            </w:tcMar>
            <w:vAlign w:val="center"/>
          </w:tcPr>
          <w:p>
            <w:pPr>
              <w:jc w:val="center"/>
            </w:pPr>
            <w:r>
              <w:rPr>
                <w:b w:val="false"/>
                <w:bCs w:val="false"/>
                <w:sz w:val="20"/>
                <w:szCs w:val="20"/>
              </w:rPr>
              <w:t xml:space="preserve">15.60</w:t>
            </w:r>
          </w:p>
        </w:tc>
        <w:tc>
          <w:tcPr>
            <w:tcW w:type="dxa" w:w="1445"/>
            <w:tcMar>
              <w:top w:type="dxa" w:w="60"/>
              <w:left w:type="dxa" w:w="100"/>
              <w:bottom w:type="dxa" w:w="60"/>
              <w:right w:type="dxa" w:w="100"/>
            </w:tcMar>
            <w:vAlign w:val="center"/>
          </w:tcPr>
          <w:p>
            <w:pPr>
              <w:jc w:val="center"/>
            </w:pPr>
            <w:r>
              <w:rPr>
                <w:b w:val="false"/>
                <w:bCs w:val="false"/>
                <w:sz w:val="20"/>
                <w:szCs w:val="20"/>
              </w:rPr>
              <w:t xml:space="preserve">0.83</w:t>
            </w:r>
          </w:p>
        </w:tc>
        <w:tc>
          <w:tcPr>
            <w:tcW w:type="dxa" w:w="1445"/>
            <w:tcMar>
              <w:top w:type="dxa" w:w="60"/>
              <w:left w:type="dxa" w:w="100"/>
              <w:bottom w:type="dxa" w:w="60"/>
              <w:right w:type="dxa" w:w="100"/>
            </w:tcMar>
            <w:vAlign w:val="center"/>
          </w:tcPr>
          <w:p>
            <w:pPr>
              <w:jc w:val="center"/>
            </w:pPr>
            <w:r>
              <w:rPr>
                <w:b w:val="false"/>
                <w:bCs w:val="false"/>
                <w:sz w:val="20"/>
                <w:szCs w:val="20"/>
              </w:rPr>
              <w:t xml:space="preserve">27.86</w:t>
            </w:r>
          </w:p>
        </w:tc>
        <w:tc>
          <w:tcPr>
            <w:tcW w:type="dxa" w:w="1445"/>
            <w:tcMar>
              <w:top w:type="dxa" w:w="60"/>
              <w:left w:type="dxa" w:w="100"/>
              <w:bottom w:type="dxa" w:w="60"/>
              <w:right w:type="dxa" w:w="100"/>
            </w:tcMar>
            <w:vAlign w:val="center"/>
          </w:tcPr>
          <w:p>
            <w:pPr>
              <w:jc w:val="center"/>
            </w:pPr>
            <w:r>
              <w:rPr>
                <w:b w:val="false"/>
                <w:bCs w:val="false"/>
                <w:sz w:val="20"/>
                <w:szCs w:val="20"/>
              </w:rPr>
              <w:t xml:space="preserve">81.08</w:t>
            </w:r>
          </w:p>
        </w:tc>
      </w:tr>
    </w:tbl>
    <w:p>
      <w:pPr>
        <w:spacing w:after="200"/>
      </w:pPr>
      <w:r>
        <w:rPr>
          <w:i/>
          <w:iCs/>
          <w:sz w:val="20"/>
          <w:szCs w:val="20"/>
        </w:rPr>
        <w:t xml:space="preserve">*Inference time was not measured in the original Colab session (see note below the table) and was instead measured independently on a CPU-only machine using the same model definitions, the same thop-based FLOPs methodology, and the same warmup-then-time-30-runs protocol as the notebook's own efficiency cell. Parameters, model size, and FLOPs are architecture-level quantities that do not depend on which machine computes them, and are exact. Inference time does depend on hardware, so the CPU figures above are internally consistent for comparing the seven models to each other, but are not directly comparable to a GPU number. Re-running the existing efficiency cell (Section 7 of the notebook), which takes well under five minutes end to end, will produce GPU inference times that match the environment used for training and are the numbers that should be quoted if this report is revised before final submission.</w:t>
      </w:r>
    </w:p>
    <w:p>
      <w:pPr>
        <w:spacing w:after="200"/>
      </w:pPr>
      <w:r>
        <w:rPr>
          <w:b w:val="false"/>
          <w:bCs w:val="false"/>
          <w:i w:val="false"/>
          <w:iCs w:val="false"/>
        </w:rPr>
        <w:t xml:space="preserve">EfficientNet-B0 stands out as the most efficient model by a wide margin, roughly 5.9 times fewer parameters and 5.8 times fewer FLOPs than ResNet50, while reaching almost the same accuracy (81.08% versus 81.19%). AlexNet has the fastest CPU inference time among the eight-class-era architectures but is also the least accurate of the models compared here. The two VGG networks are the clear outliers on cost: VGG19 alone is roughly 35 times the parameter count and 47 times the FLOPs of EfficientNet-B0, for four percentage points less accuracy, making it the weakest choice on every axis measured. Overall, if deployment cost matters, EfficientNet-B0 is the best accuracy-per-resource trade-off among the backbones tested; if accuracy alone is the priority, ResNet50 (as an end-to-end classifier) or ResNet50 features with an RBF-SVM (Section 4.2) are the strongest options found.</w:t>
      </w:r>
    </w:p>
    <w:p>
      <w:pPr>
        <w:pStyle w:val="Heading1"/>
        <w:spacing w:after="160" w:before="360"/>
      </w:pPr>
      <w:r>
        <w:t xml:space="preserve">5. Discussion</w:t>
      </w:r>
    </w:p>
    <w:p>
      <w:pPr>
        <w:spacing w:after="200"/>
      </w:pPr>
      <w:r>
        <w:rPr>
          <w:b w:val="false"/>
          <w:bCs w:val="false"/>
          <w:i w:val="false"/>
          <w:iCs w:val="false"/>
        </w:rPr>
        <w:t xml:space="preserve">Two results in this study are worth drawing out. First, the best classical pipeline, RBF-SVM trained on frozen ResNet50 features, edged out the best fully fine-tuned CNN by about 1.8 percentage points of accuracy (82.98% versus 81.19%), even though the SVM was trained on only 6,000 of the 16,947 available training images. A plausible explanation is that a margin-based classifier with a well-behaved kernel can generalize slightly better than six epochs of full-network fine-tuning on an imbalanced five-class problem, particularly since fine-tuning for only six epochs may not fully exploit the extra capacity unlocked by unfreezing the backbone. This suggests that, for this dataset and training budget, investing more effort in Task 2's classifier choice was at least as valuable as investing further in Task 1's fine-tuning schedule.</w:t>
      </w:r>
    </w:p>
    <w:p>
      <w:pPr>
        <w:spacing w:after="200"/>
      </w:pPr>
      <w:r>
        <w:rPr>
          <w:b w:val="false"/>
          <w:bCs w:val="false"/>
          <w:i w:val="false"/>
          <w:iCs w:val="false"/>
        </w:rPr>
        <w:t xml:space="preserve">Second, accuracy and the macro-averaged metrics did not always agree on the best model: ResNet101 had the best F1-score and AUC in Table 1 despite a lower accuracy than ResNet50, and Random Forest had a higher precision than RBF-SVM in Table 2 despite a much lower recall and accuracy. Both are typical symptoms of class imbalance, where a model can trade recall on the minority classes (AK in particular, at only 3.6% of the subset) for a small accuracy gain on the majority class (NV, at 53.2%). This makes the choice of “best” model somewhat metric-dependent, and a deployment decision in a real diagnostic setting would likely weight recall on rarer, more dangerous classes more heavily than overall accuracy.</w:t>
      </w:r>
    </w:p>
    <w:p>
      <w:pPr>
        <w:pStyle w:val="Heading1"/>
        <w:spacing w:after="160" w:before="360"/>
      </w:pPr>
      <w:r>
        <w:t xml:space="preserve">6. Limitations and Reproducibility Notes</w:t>
      </w:r>
    </w:p>
    <w:p>
      <w:pPr>
        <w:spacing w:after="200"/>
      </w:pPr>
      <w:r>
        <w:rPr>
          <w:b w:val="false"/>
          <w:bCs w:val="false"/>
          <w:i w:val="false"/>
          <w:iCs w:val="false"/>
        </w:rPr>
        <w:t xml:space="preserve">1. This study uses a five-class subset of ISIC 2019 rather than the full eight-class dataset, on the instructor's guidance, to fit the available laboratory time. Results here should not be directly compared to eight-class benchmarks reported elsewhere in the literature.</w:t>
      </w:r>
    </w:p>
    <w:p>
      <w:pPr>
        <w:spacing w:after="200"/>
      </w:pPr>
      <w:r>
        <w:rPr>
          <w:b w:val="false"/>
          <w:bCs w:val="false"/>
          <w:i w:val="false"/>
          <w:iCs w:val="false"/>
        </w:rPr>
        <w:t xml:space="preserve">2. The two SVM variants in Task 2 were trained on a 6,000-image subsample of the training features rather than the full 16,947, for tractability. Their reported accuracy is a lower bound on what they could achieve with more training data and time.</w:t>
      </w:r>
    </w:p>
    <w:p>
      <w:pPr>
        <w:spacing w:after="200"/>
      </w:pPr>
      <w:r>
        <w:rPr>
          <w:b w:val="false"/>
          <w:bCs w:val="false"/>
          <w:i w:val="false"/>
          <w:iCs w:val="false"/>
        </w:rPr>
        <w:t xml:space="preserve">3. As described in Section 4.3, the hyperparameter search for RBF-SVM was configured and started but not completed before the Colab runtime disconnected. Only the default-parameter result is reported here; re-running the existing search cell will produce the tuned comparison.</w:t>
      </w:r>
    </w:p>
    <w:p>
      <w:pPr>
        <w:spacing w:after="200"/>
      </w:pPr>
      <w:r>
        <w:rPr>
          <w:b w:val="false"/>
          <w:bCs w:val="false"/>
          <w:i w:val="false"/>
          <w:iCs w:val="false"/>
        </w:rPr>
        <w:t xml:space="preserve">4. As described in Section 4.4, the inference-time column of Table 3 was measured on a CPU rather than the Colab GPU used elsewhere in this project, because the original run never reached that cell before disconnecting. Parameter counts, model sizes, and FLOPs are hardware-independent and exact; only the timing column should be refreshed with a GPU run before final submission.</w:t>
      </w:r>
    </w:p>
    <w:p>
      <w:pPr>
        <w:spacing w:after="200"/>
      </w:pPr>
      <w:r>
        <w:rPr>
          <w:b w:val="false"/>
          <w:bCs w:val="false"/>
          <w:i w:val="false"/>
          <w:iCs w:val="false"/>
        </w:rPr>
        <w:t xml:space="preserve">5. The optional confusion-matrix visualizations (Section 8 of the notebook) were, for the same reason, not generated. The code to produce them is already in the notebook and only needs a re-run alongside the two items above.</w:t>
      </w:r>
    </w:p>
    <w:p>
      <w:pPr>
        <w:pStyle w:val="Heading1"/>
        <w:spacing w:after="160" w:before="360"/>
      </w:pPr>
      <w:r>
        <w:t xml:space="preserve">7. Conclusion</w:t>
      </w:r>
    </w:p>
    <w:p>
      <w:pPr>
        <w:spacing w:after="200"/>
      </w:pPr>
      <w:r>
        <w:rPr>
          <w:b w:val="false"/>
          <w:bCs w:val="false"/>
          <w:i w:val="false"/>
          <w:iCs w:val="false"/>
        </w:rPr>
        <w:t xml:space="preserve">Across eight pretrained CNN backbones, ResNet50 was the strongest end-to-end classifier on a five-class, 24,211-image subset of ISIC 2019 (81.19% test accuracy). Using ResNet50 purely as a fixed feature extractor and training a classical classifier on top, RBF-SVM produced the best overall pipeline in this study (82.98% test accuracy), narrowly ahead of XGBoost, KNN, and Linear SVM, and ahead of every end-to-end CNN. Among the backbones compared for computational efficiency, EfficientNet-B0 offered by far the best accuracy for its size and compute cost, making it the more practical choice where deployment resources are constrained, while ResNet50 (fine-tuned end to end, or as a feature extractor for RBF-SVM) remains the strongest choice where accuracy is the only priority. Two pieces of this project, the tuned RBF-SVM comparison and GPU-based inference timing, were interrupted by a Colab disconnect and are documented in Sections 4.3, 4.4 and 6 rather than estimated; both require only a short re-run of already-written notebook cells to complete before final submission.</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2026-09-11T03:47:51.740Z</dcterms:created>
  <dcterms:modified xsi:type="dcterms:W3CDTF">2026-09-11T03:47:51.750Z</dcterms:modified>
</cp:coreProperties>
</file>

<file path=docProps/custom.xml><?xml version="1.0" encoding="utf-8"?>
<Properties xmlns="http://schemas.openxmlformats.org/officeDocument/2006/custom-properties" xmlns:vt="http://schemas.openxmlformats.org/officeDocument/2006/docPropsVTypes"/>
</file>