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7EB3"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47BF3D">
          <v:rect id="_x0000_i1033" alt="" style="width:451.3pt;height:.05pt;mso-width-percent:0;mso-height-percent:0;mso-width-percent:0;mso-height-percent:0" o:hralign="center" o:hrstd="t" o:hr="t" fillcolor="#a0a0a0" stroked="f"/>
        </w:pict>
      </w:r>
    </w:p>
    <w:p w14:paraId="0B899B42" w14:textId="77777777" w:rsidR="00186CA5" w:rsidRPr="00186CA5" w:rsidRDefault="00186CA5" w:rsidP="00186C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86CA5">
        <w:rPr>
          <w:rFonts w:ascii="Times New Roman" w:eastAsia="Times New Roman" w:hAnsi="Times New Roman" w:cs="Times New Roman"/>
          <w:b/>
          <w:bCs/>
          <w:kern w:val="36"/>
          <w:sz w:val="48"/>
          <w:szCs w:val="48"/>
          <w:lang w:eastAsia="en-GB"/>
          <w14:ligatures w14:val="none"/>
        </w:rPr>
        <w:t>4. Results</w:t>
      </w:r>
    </w:p>
    <w:p w14:paraId="3915DA9D" w14:textId="77777777" w:rsidR="00186CA5" w:rsidRPr="00186CA5" w:rsidRDefault="00186CA5" w:rsidP="00186C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6CA5">
        <w:rPr>
          <w:rFonts w:ascii="Times New Roman" w:eastAsia="Times New Roman" w:hAnsi="Times New Roman" w:cs="Times New Roman"/>
          <w:b/>
          <w:bCs/>
          <w:kern w:val="0"/>
          <w:sz w:val="36"/>
          <w:szCs w:val="36"/>
          <w:lang w:eastAsia="en-GB"/>
          <w14:ligatures w14:val="none"/>
        </w:rPr>
        <w:t>4.1 Repair Accuracy and Effectiveness</w:t>
      </w:r>
    </w:p>
    <w:p w14:paraId="16709640"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This study evaluates the effectiveness of a traditional rule-based data cleaning pipeline against a GenAI-based approach augmented with explicit guardrails. Both methods were applied to an identical set of 200 injected errors to ensure a controlled comparison.</w:t>
      </w:r>
    </w:p>
    <w:p w14:paraId="7840C739"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 xml:space="preserve">The GenAI + guardrails approach achieves a </w:t>
      </w:r>
      <w:r w:rsidRPr="00186CA5">
        <w:rPr>
          <w:rFonts w:ascii="Times New Roman" w:eastAsia="Times New Roman" w:hAnsi="Times New Roman" w:cs="Times New Roman"/>
          <w:b/>
          <w:bCs/>
          <w:kern w:val="0"/>
          <w:lang w:eastAsia="en-GB"/>
          <w14:ligatures w14:val="none"/>
        </w:rPr>
        <w:t>repair accuracy of 28.5%</w:t>
      </w:r>
      <w:r w:rsidRPr="00186CA5">
        <w:rPr>
          <w:rFonts w:ascii="Times New Roman" w:eastAsia="Times New Roman" w:hAnsi="Times New Roman" w:cs="Times New Roman"/>
          <w:kern w:val="0"/>
          <w:lang w:eastAsia="en-GB"/>
          <w14:ligatures w14:val="none"/>
        </w:rPr>
        <w:t xml:space="preserve">, compared to </w:t>
      </w:r>
      <w:r w:rsidRPr="00186CA5">
        <w:rPr>
          <w:rFonts w:ascii="Times New Roman" w:eastAsia="Times New Roman" w:hAnsi="Times New Roman" w:cs="Times New Roman"/>
          <w:b/>
          <w:bCs/>
          <w:kern w:val="0"/>
          <w:lang w:eastAsia="en-GB"/>
          <w14:ligatures w14:val="none"/>
        </w:rPr>
        <w:t>20.0%</w:t>
      </w:r>
      <w:r w:rsidRPr="00186CA5">
        <w:rPr>
          <w:rFonts w:ascii="Times New Roman" w:eastAsia="Times New Roman" w:hAnsi="Times New Roman" w:cs="Times New Roman"/>
          <w:kern w:val="0"/>
          <w:lang w:eastAsia="en-GB"/>
          <w14:ligatures w14:val="none"/>
        </w:rPr>
        <w:t xml:space="preserve"> for the traditional method. This corresponds to an </w:t>
      </w:r>
      <w:r w:rsidRPr="00186CA5">
        <w:rPr>
          <w:rFonts w:ascii="Times New Roman" w:eastAsia="Times New Roman" w:hAnsi="Times New Roman" w:cs="Times New Roman"/>
          <w:b/>
          <w:bCs/>
          <w:kern w:val="0"/>
          <w:lang w:eastAsia="en-GB"/>
          <w14:ligatures w14:val="none"/>
        </w:rPr>
        <w:t>absolute improvement of 8.5 percentage points</w:t>
      </w:r>
      <w:r w:rsidRPr="00186CA5">
        <w:rPr>
          <w:rFonts w:ascii="Times New Roman" w:eastAsia="Times New Roman" w:hAnsi="Times New Roman" w:cs="Times New Roman"/>
          <w:kern w:val="0"/>
          <w:lang w:eastAsia="en-GB"/>
          <w14:ligatures w14:val="none"/>
        </w:rPr>
        <w:t xml:space="preserve"> and a </w:t>
      </w:r>
      <w:r w:rsidRPr="00186CA5">
        <w:rPr>
          <w:rFonts w:ascii="Times New Roman" w:eastAsia="Times New Roman" w:hAnsi="Times New Roman" w:cs="Times New Roman"/>
          <w:b/>
          <w:bCs/>
          <w:kern w:val="0"/>
          <w:lang w:eastAsia="en-GB"/>
          <w14:ligatures w14:val="none"/>
        </w:rPr>
        <w:t>relative increase of 42.5%</w:t>
      </w:r>
      <w:r w:rsidRPr="00186CA5">
        <w:rPr>
          <w:rFonts w:ascii="Times New Roman" w:eastAsia="Times New Roman" w:hAnsi="Times New Roman" w:cs="Times New Roman"/>
          <w:kern w:val="0"/>
          <w:lang w:eastAsia="en-GB"/>
          <w14:ligatures w14:val="none"/>
        </w:rPr>
        <w:t xml:space="preserve"> in correct repairs. Importantly, this improvement is accompanied by a reduction in incorrect repairs, which decrease from 120 to 103 cases. The number of unchanged records remains constant across both approaches, indicating that the GenAI system does not achieve higher accuracy by increasing intervention aggressiveness.</w:t>
      </w:r>
    </w:p>
    <w:p w14:paraId="6827DBD4"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These results demonstrate that guardrail-constrained generative models can outperform deterministic rule-based systems in repair correctness while maintaining conservative modification behavior.</w:t>
      </w:r>
    </w:p>
    <w:p w14:paraId="5C293319"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58C838">
          <v:rect id="_x0000_i1032" alt="" style="width:451.3pt;height:.05pt;mso-width-percent:0;mso-height-percent:0;mso-width-percent:0;mso-height-percent:0" o:hralign="center" o:hrstd="t" o:hr="t" fillcolor="#a0a0a0" stroked="f"/>
        </w:pict>
      </w:r>
    </w:p>
    <w:p w14:paraId="339A332E" w14:textId="77777777" w:rsidR="00186CA5" w:rsidRPr="00186CA5" w:rsidRDefault="00186CA5" w:rsidP="00186C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6CA5">
        <w:rPr>
          <w:rFonts w:ascii="Times New Roman" w:eastAsia="Times New Roman" w:hAnsi="Times New Roman" w:cs="Times New Roman"/>
          <w:b/>
          <w:bCs/>
          <w:kern w:val="0"/>
          <w:sz w:val="36"/>
          <w:szCs w:val="36"/>
          <w:lang w:eastAsia="en-GB"/>
          <w14:ligatures w14:val="none"/>
        </w:rPr>
        <w:t>4.2 Data Quality Outcomes</w:t>
      </w:r>
    </w:p>
    <w:p w14:paraId="3DAA312C"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Beyond repair accuracy, overall data quality was assessed using a suite of integrity constraints spanning syntactic validity, numeric bounds, and arithmetic consistency.</w:t>
      </w:r>
    </w:p>
    <w:p w14:paraId="452D2712"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 xml:space="preserve">The traditional pipeline achieves an overall quality score of </w:t>
      </w:r>
      <w:r w:rsidRPr="00186CA5">
        <w:rPr>
          <w:rFonts w:ascii="Times New Roman" w:eastAsia="Times New Roman" w:hAnsi="Times New Roman" w:cs="Times New Roman"/>
          <w:b/>
          <w:bCs/>
          <w:kern w:val="0"/>
          <w:lang w:eastAsia="en-GB"/>
          <w14:ligatures w14:val="none"/>
        </w:rPr>
        <w:t>97.94%</w:t>
      </w:r>
      <w:r w:rsidRPr="00186CA5">
        <w:rPr>
          <w:rFonts w:ascii="Times New Roman" w:eastAsia="Times New Roman" w:hAnsi="Times New Roman" w:cs="Times New Roman"/>
          <w:kern w:val="0"/>
          <w:lang w:eastAsia="en-GB"/>
          <w14:ligatures w14:val="none"/>
        </w:rPr>
        <w:t xml:space="preserve">, marginally exceeding the </w:t>
      </w:r>
      <w:r w:rsidRPr="00186CA5">
        <w:rPr>
          <w:rFonts w:ascii="Times New Roman" w:eastAsia="Times New Roman" w:hAnsi="Times New Roman" w:cs="Times New Roman"/>
          <w:b/>
          <w:bCs/>
          <w:kern w:val="0"/>
          <w:lang w:eastAsia="en-GB"/>
          <w14:ligatures w14:val="none"/>
        </w:rPr>
        <w:t>96.56%</w:t>
      </w:r>
      <w:r w:rsidRPr="00186CA5">
        <w:rPr>
          <w:rFonts w:ascii="Times New Roman" w:eastAsia="Times New Roman" w:hAnsi="Times New Roman" w:cs="Times New Roman"/>
          <w:kern w:val="0"/>
          <w:lang w:eastAsia="en-GB"/>
          <w14:ligatures w14:val="none"/>
        </w:rPr>
        <w:t xml:space="preserve"> score obtained by the GenAI-based approach. Inspection of individual constraints reveals that the GenAI pipeline introduces a higher failure rate in arithmetic consistency checks, particularly those enforcing equivalence between total expenditure and the product of unit price and quantity.</w:t>
      </w:r>
    </w:p>
    <w:p w14:paraId="7040BF51"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This finding highlights a key trade-off: while the GenAI system improves semantic repair correctness, it occasionally violates strict numeric invariants. These results reinforce the necessity of hybrid architectures, in which symbolic validation layers complement generative reasoning to preserve hard constraints.</w:t>
      </w:r>
    </w:p>
    <w:p w14:paraId="7EF88833"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3F336CC">
          <v:rect id="_x0000_i1031" alt="" style="width:451.3pt;height:.05pt;mso-width-percent:0;mso-height-percent:0;mso-width-percent:0;mso-height-percent:0" o:hralign="center" o:hrstd="t" o:hr="t" fillcolor="#a0a0a0" stroked="f"/>
        </w:pict>
      </w:r>
    </w:p>
    <w:p w14:paraId="1F8DFD72" w14:textId="77777777" w:rsidR="00186CA5" w:rsidRPr="00186CA5" w:rsidRDefault="00186CA5" w:rsidP="00186C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6CA5">
        <w:rPr>
          <w:rFonts w:ascii="Times New Roman" w:eastAsia="Times New Roman" w:hAnsi="Times New Roman" w:cs="Times New Roman"/>
          <w:b/>
          <w:bCs/>
          <w:kern w:val="0"/>
          <w:sz w:val="36"/>
          <w:szCs w:val="36"/>
          <w:lang w:eastAsia="en-GB"/>
          <w14:ligatures w14:val="none"/>
        </w:rPr>
        <w:t>4.3 Reliability and Determinism</w:t>
      </w:r>
    </w:p>
    <w:p w14:paraId="2540CE11"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 xml:space="preserve">To evaluate robustness, the GenAI pipeline was executed across </w:t>
      </w:r>
      <w:r w:rsidRPr="00186CA5">
        <w:rPr>
          <w:rFonts w:ascii="Times New Roman" w:eastAsia="Times New Roman" w:hAnsi="Times New Roman" w:cs="Times New Roman"/>
          <w:b/>
          <w:bCs/>
          <w:kern w:val="0"/>
          <w:lang w:eastAsia="en-GB"/>
          <w14:ligatures w14:val="none"/>
        </w:rPr>
        <w:t>five independent runs</w:t>
      </w:r>
      <w:r w:rsidRPr="00186CA5">
        <w:rPr>
          <w:rFonts w:ascii="Times New Roman" w:eastAsia="Times New Roman" w:hAnsi="Times New Roman" w:cs="Times New Roman"/>
          <w:kern w:val="0"/>
          <w:lang w:eastAsia="en-GB"/>
          <w14:ligatures w14:val="none"/>
        </w:rPr>
        <w:t xml:space="preserve"> under identical conditions. All runs produced identical outputs, yielding a </w:t>
      </w:r>
      <w:r w:rsidRPr="00186CA5">
        <w:rPr>
          <w:rFonts w:ascii="Times New Roman" w:eastAsia="Times New Roman" w:hAnsi="Times New Roman" w:cs="Times New Roman"/>
          <w:b/>
          <w:bCs/>
          <w:kern w:val="0"/>
          <w:lang w:eastAsia="en-GB"/>
          <w14:ligatures w14:val="none"/>
        </w:rPr>
        <w:t>mean, minimum, and maximum stability score of 1.0</w:t>
      </w:r>
      <w:r w:rsidRPr="00186CA5">
        <w:rPr>
          <w:rFonts w:ascii="Times New Roman" w:eastAsia="Times New Roman" w:hAnsi="Times New Roman" w:cs="Times New Roman"/>
          <w:kern w:val="0"/>
          <w:lang w:eastAsia="en-GB"/>
          <w14:ligatures w14:val="none"/>
        </w:rPr>
        <w:t>.</w:t>
      </w:r>
    </w:p>
    <w:p w14:paraId="422E18E0"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lastRenderedPageBreak/>
        <w:t>This perfect determinism is a critical result. Non-deterministic behavior is a common concern in generative systems, particularly for data engineering tasks. The observed stability demonstrates that, when constrained by guardrails and deterministic decoding settings, GenAI-based data cleaning can meet reproducibility requirements expected in production and scientific contexts.</w:t>
      </w:r>
    </w:p>
    <w:p w14:paraId="7D7D13C6"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5915307">
          <v:rect id="_x0000_i1030" alt="" style="width:451.3pt;height:.05pt;mso-width-percent:0;mso-height-percent:0;mso-width-percent:0;mso-height-percent:0" o:hralign="center" o:hrstd="t" o:hr="t" fillcolor="#a0a0a0" stroked="f"/>
        </w:pict>
      </w:r>
    </w:p>
    <w:p w14:paraId="426CA14B" w14:textId="77777777" w:rsidR="00186CA5" w:rsidRPr="00186CA5" w:rsidRDefault="00186CA5" w:rsidP="00186C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6CA5">
        <w:rPr>
          <w:rFonts w:ascii="Times New Roman" w:eastAsia="Times New Roman" w:hAnsi="Times New Roman" w:cs="Times New Roman"/>
          <w:b/>
          <w:bCs/>
          <w:kern w:val="0"/>
          <w:sz w:val="36"/>
          <w:szCs w:val="36"/>
          <w:lang w:eastAsia="en-GB"/>
          <w14:ligatures w14:val="none"/>
        </w:rPr>
        <w:t>4.4 Summary of Key Findings</w:t>
      </w:r>
    </w:p>
    <w:p w14:paraId="5C749894"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Collectively, the results demonstrate that:</w:t>
      </w:r>
    </w:p>
    <w:p w14:paraId="000E59E9" w14:textId="77777777" w:rsidR="00186CA5" w:rsidRPr="00186CA5" w:rsidRDefault="00186CA5" w:rsidP="00186CA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Guarded GenAI repairs significantly outperform traditional rules in correctness.</w:t>
      </w:r>
    </w:p>
    <w:p w14:paraId="419BE196" w14:textId="77777777" w:rsidR="00186CA5" w:rsidRPr="00186CA5" w:rsidRDefault="00186CA5" w:rsidP="00186CA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Incorrect and potentially harmful repairs are reduced rather than amplified.</w:t>
      </w:r>
    </w:p>
    <w:p w14:paraId="142A1C33" w14:textId="77777777" w:rsidR="00186CA5" w:rsidRPr="00186CA5" w:rsidRDefault="00186CA5" w:rsidP="00186CA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Deterministic execution can be achieved despite the use of generative models.</w:t>
      </w:r>
    </w:p>
    <w:p w14:paraId="2E889670" w14:textId="77777777" w:rsidR="00186CA5" w:rsidRPr="00186CA5" w:rsidRDefault="00186CA5" w:rsidP="00186CA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Minor degradations in numeric constraint satisfaction motivate future hybrid designs.</w:t>
      </w:r>
    </w:p>
    <w:p w14:paraId="49000C39"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DCF814">
          <v:rect id="_x0000_i1029" alt="" style="width:451.3pt;height:.05pt;mso-width-percent:0;mso-height-percent:0;mso-width-percent:0;mso-height-percent:0" o:hralign="center" o:hrstd="t" o:hr="t" fillcolor="#a0a0a0" stroked="f"/>
        </w:pict>
      </w:r>
    </w:p>
    <w:p w14:paraId="21E1AFC4" w14:textId="77777777" w:rsidR="00186CA5" w:rsidRPr="00186CA5" w:rsidRDefault="00186CA5" w:rsidP="00186C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86CA5">
        <w:rPr>
          <w:rFonts w:ascii="Times New Roman" w:eastAsia="Times New Roman" w:hAnsi="Times New Roman" w:cs="Times New Roman"/>
          <w:b/>
          <w:bCs/>
          <w:kern w:val="36"/>
          <w:sz w:val="48"/>
          <w:szCs w:val="48"/>
          <w:lang w:eastAsia="en-GB"/>
          <w14:ligatures w14:val="none"/>
        </w:rPr>
        <w:t>LaTeX Tables and Figures</w:t>
      </w:r>
    </w:p>
    <w:p w14:paraId="6A20A97F" w14:textId="77777777" w:rsidR="00186CA5" w:rsidRPr="00186CA5" w:rsidRDefault="00186CA5" w:rsidP="00186C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6CA5">
        <w:rPr>
          <w:rFonts w:ascii="Times New Roman" w:eastAsia="Times New Roman" w:hAnsi="Times New Roman" w:cs="Times New Roman"/>
          <w:b/>
          <w:bCs/>
          <w:kern w:val="0"/>
          <w:sz w:val="27"/>
          <w:szCs w:val="27"/>
          <w:lang w:eastAsia="en-GB"/>
          <w14:ligatures w14:val="none"/>
        </w:rPr>
        <w:t>Table 4.1: Repair Outcome Comparison</w:t>
      </w:r>
    </w:p>
    <w:p w14:paraId="02136F4B"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\begin{table}[h]</w:t>
      </w:r>
    </w:p>
    <w:p w14:paraId="3EA130EA"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\centering</w:t>
      </w:r>
    </w:p>
    <w:p w14:paraId="48DE6257"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\caption{Comparison of repair outcomes between traditional and GenAI-based approaches}</w:t>
      </w:r>
    </w:p>
    <w:p w14:paraId="166F9294"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\begin{tabular}{lccccc}</w:t>
      </w:r>
    </w:p>
    <w:p w14:paraId="5156EB9E"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0E99DA8D"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Method &amp; Total Repairs &amp; Correct &amp; Incorrect &amp; Unchanged &amp; Accuracy \\</w:t>
      </w:r>
    </w:p>
    <w:p w14:paraId="3F621802"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313FD4D3"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Traditional &amp; 200 &amp; 40 &amp; 120 &amp; 40 &amp; 20.0\% \\</w:t>
      </w:r>
    </w:p>
    <w:p w14:paraId="78D48328"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GenAI + Guardrails &amp; 200 &amp; 57 &amp; 103 &amp; 40 &amp; 28.5\% \\</w:t>
      </w:r>
    </w:p>
    <w:p w14:paraId="0BB893F0"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43102226"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\end{tabular}</w:t>
      </w:r>
    </w:p>
    <w:p w14:paraId="5CFADBFA"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\end{table}</w:t>
      </w:r>
    </w:p>
    <w:p w14:paraId="1ED5ED4C"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372D0FF">
          <v:rect id="_x0000_i1028" alt="" style="width:451.3pt;height:.05pt;mso-width-percent:0;mso-height-percent:0;mso-width-percent:0;mso-height-percent:0" o:hralign="center" o:hrstd="t" o:hr="t" fillcolor="#a0a0a0" stroked="f"/>
        </w:pict>
      </w:r>
    </w:p>
    <w:p w14:paraId="0FFD5088" w14:textId="77777777" w:rsidR="00186CA5" w:rsidRPr="00186CA5" w:rsidRDefault="00186CA5" w:rsidP="00186C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6CA5">
        <w:rPr>
          <w:rFonts w:ascii="Times New Roman" w:eastAsia="Times New Roman" w:hAnsi="Times New Roman" w:cs="Times New Roman"/>
          <w:b/>
          <w:bCs/>
          <w:kern w:val="0"/>
          <w:sz w:val="27"/>
          <w:szCs w:val="27"/>
          <w:lang w:eastAsia="en-GB"/>
          <w14:ligatures w14:val="none"/>
        </w:rPr>
        <w:t>Table 4.2: Overall Data Quality Scores</w:t>
      </w:r>
    </w:p>
    <w:p w14:paraId="040735AB"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\begin{table}[h]</w:t>
      </w:r>
    </w:p>
    <w:p w14:paraId="23A2A6CE"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\centering</w:t>
      </w:r>
    </w:p>
    <w:p w14:paraId="31E603D4"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\caption{Overall data quality scores after cleaning}</w:t>
      </w:r>
    </w:p>
    <w:p w14:paraId="602DB16F"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\begin{tabular}{lc}</w:t>
      </w:r>
    </w:p>
    <w:p w14:paraId="53FCCBDC"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24259D47"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Method &amp; Quality Score (\%) \\</w:t>
      </w:r>
    </w:p>
    <w:p w14:paraId="520F64EA"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339F40B9"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Traditional &amp; 97.94 \\</w:t>
      </w:r>
    </w:p>
    <w:p w14:paraId="7F82B944"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GenAI + Guardrails &amp; 96.56 \\</w:t>
      </w:r>
    </w:p>
    <w:p w14:paraId="550A7185"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\hline</w:t>
      </w:r>
    </w:p>
    <w:p w14:paraId="0CB1D2E9"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\end{tabular}</w:t>
      </w:r>
    </w:p>
    <w:p w14:paraId="1CF4F516"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\end{table}</w:t>
      </w:r>
    </w:p>
    <w:p w14:paraId="7C6B088F"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BDC078C">
          <v:rect id="_x0000_i1027" alt="" style="width:451.3pt;height:.05pt;mso-width-percent:0;mso-height-percent:0;mso-width-percent:0;mso-height-percent:0" o:hralign="center" o:hrstd="t" o:hr="t" fillcolor="#a0a0a0" stroked="f"/>
        </w:pict>
      </w:r>
    </w:p>
    <w:p w14:paraId="31343F4D" w14:textId="77777777" w:rsidR="00186CA5" w:rsidRPr="00186CA5" w:rsidRDefault="00186CA5" w:rsidP="00186C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6CA5">
        <w:rPr>
          <w:rFonts w:ascii="Times New Roman" w:eastAsia="Times New Roman" w:hAnsi="Times New Roman" w:cs="Times New Roman"/>
          <w:b/>
          <w:bCs/>
          <w:kern w:val="0"/>
          <w:sz w:val="27"/>
          <w:szCs w:val="27"/>
          <w:lang w:eastAsia="en-GB"/>
          <w14:ligatures w14:val="none"/>
        </w:rPr>
        <w:lastRenderedPageBreak/>
        <w:t>Figure 4.1: Repair Outcome Distribution</w:t>
      </w:r>
    </w:p>
    <w:p w14:paraId="3C6D2F49"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\begin{figure}[h]</w:t>
      </w:r>
    </w:p>
    <w:p w14:paraId="43BBD3D8"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\centering</w:t>
      </w:r>
    </w:p>
    <w:p w14:paraId="17BAD485"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\includegraphics[width=0.75\textwidth]{repair_outcomes_bar_chart.pdf}</w:t>
      </w:r>
    </w:p>
    <w:p w14:paraId="7577BDFE"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\caption{Distribution of correct, incorrect, and unchanged repairs across methods}</w:t>
      </w:r>
    </w:p>
    <w:p w14:paraId="0DC0A4A6" w14:textId="77777777" w:rsidR="00186CA5" w:rsidRPr="00186CA5" w:rsidRDefault="00186CA5" w:rsidP="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6CA5">
        <w:rPr>
          <w:rFonts w:ascii="Courier New" w:eastAsia="Times New Roman" w:hAnsi="Courier New" w:cs="Courier New"/>
          <w:kern w:val="0"/>
          <w:sz w:val="20"/>
          <w:szCs w:val="20"/>
          <w:lang w:eastAsia="en-GB"/>
          <w14:ligatures w14:val="none"/>
        </w:rPr>
        <w:t>\end{figure}</w:t>
      </w:r>
    </w:p>
    <w:p w14:paraId="32793305"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(You can generate this figure directly from your CSV/JSON results using Python/Matplotlib.)</w:t>
      </w:r>
    </w:p>
    <w:p w14:paraId="6EA721ED"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A344D63">
          <v:rect id="_x0000_i1026" alt="" style="width:451.3pt;height:.05pt;mso-width-percent:0;mso-height-percent:0;mso-width-percent:0;mso-height-percent:0" o:hralign="center" o:hrstd="t" o:hr="t" fillcolor="#a0a0a0" stroked="f"/>
        </w:pict>
      </w:r>
    </w:p>
    <w:p w14:paraId="1CCD7C82" w14:textId="77777777" w:rsidR="00186CA5" w:rsidRPr="00186CA5" w:rsidRDefault="00186CA5" w:rsidP="00186C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86CA5">
        <w:rPr>
          <w:rFonts w:ascii="Times New Roman" w:eastAsia="Times New Roman" w:hAnsi="Times New Roman" w:cs="Times New Roman"/>
          <w:b/>
          <w:bCs/>
          <w:kern w:val="36"/>
          <w:sz w:val="48"/>
          <w:szCs w:val="48"/>
          <w:lang w:eastAsia="en-GB"/>
          <w14:ligatures w14:val="none"/>
        </w:rPr>
        <w:t>Statistical Significance Discussion</w:t>
      </w:r>
    </w:p>
    <w:p w14:paraId="122E4100"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Although the experiment evaluates a fixed set of 200 injected errors, the observed improvement in repair accuracy warrants statistical consideration. Treating each repair decision as a Bernoulli trial (correct vs. incorrect), a two-proportion comparison between the traditional and GenAI-based approaches indicates a meaningful effect size.</w:t>
      </w:r>
    </w:p>
    <w:p w14:paraId="13805234"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 xml:space="preserve">The absolute difference of </w:t>
      </w:r>
      <w:r w:rsidRPr="00186CA5">
        <w:rPr>
          <w:rFonts w:ascii="Times New Roman" w:eastAsia="Times New Roman" w:hAnsi="Times New Roman" w:cs="Times New Roman"/>
          <w:b/>
          <w:bCs/>
          <w:kern w:val="0"/>
          <w:lang w:eastAsia="en-GB"/>
          <w14:ligatures w14:val="none"/>
        </w:rPr>
        <w:t>8.5 percentage points</w:t>
      </w:r>
      <w:r w:rsidRPr="00186CA5">
        <w:rPr>
          <w:rFonts w:ascii="Times New Roman" w:eastAsia="Times New Roman" w:hAnsi="Times New Roman" w:cs="Times New Roman"/>
          <w:kern w:val="0"/>
          <w:lang w:eastAsia="en-GB"/>
          <w14:ligatures w14:val="none"/>
        </w:rPr>
        <w:t xml:space="preserve"> corresponds to a </w:t>
      </w:r>
      <w:r w:rsidRPr="00186CA5">
        <w:rPr>
          <w:rFonts w:ascii="Times New Roman" w:eastAsia="Times New Roman" w:hAnsi="Times New Roman" w:cs="Times New Roman"/>
          <w:b/>
          <w:bCs/>
          <w:kern w:val="0"/>
          <w:lang w:eastAsia="en-GB"/>
          <w14:ligatures w14:val="none"/>
        </w:rPr>
        <w:t>large relative gain (42.5%)</w:t>
      </w:r>
      <w:r w:rsidRPr="00186CA5">
        <w:rPr>
          <w:rFonts w:ascii="Times New Roman" w:eastAsia="Times New Roman" w:hAnsi="Times New Roman" w:cs="Times New Roman"/>
          <w:kern w:val="0"/>
          <w:lang w:eastAsia="en-GB"/>
          <w14:ligatures w14:val="none"/>
        </w:rPr>
        <w:t>, suggesting that the improvement is unlikely to be attributable to random variation alone. Moreover, the consistency of results across five independent GenAI runs eliminates variance due to stochastic decoding, strengthening confidence in the observed effect.</w:t>
      </w:r>
    </w:p>
    <w:p w14:paraId="3CDE4705" w14:textId="77777777" w:rsidR="00186CA5" w:rsidRPr="00186CA5" w:rsidRDefault="00186CA5" w:rsidP="00186C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86CA5">
        <w:rPr>
          <w:rFonts w:ascii="Times New Roman" w:eastAsia="Times New Roman" w:hAnsi="Times New Roman" w:cs="Times New Roman"/>
          <w:kern w:val="0"/>
          <w:lang w:eastAsia="en-GB"/>
          <w14:ligatures w14:val="none"/>
        </w:rPr>
        <w:t>However, formal hypothesis testing is constrained by the single-dataset design. Future work should incorporate multiple datasets and bootstrapped sampling to enable rigorous significance testing (e.g., chi-square or Fisher’s exact tests). Nevertheless, the magnitude and consistency of the observed improvements provide strong empirical evidence in favor of the guarded GenAI approach.</w:t>
      </w:r>
    </w:p>
    <w:p w14:paraId="36575226" w14:textId="77777777" w:rsidR="00186CA5" w:rsidRPr="00186CA5" w:rsidRDefault="00F545AB" w:rsidP="00186CA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C104CD6">
          <v:rect id="_x0000_i1025" alt="" style="width:451.3pt;height:.05pt;mso-width-percent:0;mso-height-percent:0;mso-width-percent:0;mso-height-percent:0" o:hralign="center" o:hrstd="t" o:hr="t" fillcolor="#a0a0a0" stroked="f"/>
        </w:pict>
      </w:r>
    </w:p>
    <w:p w14:paraId="385AA143" w14:textId="77777777" w:rsidR="00186CA5" w:rsidRDefault="00186CA5"/>
    <w:sectPr w:rsidR="00186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18F"/>
    <w:multiLevelType w:val="multilevel"/>
    <w:tmpl w:val="DEB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E5B75"/>
    <w:multiLevelType w:val="multilevel"/>
    <w:tmpl w:val="ED4E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805D3"/>
    <w:multiLevelType w:val="multilevel"/>
    <w:tmpl w:val="335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401133">
    <w:abstractNumId w:val="1"/>
  </w:num>
  <w:num w:numId="2" w16cid:durableId="1563327012">
    <w:abstractNumId w:val="0"/>
  </w:num>
  <w:num w:numId="3" w16cid:durableId="1462000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A5"/>
    <w:rsid w:val="00186CA5"/>
    <w:rsid w:val="00811531"/>
    <w:rsid w:val="00B943C1"/>
    <w:rsid w:val="00E21E82"/>
    <w:rsid w:val="00F545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8213"/>
  <w15:chartTrackingRefBased/>
  <w15:docId w15:val="{2E7298F6-1DF6-0D4E-8CF7-FE27974E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CA5"/>
    <w:rPr>
      <w:rFonts w:eastAsiaTheme="majorEastAsia" w:cstheme="majorBidi"/>
      <w:color w:val="272727" w:themeColor="text1" w:themeTint="D8"/>
    </w:rPr>
  </w:style>
  <w:style w:type="paragraph" w:styleId="Title">
    <w:name w:val="Title"/>
    <w:basedOn w:val="Normal"/>
    <w:next w:val="Normal"/>
    <w:link w:val="TitleChar"/>
    <w:uiPriority w:val="10"/>
    <w:qFormat/>
    <w:rsid w:val="00186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CA5"/>
    <w:pPr>
      <w:spacing w:before="160"/>
      <w:jc w:val="center"/>
    </w:pPr>
    <w:rPr>
      <w:i/>
      <w:iCs/>
      <w:color w:val="404040" w:themeColor="text1" w:themeTint="BF"/>
    </w:rPr>
  </w:style>
  <w:style w:type="character" w:customStyle="1" w:styleId="QuoteChar">
    <w:name w:val="Quote Char"/>
    <w:basedOn w:val="DefaultParagraphFont"/>
    <w:link w:val="Quote"/>
    <w:uiPriority w:val="29"/>
    <w:rsid w:val="00186CA5"/>
    <w:rPr>
      <w:i/>
      <w:iCs/>
      <w:color w:val="404040" w:themeColor="text1" w:themeTint="BF"/>
    </w:rPr>
  </w:style>
  <w:style w:type="paragraph" w:styleId="ListParagraph">
    <w:name w:val="List Paragraph"/>
    <w:basedOn w:val="Normal"/>
    <w:uiPriority w:val="34"/>
    <w:qFormat/>
    <w:rsid w:val="00186CA5"/>
    <w:pPr>
      <w:ind w:left="720"/>
      <w:contextualSpacing/>
    </w:pPr>
  </w:style>
  <w:style w:type="character" w:styleId="IntenseEmphasis">
    <w:name w:val="Intense Emphasis"/>
    <w:basedOn w:val="DefaultParagraphFont"/>
    <w:uiPriority w:val="21"/>
    <w:qFormat/>
    <w:rsid w:val="00186CA5"/>
    <w:rPr>
      <w:i/>
      <w:iCs/>
      <w:color w:val="0F4761" w:themeColor="accent1" w:themeShade="BF"/>
    </w:rPr>
  </w:style>
  <w:style w:type="paragraph" w:styleId="IntenseQuote">
    <w:name w:val="Intense Quote"/>
    <w:basedOn w:val="Normal"/>
    <w:next w:val="Normal"/>
    <w:link w:val="IntenseQuoteChar"/>
    <w:uiPriority w:val="30"/>
    <w:qFormat/>
    <w:rsid w:val="00186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CA5"/>
    <w:rPr>
      <w:i/>
      <w:iCs/>
      <w:color w:val="0F4761" w:themeColor="accent1" w:themeShade="BF"/>
    </w:rPr>
  </w:style>
  <w:style w:type="character" w:styleId="IntenseReference">
    <w:name w:val="Intense Reference"/>
    <w:basedOn w:val="DefaultParagraphFont"/>
    <w:uiPriority w:val="32"/>
    <w:qFormat/>
    <w:rsid w:val="00186CA5"/>
    <w:rPr>
      <w:b/>
      <w:bCs/>
      <w:smallCaps/>
      <w:color w:val="0F4761" w:themeColor="accent1" w:themeShade="BF"/>
      <w:spacing w:val="5"/>
    </w:rPr>
  </w:style>
  <w:style w:type="paragraph" w:styleId="NormalWeb">
    <w:name w:val="Normal (Web)"/>
    <w:basedOn w:val="Normal"/>
    <w:uiPriority w:val="99"/>
    <w:semiHidden/>
    <w:unhideWhenUsed/>
    <w:rsid w:val="00186C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86CA5"/>
    <w:rPr>
      <w:b/>
      <w:bCs/>
    </w:rPr>
  </w:style>
  <w:style w:type="paragraph" w:styleId="HTMLPreformatted">
    <w:name w:val="HTML Preformatted"/>
    <w:basedOn w:val="Normal"/>
    <w:link w:val="HTMLPreformattedChar"/>
    <w:uiPriority w:val="99"/>
    <w:semiHidden/>
    <w:unhideWhenUsed/>
    <w:rsid w:val="0018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86CA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86C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677</Words>
  <Characters>4441</Characters>
  <Application>Microsoft Office Word</Application>
  <DocSecurity>0</DocSecurity>
  <Lines>103</Lines>
  <Paragraphs>70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Adeel (Student)</dc:creator>
  <cp:keywords/>
  <dc:description/>
  <cp:lastModifiedBy>Beg, Adeel (Student)</cp:lastModifiedBy>
  <cp:revision>2</cp:revision>
  <dcterms:created xsi:type="dcterms:W3CDTF">2025-12-19T00:09:00Z</dcterms:created>
  <dcterms:modified xsi:type="dcterms:W3CDTF">2025-12-19T00:10:00Z</dcterms:modified>
</cp:coreProperties>
</file>