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C60A9F" w:rsidRDefault="00C60A9F" w:rsidP="00A66AB3">
      <w:pPr>
        <w:jc w:val="center"/>
        <w:rPr>
          <w:b/>
          <w:sz w:val="48"/>
          <w:szCs w:val="48"/>
        </w:rPr>
      </w:pPr>
    </w:p>
    <w:p w:rsidR="00382BE1" w:rsidRDefault="00D75674" w:rsidP="00A66AB3">
      <w:pPr>
        <w:jc w:val="center"/>
        <w:rPr>
          <w:sz w:val="56"/>
          <w:szCs w:val="56"/>
        </w:rPr>
      </w:pPr>
      <w:r>
        <w:rPr>
          <w:sz w:val="56"/>
          <w:szCs w:val="56"/>
        </w:rPr>
        <w:t>Арбитражная с</w:t>
      </w:r>
      <w:r w:rsidR="00A66AB3" w:rsidRPr="00251B98">
        <w:rPr>
          <w:sz w:val="56"/>
          <w:szCs w:val="56"/>
        </w:rPr>
        <w:t>тратегия</w:t>
      </w:r>
      <w:r w:rsidR="00357A95" w:rsidRPr="00251B98">
        <w:rPr>
          <w:sz w:val="56"/>
          <w:szCs w:val="56"/>
        </w:rPr>
        <w:t xml:space="preserve"> торговли</w:t>
      </w:r>
    </w:p>
    <w:p w:rsidR="00251B98" w:rsidRPr="00251B98" w:rsidRDefault="005C7086" w:rsidP="00A66AB3">
      <w:pPr>
        <w:jc w:val="center"/>
        <w:rPr>
          <w:sz w:val="56"/>
          <w:szCs w:val="56"/>
        </w:rPr>
      </w:pPr>
      <w:r>
        <w:rPr>
          <w:sz w:val="56"/>
          <w:szCs w:val="56"/>
          <w:lang w:val="en-US"/>
        </w:rPr>
        <w:t>NEO</w:t>
      </w:r>
      <w:r w:rsidRPr="005C7086">
        <w:rPr>
          <w:sz w:val="56"/>
          <w:szCs w:val="56"/>
        </w:rPr>
        <w:t>/</w:t>
      </w:r>
      <w:r>
        <w:rPr>
          <w:sz w:val="56"/>
          <w:szCs w:val="56"/>
          <w:lang w:val="en-US"/>
        </w:rPr>
        <w:t>USD</w:t>
      </w:r>
      <w:r w:rsidRPr="005C7086">
        <w:rPr>
          <w:sz w:val="56"/>
          <w:szCs w:val="56"/>
        </w:rPr>
        <w:t>/</w:t>
      </w:r>
      <w:r>
        <w:rPr>
          <w:sz w:val="56"/>
          <w:szCs w:val="56"/>
          <w:lang w:val="en-US"/>
        </w:rPr>
        <w:t>BTC</w:t>
      </w:r>
    </w:p>
    <w:p w:rsidR="00C60A9F" w:rsidRDefault="00C60A9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958447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CC3" w:rsidRDefault="005B0CC3">
          <w:pPr>
            <w:pStyle w:val="a4"/>
          </w:pPr>
          <w:r>
            <w:t>Оглавление</w:t>
          </w:r>
        </w:p>
        <w:p w:rsidR="0060437C" w:rsidRDefault="005B0CC3">
          <w:pPr>
            <w:pStyle w:val="11"/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088230" w:history="1">
            <w:r w:rsidR="0060437C" w:rsidRPr="00D86FCA">
              <w:rPr>
                <w:rStyle w:val="af7"/>
                <w:noProof/>
              </w:rPr>
              <w:t>Определения и необходимые вводные</w:t>
            </w:r>
            <w:r w:rsidR="0060437C">
              <w:rPr>
                <w:noProof/>
                <w:webHidden/>
              </w:rPr>
              <w:tab/>
            </w:r>
            <w:r w:rsidR="0060437C">
              <w:rPr>
                <w:noProof/>
                <w:webHidden/>
              </w:rPr>
              <w:fldChar w:fldCharType="begin"/>
            </w:r>
            <w:r w:rsidR="0060437C">
              <w:rPr>
                <w:noProof/>
                <w:webHidden/>
              </w:rPr>
              <w:instrText xml:space="preserve"> PAGEREF _Toc505088230 \h </w:instrText>
            </w:r>
            <w:r w:rsidR="0060437C">
              <w:rPr>
                <w:noProof/>
                <w:webHidden/>
              </w:rPr>
            </w:r>
            <w:r w:rsidR="0060437C">
              <w:rPr>
                <w:noProof/>
                <w:webHidden/>
              </w:rPr>
              <w:fldChar w:fldCharType="separate"/>
            </w:r>
            <w:r w:rsidR="0060437C">
              <w:rPr>
                <w:noProof/>
                <w:webHidden/>
              </w:rPr>
              <w:t>3</w:t>
            </w:r>
            <w:r w:rsidR="0060437C">
              <w:rPr>
                <w:noProof/>
                <w:webHidden/>
              </w:rPr>
              <w:fldChar w:fldCharType="end"/>
            </w:r>
          </w:hyperlink>
        </w:p>
        <w:p w:rsidR="0060437C" w:rsidRDefault="0060437C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505088231" w:history="1">
            <w:r w:rsidRPr="00D86FCA">
              <w:rPr>
                <w:rStyle w:val="af7"/>
                <w:noProof/>
              </w:rPr>
              <w:t>Условие входа-выхода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37C" w:rsidRDefault="0060437C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505088232" w:history="1">
            <w:r w:rsidRPr="00D86FCA">
              <w:rPr>
                <w:rStyle w:val="af7"/>
                <w:noProof/>
              </w:rPr>
              <w:t>Условие масштабирования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37C" w:rsidRDefault="0060437C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505088233" w:history="1">
            <w:r w:rsidRPr="00D86FCA">
              <w:rPr>
                <w:rStyle w:val="af7"/>
                <w:noProof/>
              </w:rPr>
              <w:t>Значения параметров стратегии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37C" w:rsidRDefault="0060437C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505088234" w:history="1">
            <w:r w:rsidRPr="00D86FCA">
              <w:rPr>
                <w:rStyle w:val="af7"/>
                <w:noProof/>
              </w:rPr>
              <w:t>Пример логов по результатам одной сделки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437C" w:rsidRDefault="0060437C">
          <w:pPr>
            <w:pStyle w:val="11"/>
            <w:rPr>
              <w:rFonts w:cstheme="minorBidi"/>
              <w:noProof/>
              <w:sz w:val="22"/>
              <w:szCs w:val="22"/>
            </w:rPr>
          </w:pPr>
          <w:hyperlink w:anchor="_Toc505088235" w:history="1">
            <w:r w:rsidRPr="00D86FCA">
              <w:rPr>
                <w:rStyle w:val="af7"/>
                <w:noProof/>
              </w:rPr>
              <w:t>Дополнительные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_Toc505088235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CC3" w:rsidRDefault="005B0CC3">
          <w:r>
            <w:rPr>
              <w:b/>
              <w:bCs/>
            </w:rPr>
            <w:fldChar w:fldCharType="end"/>
          </w:r>
        </w:p>
      </w:sdtContent>
    </w:sdt>
    <w:p w:rsidR="00BA723D" w:rsidRDefault="00BA723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A66AB3" w:rsidRPr="005C7086" w:rsidRDefault="0051682A" w:rsidP="005B0CC3">
      <w:pPr>
        <w:pStyle w:val="1"/>
      </w:pPr>
      <w:bookmarkStart w:id="0" w:name="_Toc505088230"/>
      <w:r>
        <w:lastRenderedPageBreak/>
        <w:t>Определения</w:t>
      </w:r>
      <w:r w:rsidR="005C7086" w:rsidRPr="005C7086">
        <w:t xml:space="preserve"> </w:t>
      </w:r>
      <w:r w:rsidR="005C7086">
        <w:t>и необходимые вводные</w:t>
      </w:r>
      <w:bookmarkEnd w:id="0"/>
    </w:p>
    <w:p w:rsidR="0051682A" w:rsidRPr="008C0EA4" w:rsidRDefault="0051682A" w:rsidP="00A66AB3"/>
    <w:p w:rsidR="00A66AB3" w:rsidRPr="00956138" w:rsidRDefault="00C83F1F" w:rsidP="00251B98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NEO/USD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66AB3" w:rsidRPr="00F81AD2">
        <w:t xml:space="preserve"> – </w:t>
      </w:r>
      <w:r w:rsidR="005C7086">
        <w:t xml:space="preserve">цена по валютной паре </w:t>
      </w:r>
      <w:r w:rsidR="005C7086">
        <w:rPr>
          <w:lang w:val="en-US"/>
        </w:rPr>
        <w:t>NEO</w:t>
      </w:r>
      <w:r w:rsidR="005C7086" w:rsidRPr="005C7086">
        <w:t>/</w:t>
      </w:r>
      <w:r w:rsidR="005C7086">
        <w:rPr>
          <w:lang w:val="en-US"/>
        </w:rPr>
        <w:t>USD</w:t>
      </w:r>
      <w:r w:rsidR="00A66AB3">
        <w:t xml:space="preserve"> </w:t>
      </w:r>
      <w:r w:rsidR="00D75674">
        <w:t xml:space="preserve">на бирже </w:t>
      </w:r>
      <w:r w:rsidR="00D75674">
        <w:rPr>
          <w:lang w:val="en-US"/>
        </w:rPr>
        <w:t>BITFINEX</w:t>
      </w:r>
      <w:r w:rsidR="00D75674" w:rsidRPr="00D75674">
        <w:t xml:space="preserve"> </w:t>
      </w:r>
      <w:r w:rsidR="00A66AB3">
        <w:t xml:space="preserve">в момент времени </w:t>
      </w:r>
      <m:oMath>
        <m:r>
          <w:rPr>
            <w:rFonts w:ascii="Cambria Math" w:hAnsi="Cambria Math"/>
            <w:lang w:val="en-US"/>
          </w:rPr>
          <m:t>i</m:t>
        </m:r>
      </m:oMath>
    </w:p>
    <w:p w:rsidR="005C7086" w:rsidRPr="005C7086" w:rsidRDefault="00C83F1F" w:rsidP="005C7086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NEO/BTC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7086" w:rsidRPr="00F81AD2">
        <w:t xml:space="preserve"> – </w:t>
      </w:r>
      <w:r w:rsidR="005C7086">
        <w:t xml:space="preserve">цена по валютной паре </w:t>
      </w:r>
      <w:r w:rsidR="005C7086">
        <w:rPr>
          <w:lang w:val="en-US"/>
        </w:rPr>
        <w:t>NEO</w:t>
      </w:r>
      <w:r w:rsidR="005C7086" w:rsidRPr="005C7086">
        <w:t>/</w:t>
      </w:r>
      <w:r w:rsidR="005C7086">
        <w:rPr>
          <w:lang w:val="en-US"/>
        </w:rPr>
        <w:t>BTC</w:t>
      </w:r>
      <w:r w:rsidR="005C7086">
        <w:t xml:space="preserve"> на бирже </w:t>
      </w:r>
      <w:r w:rsidR="005C7086">
        <w:rPr>
          <w:lang w:val="en-US"/>
        </w:rPr>
        <w:t>BITFINEX</w:t>
      </w:r>
      <w:r w:rsidR="005C7086" w:rsidRPr="00D75674">
        <w:t xml:space="preserve"> </w:t>
      </w:r>
      <w:r w:rsidR="005C7086">
        <w:t xml:space="preserve">в момент времени </w:t>
      </w:r>
      <m:oMath>
        <m:r>
          <w:rPr>
            <w:rFonts w:ascii="Cambria Math" w:hAnsi="Cambria Math"/>
            <w:lang w:val="en-US"/>
          </w:rPr>
          <m:t>i</m:t>
        </m:r>
      </m:oMath>
    </w:p>
    <w:p w:rsidR="005C7086" w:rsidRPr="005C7086" w:rsidRDefault="00C83F1F" w:rsidP="005C7086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BTC/USD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7086" w:rsidRPr="00F81AD2">
        <w:t xml:space="preserve"> – </w:t>
      </w:r>
      <w:r w:rsidR="005C7086">
        <w:t xml:space="preserve">цена по валютной паре </w:t>
      </w:r>
      <w:r w:rsidR="005C7086">
        <w:rPr>
          <w:lang w:val="en-US"/>
        </w:rPr>
        <w:t>BTC</w:t>
      </w:r>
      <w:r w:rsidR="005C7086" w:rsidRPr="005C7086">
        <w:t>/</w:t>
      </w:r>
      <w:r w:rsidR="005C7086">
        <w:rPr>
          <w:lang w:val="en-US"/>
        </w:rPr>
        <w:t>USD</w:t>
      </w:r>
      <w:r w:rsidR="005C7086">
        <w:t xml:space="preserve"> на бирже </w:t>
      </w:r>
      <w:r w:rsidR="005C7086">
        <w:rPr>
          <w:lang w:val="en-US"/>
        </w:rPr>
        <w:t>BITFINEX</w:t>
      </w:r>
      <w:r w:rsidR="005C7086" w:rsidRPr="00D75674">
        <w:t xml:space="preserve"> </w:t>
      </w:r>
      <w:r w:rsidR="005C7086">
        <w:t xml:space="preserve">в момент времени </w:t>
      </w:r>
      <m:oMath>
        <m:r>
          <w:rPr>
            <w:rFonts w:ascii="Cambria Math" w:hAnsi="Cambria Math"/>
            <w:lang w:val="en-US"/>
          </w:rPr>
          <m:t>i</m:t>
        </m:r>
      </m:oMath>
    </w:p>
    <w:p w:rsidR="005C7086" w:rsidRPr="00B439C2" w:rsidRDefault="00C83F1F" w:rsidP="005C7086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NEO/BTC/USD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C7086" w:rsidRPr="00F81AD2">
        <w:t xml:space="preserve"> – </w:t>
      </w:r>
      <w:r w:rsidR="005C7086">
        <w:t xml:space="preserve">расчетная цена </w:t>
      </w:r>
      <w:r w:rsidR="005C7086">
        <w:rPr>
          <w:lang w:val="en-US"/>
        </w:rPr>
        <w:t>NEO</w:t>
      </w:r>
      <w:r w:rsidR="005C7086">
        <w:t>/</w:t>
      </w:r>
      <w:r w:rsidR="005C7086">
        <w:rPr>
          <w:lang w:val="en-US"/>
        </w:rPr>
        <w:t>BTC</w:t>
      </w:r>
      <w:r w:rsidR="005C7086" w:rsidRPr="005C7086">
        <w:t xml:space="preserve"> </w:t>
      </w:r>
      <w:r w:rsidR="005C7086">
        <w:t xml:space="preserve">в </w:t>
      </w:r>
      <w:r w:rsidR="005C7086">
        <w:rPr>
          <w:lang w:val="en-US"/>
        </w:rPr>
        <w:t>USD</w:t>
      </w:r>
      <w:r w:rsidR="005C7086" w:rsidRPr="005C7086">
        <w:t xml:space="preserve"> </w:t>
      </w:r>
      <w:r w:rsidR="005C7086">
        <w:t xml:space="preserve">на бирже </w:t>
      </w:r>
      <w:r w:rsidR="005C7086">
        <w:rPr>
          <w:lang w:val="en-US"/>
        </w:rPr>
        <w:t>BITFINEX</w:t>
      </w:r>
      <w:r w:rsidR="005C7086" w:rsidRPr="00D75674">
        <w:t xml:space="preserve"> </w:t>
      </w:r>
      <w:r w:rsidR="005C7086">
        <w:t xml:space="preserve">в момент времени </w:t>
      </w:r>
      <m:oMath>
        <m:r>
          <w:rPr>
            <w:rFonts w:ascii="Cambria Math" w:hAnsi="Cambria Math"/>
            <w:lang w:val="en-US"/>
          </w:rPr>
          <m:t>i</m:t>
        </m:r>
      </m:oMath>
      <w:r w:rsidR="00B439C2">
        <w:t>:</w:t>
      </w:r>
    </w:p>
    <w:p w:rsidR="005C7086" w:rsidRPr="00B439C2" w:rsidRDefault="00C83F1F" w:rsidP="005C7086">
      <w:pPr>
        <w:jc w:val="both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NEO/BTC/USD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BTC/USD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NEO/BTC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76328C" w:rsidRDefault="00C83F1F" w:rsidP="00251B98">
      <w:pPr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NEO</m:t>
            </m:r>
          </m:sub>
        </m:sSub>
      </m:oMath>
      <w:r w:rsidR="00E03DF0" w:rsidRPr="00ED4A7B">
        <w:t xml:space="preserve"> – </w:t>
      </w:r>
      <w:r w:rsidR="00680EEF">
        <w:t>спред</w:t>
      </w:r>
      <w:r w:rsidR="00B439C2">
        <w:t xml:space="preserve"> (отношение) </w:t>
      </w:r>
      <w:r w:rsidR="008D0C4B">
        <w:t xml:space="preserve">стоимости </w:t>
      </w:r>
      <w:r w:rsidR="00B439C2">
        <w:rPr>
          <w:lang w:val="en-US"/>
        </w:rPr>
        <w:t>NEO</w:t>
      </w:r>
      <w:r w:rsidR="00B439C2" w:rsidRPr="00B439C2">
        <w:t>/</w:t>
      </w:r>
      <w:r w:rsidR="00B439C2">
        <w:rPr>
          <w:lang w:val="en-US"/>
        </w:rPr>
        <w:t>USD</w:t>
      </w:r>
      <w:r w:rsidR="00B439C2" w:rsidRPr="00B439C2">
        <w:t xml:space="preserve"> </w:t>
      </w:r>
      <w:r w:rsidR="00B439C2">
        <w:t xml:space="preserve">и </w:t>
      </w:r>
      <w:r w:rsidR="00B439C2">
        <w:rPr>
          <w:lang w:val="en-US"/>
        </w:rPr>
        <w:t>NEO</w:t>
      </w:r>
      <w:r w:rsidR="00B439C2" w:rsidRPr="00B439C2">
        <w:t>/</w:t>
      </w:r>
      <w:r w:rsidR="00B439C2">
        <w:rPr>
          <w:lang w:val="en-US"/>
        </w:rPr>
        <w:t>BTC</w:t>
      </w:r>
      <w:r w:rsidR="00B439C2" w:rsidRPr="00B439C2">
        <w:t>/</w:t>
      </w:r>
      <w:r w:rsidR="00B439C2">
        <w:rPr>
          <w:lang w:val="en-US"/>
        </w:rPr>
        <w:t>USD</w:t>
      </w:r>
      <w:r w:rsidR="000928CF" w:rsidRPr="000928CF">
        <w:t xml:space="preserve"> </w:t>
      </w:r>
      <w:r w:rsidR="000928CF">
        <w:t xml:space="preserve">в момент времени </w:t>
      </w:r>
      <m:oMath>
        <m:r>
          <w:rPr>
            <w:rFonts w:ascii="Cambria Math" w:hAnsi="Cambria Math"/>
            <w:lang w:val="en-US"/>
          </w:rPr>
          <m:t>i</m:t>
        </m:r>
      </m:oMath>
      <w:r w:rsidR="008D0C4B" w:rsidRPr="008D0C4B">
        <w:t>:</w:t>
      </w:r>
    </w:p>
    <w:p w:rsidR="00E03DF0" w:rsidRPr="008D0C4B" w:rsidRDefault="00C83F1F" w:rsidP="00251B98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lang w:val="en-US"/>
                </w:rPr>
                <m:t>NEO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NEO/USD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NEO/BTC/USD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*100</m:t>
          </m:r>
        </m:oMath>
      </m:oMathPara>
    </w:p>
    <w:p w:rsidR="008D0C4B" w:rsidRDefault="00AF760E" w:rsidP="008D0C4B">
      <w:pPr>
        <w:jc w:val="both"/>
        <w:rPr>
          <w:rFonts w:eastAsiaTheme="minorHAnsi"/>
        </w:rPr>
      </w:pPr>
      <m:oMath>
        <m:r>
          <w:rPr>
            <w:rFonts w:ascii="Cambria Math" w:hAnsi="Cambria Math"/>
          </w:rPr>
          <m:t>High_bound</m:t>
        </m:r>
      </m:oMath>
      <w:r w:rsidR="00B439C2">
        <w:t xml:space="preserve"> – верхняя граница входа в сделку</w:t>
      </w:r>
      <w:r w:rsidR="006E6ECE">
        <w:t xml:space="preserve"> (условие)</w:t>
      </w:r>
    </w:p>
    <w:p w:rsidR="00AF760E" w:rsidRDefault="00AF760E" w:rsidP="00AF760E">
      <w:pPr>
        <w:jc w:val="both"/>
        <w:rPr>
          <w:rFonts w:eastAsiaTheme="minorHAnsi"/>
        </w:rPr>
      </w:pPr>
      <m:oMath>
        <m:r>
          <w:rPr>
            <w:rFonts w:ascii="Cambria Math" w:hAnsi="Cambria Math"/>
          </w:rPr>
          <m:t>High_normal</m:t>
        </m:r>
      </m:oMath>
      <w:r>
        <w:t xml:space="preserve"> – верхняя граница выхода из сделки</w:t>
      </w:r>
      <w:r w:rsidR="006E6ECE">
        <w:t xml:space="preserve"> (условие)</w:t>
      </w:r>
    </w:p>
    <w:p w:rsidR="00AF760E" w:rsidRDefault="00AF760E" w:rsidP="00AF760E">
      <w:pPr>
        <w:jc w:val="both"/>
        <w:rPr>
          <w:rFonts w:eastAsiaTheme="minorHAnsi"/>
        </w:rPr>
      </w:pPr>
      <m:oMath>
        <m:r>
          <w:rPr>
            <w:rFonts w:ascii="Cambria Math" w:hAnsi="Cambria Math"/>
          </w:rPr>
          <m:t>Low_bound</m:t>
        </m:r>
      </m:oMath>
      <w:r>
        <w:t xml:space="preserve"> – нижняя граница входа в сделку</w:t>
      </w:r>
      <w:r w:rsidR="006E6ECE">
        <w:t xml:space="preserve"> (условие)</w:t>
      </w:r>
    </w:p>
    <w:p w:rsidR="00AF760E" w:rsidRDefault="00AF760E" w:rsidP="00AF760E">
      <w:pPr>
        <w:jc w:val="both"/>
      </w:pPr>
      <m:oMath>
        <m:r>
          <w:rPr>
            <w:rFonts w:ascii="Cambria Math" w:hAnsi="Cambria Math"/>
          </w:rPr>
          <m:t>Low_normal</m:t>
        </m:r>
      </m:oMath>
      <w:r>
        <w:t xml:space="preserve"> – нижняя граница выхода их сделки</w:t>
      </w:r>
      <w:r w:rsidR="006E6ECE">
        <w:t xml:space="preserve"> (условие)</w:t>
      </w:r>
    </w:p>
    <w:p w:rsidR="009D79A5" w:rsidRDefault="00C83F1F" w:rsidP="009D79A5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entry</m:t>
            </m:r>
          </m:sub>
        </m:sSub>
      </m:oMath>
      <w:r w:rsidR="009D79A5">
        <w:t xml:space="preserve"> – размер спреда в момент последнего входа в сделку или масштабирования</w:t>
      </w:r>
    </w:p>
    <w:p w:rsidR="00680EEF" w:rsidRPr="00680EEF" w:rsidRDefault="00680EEF" w:rsidP="00AF760E">
      <w:pPr>
        <w:jc w:val="both"/>
        <w:rPr>
          <w:rFonts w:eastAsiaTheme="minorHAnsi"/>
        </w:rPr>
      </w:pPr>
      <m:oMath>
        <m:r>
          <w:rPr>
            <w:rFonts w:ascii="Cambria Math" w:eastAsiaTheme="minorHAnsi" w:hAnsi="Cambria Math"/>
          </w:rPr>
          <m:t>balance_available</m:t>
        </m:r>
      </m:oMath>
      <w:r w:rsidRPr="009D79A5">
        <w:t xml:space="preserve"> – </w:t>
      </w:r>
      <w:r>
        <w:t>доступный торговый баланс</w:t>
      </w:r>
    </w:p>
    <w:p w:rsidR="00AF760E" w:rsidRDefault="00AF760E" w:rsidP="00AF760E">
      <w:pPr>
        <w:jc w:val="both"/>
        <w:rPr>
          <w:rFonts w:eastAsiaTheme="minorHAnsi"/>
        </w:rPr>
      </w:pPr>
      <m:oMath>
        <m:r>
          <w:rPr>
            <w:rFonts w:ascii="Cambria Math" w:hAnsi="Cambria Math"/>
          </w:rPr>
          <m:t>Share_entry</m:t>
        </m:r>
      </m:oMath>
      <w:r>
        <w:t xml:space="preserve"> – доля торгового баланса для входа в сделку, %</w:t>
      </w:r>
    </w:p>
    <w:p w:rsidR="00AF760E" w:rsidRDefault="00AF760E" w:rsidP="00AF760E">
      <w:pPr>
        <w:jc w:val="both"/>
        <w:rPr>
          <w:rFonts w:eastAsiaTheme="minorHAnsi"/>
        </w:rPr>
      </w:pPr>
      <m:oMath>
        <m:r>
          <w:rPr>
            <w:rFonts w:ascii="Cambria Math" w:hAnsi="Cambria Math"/>
          </w:rPr>
          <m:t>Share_scaling</m:t>
        </m:r>
      </m:oMath>
      <w:r>
        <w:t xml:space="preserve"> – доля торгового баланса для увеличения позиции в сделке, %</w:t>
      </w:r>
    </w:p>
    <w:p w:rsidR="006E6ECE" w:rsidRDefault="006E6ECE" w:rsidP="006E6ECE">
      <w:pPr>
        <w:jc w:val="both"/>
        <w:rPr>
          <w:rFonts w:eastAsiaTheme="minorHAnsi"/>
        </w:rPr>
      </w:pPr>
      <m:oMath>
        <m:r>
          <w:rPr>
            <w:rFonts w:ascii="Cambria Math" w:hAnsi="Cambria Math"/>
          </w:rPr>
          <m:t>Scaling</m:t>
        </m:r>
      </m:oMath>
      <w:r>
        <w:t xml:space="preserve"> – параметр увеличения позиции в сделке, %</w:t>
      </w:r>
    </w:p>
    <w:p w:rsidR="00E03DF0" w:rsidRPr="00AF760E" w:rsidRDefault="00E03DF0" w:rsidP="00251B98"/>
    <w:p w:rsidR="002615FD" w:rsidRDefault="002615FD" w:rsidP="00251B98">
      <w:r>
        <w:br w:type="page"/>
      </w:r>
    </w:p>
    <w:p w:rsidR="007F04EF" w:rsidRPr="008D0C4B" w:rsidRDefault="00F33C6B" w:rsidP="005B0CC3">
      <w:pPr>
        <w:pStyle w:val="1"/>
      </w:pPr>
      <w:bookmarkStart w:id="1" w:name="_Toc505088231"/>
      <w:r>
        <w:lastRenderedPageBreak/>
        <w:t>Условие входа-выхода</w:t>
      </w:r>
      <w:bookmarkEnd w:id="1"/>
    </w:p>
    <w:p w:rsidR="007F04EF" w:rsidRPr="00A63DC1" w:rsidRDefault="007F04EF" w:rsidP="007F04EF">
      <w:pPr>
        <w:ind w:left="-567" w:firstLine="425"/>
      </w:pPr>
    </w:p>
    <w:p w:rsidR="00CC38FB" w:rsidRPr="00A77AAE" w:rsidRDefault="00CC38FB" w:rsidP="00AC30D7">
      <w:pPr>
        <w:ind w:left="-567" w:firstLine="567"/>
        <w:rPr>
          <w:u w:val="single"/>
        </w:rPr>
      </w:pPr>
      <w:r w:rsidRPr="00A77AAE">
        <w:rPr>
          <w:u w:val="single"/>
        </w:rPr>
        <w:t>Условие входа в сделку 1:</w:t>
      </w:r>
    </w:p>
    <w:p w:rsidR="00F33C6B" w:rsidRPr="00CC38FB" w:rsidRDefault="00C83F1F" w:rsidP="00AC30D7">
      <w:pPr>
        <w:ind w:left="-567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NEO</m:t>
              </m:r>
            </m:sub>
          </m:sSub>
          <m:r>
            <w:rPr>
              <w:rFonts w:ascii="Cambria Math" w:hAnsi="Cambria Math"/>
            </w:rPr>
            <m:t>&gt;High_bound</m:t>
          </m:r>
        </m:oMath>
      </m:oMathPara>
    </w:p>
    <w:p w:rsidR="00CC38FB" w:rsidRPr="00680EEF" w:rsidRDefault="00CC38FB" w:rsidP="00AC30D7">
      <w:pPr>
        <w:ind w:left="-567" w:firstLine="567"/>
      </w:pPr>
      <w:r>
        <w:t xml:space="preserve">Открываем короткую позицию </w:t>
      </w:r>
      <w:r>
        <w:rPr>
          <w:lang w:val="en-US"/>
        </w:rPr>
        <w:t>USD</w:t>
      </w:r>
      <w:r w:rsidRPr="00CC38FB">
        <w:t>/</w:t>
      </w:r>
      <w:r>
        <w:rPr>
          <w:lang w:val="en-US"/>
        </w:rPr>
        <w:t>NEO</w:t>
      </w:r>
      <w:r w:rsidRPr="00CC38FB">
        <w:t xml:space="preserve"> </w:t>
      </w:r>
      <w:r>
        <w:t xml:space="preserve">и длинную позицию </w:t>
      </w:r>
      <w:r>
        <w:rPr>
          <w:lang w:val="en-US"/>
        </w:rPr>
        <w:t>NEO</w:t>
      </w:r>
      <w:r w:rsidRPr="00680EEF">
        <w:t>/</w:t>
      </w:r>
      <w:r>
        <w:rPr>
          <w:lang w:val="en-US"/>
        </w:rPr>
        <w:t>BTC</w:t>
      </w:r>
      <w:r w:rsidR="00680EEF">
        <w:t>.</w:t>
      </w:r>
    </w:p>
    <w:p w:rsidR="00CC38FB" w:rsidRDefault="00CC38FB" w:rsidP="00AC30D7">
      <w:pPr>
        <w:ind w:left="-567" w:firstLine="567"/>
      </w:pPr>
      <w:r>
        <w:t>Размер позиции в обоих случаях одинаковый в дол</w:t>
      </w:r>
      <w:r w:rsidR="00A77AAE">
        <w:t>ларовом эквиваленте и равняется</w:t>
      </w:r>
      <w:r w:rsidR="00680EEF">
        <w:t>.</w:t>
      </w:r>
    </w:p>
    <w:p w:rsidR="00A77AAE" w:rsidRPr="00A77AAE" w:rsidRDefault="00A77AAE" w:rsidP="00AC30D7">
      <w:pPr>
        <w:ind w:left="-567" w:firstLine="56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Размер_позиции</m:t>
          </m:r>
          <m:r>
            <w:rPr>
              <w:rFonts w:ascii="Cambria Math" w:hAnsi="Cambria Math"/>
              <w:lang w:val="en-US"/>
            </w:rPr>
            <m:t>_USD=Share_entry*balance_available</m:t>
          </m:r>
        </m:oMath>
      </m:oMathPara>
    </w:p>
    <w:p w:rsidR="00A77AAE" w:rsidRDefault="00A77AAE">
      <w:r>
        <w:t xml:space="preserve">Только если в случае с парой </w:t>
      </w:r>
      <w:r>
        <w:rPr>
          <w:lang w:val="en-US"/>
        </w:rPr>
        <w:t>USD</w:t>
      </w:r>
      <w:r w:rsidRPr="00A77AAE">
        <w:t>/</w:t>
      </w:r>
      <w:r>
        <w:rPr>
          <w:lang w:val="en-US"/>
        </w:rPr>
        <w:t>NEO</w:t>
      </w:r>
      <w:r w:rsidRPr="00A77AAE">
        <w:t xml:space="preserve"> </w:t>
      </w:r>
      <w:r>
        <w:t xml:space="preserve">никаких дополнительных операций делать не надо, то для пары </w:t>
      </w:r>
      <w:r>
        <w:rPr>
          <w:lang w:val="en-US"/>
        </w:rPr>
        <w:t>NEO</w:t>
      </w:r>
      <w:r w:rsidRPr="00A77AAE">
        <w:t>/</w:t>
      </w:r>
      <w:r>
        <w:rPr>
          <w:lang w:val="en-US"/>
        </w:rPr>
        <w:t>BTC</w:t>
      </w:r>
      <w:r w:rsidRPr="00A77AAE">
        <w:t xml:space="preserve"> </w:t>
      </w:r>
      <w:r>
        <w:t xml:space="preserve">необходимо высчитать размер позиции в </w:t>
      </w:r>
      <w:proofErr w:type="spellStart"/>
      <w:r>
        <w:t>биткоинах</w:t>
      </w:r>
      <w:proofErr w:type="spellEnd"/>
      <w:r w:rsidR="00680EEF">
        <w:t>.</w:t>
      </w:r>
    </w:p>
    <w:p w:rsidR="00A77AAE" w:rsidRPr="00A77AAE" w:rsidRDefault="00A77AAE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Размер_позиции_</m:t>
          </m:r>
          <m:r>
            <w:rPr>
              <w:rFonts w:ascii="Cambria Math" w:hAnsi="Cambria Math"/>
              <w:lang w:val="en-US"/>
            </w:rPr>
            <m:t>BTC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Размер_позиции_</m:t>
              </m:r>
              <m:r>
                <w:rPr>
                  <w:rFonts w:ascii="Cambria Math" w:hAnsi="Cambria Math"/>
                  <w:lang w:val="en-US"/>
                </w:rPr>
                <m:t>USD</m:t>
              </m:r>
            </m:num>
            <m:den>
              <m:r>
                <w:rPr>
                  <w:rFonts w:ascii="Cambria Math" w:hAnsi="Cambria Math"/>
                  <w:lang w:val="en-US"/>
                </w:rPr>
                <m:t>BTC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US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9D79A5" w:rsidRPr="009D79A5" w:rsidRDefault="009D79A5">
      <w:r>
        <w:t xml:space="preserve">Запоминаем размер спреда на момент открытия сделки: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entry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NEO</m:t>
            </m:r>
          </m:sub>
        </m:sSub>
      </m:oMath>
    </w:p>
    <w:p w:rsidR="00A77AAE" w:rsidRPr="00680EEF" w:rsidRDefault="00A77AAE">
      <w:pPr>
        <w:rPr>
          <w:u w:val="single"/>
        </w:rPr>
      </w:pPr>
      <w:r w:rsidRPr="00680EEF">
        <w:rPr>
          <w:u w:val="single"/>
        </w:rPr>
        <w:t>Условие выхода из сделки 1:</w:t>
      </w:r>
    </w:p>
    <w:p w:rsidR="00A77AAE" w:rsidRPr="00A77AAE" w:rsidRDefault="00C83F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NEO</m:t>
              </m:r>
            </m:sub>
          </m:sSub>
          <m:r>
            <w:rPr>
              <w:rFonts w:ascii="Cambria Math" w:hAnsi="Cambria Math"/>
            </w:rPr>
            <m:t>&lt;High_normal</m:t>
          </m:r>
        </m:oMath>
      </m:oMathPara>
    </w:p>
    <w:p w:rsidR="00A77AAE" w:rsidRPr="00680EEF" w:rsidRDefault="00A77AAE" w:rsidP="00A77AAE">
      <w:pPr>
        <w:ind w:left="-567" w:firstLine="567"/>
      </w:pPr>
      <w:r>
        <w:t xml:space="preserve">Закрываем короткую позицию </w:t>
      </w:r>
      <w:r>
        <w:rPr>
          <w:lang w:val="en-US"/>
        </w:rPr>
        <w:t>USD</w:t>
      </w:r>
      <w:r w:rsidRPr="00CC38FB">
        <w:t>/</w:t>
      </w:r>
      <w:r>
        <w:rPr>
          <w:lang w:val="en-US"/>
        </w:rPr>
        <w:t>NEO</w:t>
      </w:r>
      <w:r w:rsidRPr="00CC38FB">
        <w:t xml:space="preserve"> </w:t>
      </w:r>
      <w:r>
        <w:t xml:space="preserve">и длинную позицию </w:t>
      </w:r>
      <w:r>
        <w:rPr>
          <w:lang w:val="en-US"/>
        </w:rPr>
        <w:t>NEO</w:t>
      </w:r>
      <w:r w:rsidRPr="00A77AAE">
        <w:t>/</w:t>
      </w:r>
      <w:r>
        <w:rPr>
          <w:lang w:val="en-US"/>
        </w:rPr>
        <w:t>BTC</w:t>
      </w:r>
      <w:r w:rsidR="00680EEF">
        <w:t>.</w:t>
      </w:r>
    </w:p>
    <w:p w:rsidR="00A77AAE" w:rsidRDefault="00A77AAE" w:rsidP="00A77AAE">
      <w:pPr>
        <w:ind w:left="-567" w:firstLine="567"/>
      </w:pPr>
      <w:r>
        <w:t xml:space="preserve">Размер позиции закрытия равняется размеру позиции открытия по каждой паре плюс </w:t>
      </w:r>
      <w:r w:rsidR="00680EEF">
        <w:t>размеры масштабирования, в случае если была процедура масштабирования.</w:t>
      </w:r>
    </w:p>
    <w:p w:rsidR="00A77AAE" w:rsidRDefault="00A77AAE"/>
    <w:p w:rsidR="00680EEF" w:rsidRPr="00680EEF" w:rsidRDefault="00680EEF">
      <w:pPr>
        <w:rPr>
          <w:u w:val="single"/>
        </w:rPr>
      </w:pPr>
      <w:r w:rsidRPr="00680EEF">
        <w:rPr>
          <w:u w:val="single"/>
        </w:rPr>
        <w:t>Условие входа в сделку 2:</w:t>
      </w:r>
    </w:p>
    <w:p w:rsidR="00680EEF" w:rsidRPr="00CC38FB" w:rsidRDefault="00C83F1F" w:rsidP="00680EEF">
      <w:pPr>
        <w:ind w:left="-567" w:firstLine="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NEO</m:t>
              </m:r>
            </m:sub>
          </m:sSub>
          <m:r>
            <w:rPr>
              <w:rFonts w:ascii="Cambria Math" w:hAnsi="Cambria Math"/>
            </w:rPr>
            <m:t>&lt;Low_bound</m:t>
          </m:r>
        </m:oMath>
      </m:oMathPara>
    </w:p>
    <w:p w:rsidR="00680EEF" w:rsidRPr="00680EEF" w:rsidRDefault="00680EEF" w:rsidP="00680EEF">
      <w:pPr>
        <w:ind w:left="-567" w:firstLine="567"/>
      </w:pPr>
      <w:r>
        <w:t xml:space="preserve">Открываем длинную позицию </w:t>
      </w:r>
      <w:r>
        <w:rPr>
          <w:lang w:val="en-US"/>
        </w:rPr>
        <w:t>USD</w:t>
      </w:r>
      <w:r w:rsidRPr="00CC38FB">
        <w:t>/</w:t>
      </w:r>
      <w:r>
        <w:rPr>
          <w:lang w:val="en-US"/>
        </w:rPr>
        <w:t>NEO</w:t>
      </w:r>
      <w:r w:rsidRPr="00CC38FB">
        <w:t xml:space="preserve"> </w:t>
      </w:r>
      <w:r>
        <w:t xml:space="preserve">и короткую позицию </w:t>
      </w:r>
      <w:r>
        <w:rPr>
          <w:lang w:val="en-US"/>
        </w:rPr>
        <w:t>NEO</w:t>
      </w:r>
      <w:r w:rsidRPr="00680EEF">
        <w:t>/</w:t>
      </w:r>
      <w:r>
        <w:rPr>
          <w:lang w:val="en-US"/>
        </w:rPr>
        <w:t>BTC</w:t>
      </w:r>
      <w:r>
        <w:t>.</w:t>
      </w:r>
    </w:p>
    <w:p w:rsidR="00680EEF" w:rsidRDefault="00680EEF">
      <w:r>
        <w:t>Размер позиции рассчитывается так же, как и в условии входа в сделку 1, описанном выше.</w:t>
      </w:r>
    </w:p>
    <w:p w:rsidR="009D79A5" w:rsidRDefault="009D79A5">
      <w:r>
        <w:t xml:space="preserve">Запоминаем размер спреда на момент открытия сделки: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entry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NEO</m:t>
            </m:r>
          </m:sub>
        </m:sSub>
      </m:oMath>
    </w:p>
    <w:p w:rsidR="00680EEF" w:rsidRPr="00680EEF" w:rsidRDefault="00680EEF" w:rsidP="00680EEF">
      <w:pPr>
        <w:rPr>
          <w:u w:val="single"/>
        </w:rPr>
      </w:pPr>
      <w:r>
        <w:rPr>
          <w:u w:val="single"/>
        </w:rPr>
        <w:t>Условие выхода из сделки 2</w:t>
      </w:r>
      <w:r w:rsidRPr="00680EEF">
        <w:rPr>
          <w:u w:val="single"/>
        </w:rPr>
        <w:t>:</w:t>
      </w:r>
    </w:p>
    <w:p w:rsidR="00680EEF" w:rsidRPr="00A77AAE" w:rsidRDefault="00C83F1F" w:rsidP="00680EE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NEO</m:t>
              </m:r>
            </m:sub>
          </m:sSub>
          <m:r>
            <w:rPr>
              <w:rFonts w:ascii="Cambria Math" w:hAnsi="Cambria Math"/>
              <w:lang w:val="en-US"/>
            </w:rPr>
            <m:t>&gt;</m:t>
          </m:r>
          <m:r>
            <w:rPr>
              <w:rFonts w:ascii="Cambria Math" w:hAnsi="Cambria Math"/>
            </w:rPr>
            <m:t>Low_normal</m:t>
          </m:r>
        </m:oMath>
      </m:oMathPara>
    </w:p>
    <w:p w:rsidR="00680EEF" w:rsidRPr="00680EEF" w:rsidRDefault="00680EEF" w:rsidP="00680EEF">
      <w:pPr>
        <w:ind w:left="-567" w:firstLine="567"/>
      </w:pPr>
      <w:r>
        <w:t xml:space="preserve">Закрываем длинную позицию </w:t>
      </w:r>
      <w:r>
        <w:rPr>
          <w:lang w:val="en-US"/>
        </w:rPr>
        <w:t>USD</w:t>
      </w:r>
      <w:r w:rsidRPr="00CC38FB">
        <w:t>/</w:t>
      </w:r>
      <w:r>
        <w:rPr>
          <w:lang w:val="en-US"/>
        </w:rPr>
        <w:t>NEO</w:t>
      </w:r>
      <w:r w:rsidRPr="00CC38FB">
        <w:t xml:space="preserve"> </w:t>
      </w:r>
      <w:r>
        <w:t xml:space="preserve">и короткую позицию </w:t>
      </w:r>
      <w:r>
        <w:rPr>
          <w:lang w:val="en-US"/>
        </w:rPr>
        <w:t>NEO</w:t>
      </w:r>
      <w:r w:rsidRPr="00A77AAE">
        <w:t>/</w:t>
      </w:r>
      <w:r>
        <w:rPr>
          <w:lang w:val="en-US"/>
        </w:rPr>
        <w:t>BTC</w:t>
      </w:r>
      <w:r>
        <w:t>.</w:t>
      </w:r>
    </w:p>
    <w:p w:rsidR="00680EEF" w:rsidRDefault="00680EEF">
      <w:r>
        <w:br w:type="page"/>
      </w:r>
    </w:p>
    <w:p w:rsidR="00CC1571" w:rsidRPr="00814FD9" w:rsidRDefault="00680EEF" w:rsidP="003F0554">
      <w:pPr>
        <w:pStyle w:val="1"/>
      </w:pPr>
      <w:bookmarkStart w:id="2" w:name="_Toc505088232"/>
      <w:r>
        <w:lastRenderedPageBreak/>
        <w:t>Условие масштабирования</w:t>
      </w:r>
      <w:bookmarkEnd w:id="2"/>
    </w:p>
    <w:p w:rsidR="008C0EA4" w:rsidRPr="00364656" w:rsidRDefault="008C0EA4" w:rsidP="00CC1571"/>
    <w:p w:rsidR="00680EEF" w:rsidRDefault="00680EEF" w:rsidP="00814FD9">
      <w:pPr>
        <w:jc w:val="both"/>
      </w:pPr>
      <w:r>
        <w:t>В случае если стратегия открыла сделку по условию, а спред продолжает увеличиваться, необходимо увеличивать позицию для увеличения заработка.</w:t>
      </w:r>
    </w:p>
    <w:p w:rsidR="00680EEF" w:rsidRPr="009D79A5" w:rsidRDefault="00680EEF" w:rsidP="00814FD9">
      <w:pPr>
        <w:jc w:val="both"/>
        <w:rPr>
          <w:u w:val="single"/>
        </w:rPr>
      </w:pPr>
      <w:r w:rsidRPr="009D79A5">
        <w:rPr>
          <w:u w:val="single"/>
        </w:rPr>
        <w:t>Условие масштабирования для сделки 1:</w:t>
      </w:r>
    </w:p>
    <w:p w:rsidR="00680EEF" w:rsidRPr="009D79A5" w:rsidRDefault="00C83F1F" w:rsidP="00814FD9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NEO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enty</m:t>
              </m:r>
            </m:sub>
          </m:sSub>
          <m:r>
            <w:rPr>
              <w:rFonts w:ascii="Cambria Math" w:hAnsi="Cambria Math"/>
            </w:rPr>
            <m:t>*Scaling</m:t>
          </m:r>
        </m:oMath>
      </m:oMathPara>
    </w:p>
    <w:p w:rsidR="009D79A5" w:rsidRDefault="009D79A5" w:rsidP="00814FD9">
      <w:pPr>
        <w:jc w:val="both"/>
      </w:pPr>
      <w:r>
        <w:t xml:space="preserve">И запоминаем размер спреда на момент масштабирования: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entry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NEO</m:t>
            </m:r>
          </m:sub>
        </m:sSub>
      </m:oMath>
    </w:p>
    <w:p w:rsidR="009D79A5" w:rsidRDefault="009D79A5" w:rsidP="009D79A5">
      <w:pPr>
        <w:ind w:left="-567" w:firstLine="567"/>
      </w:pPr>
      <w:r>
        <w:t>Размер позиции в обоих случаях одинаковый в долларовом эквиваленте и равняется.</w:t>
      </w:r>
    </w:p>
    <w:p w:rsidR="009D79A5" w:rsidRPr="00A77AAE" w:rsidRDefault="009D79A5" w:rsidP="009D79A5">
      <w:pPr>
        <w:ind w:left="-567" w:firstLine="567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Размер_позиции</m:t>
          </m:r>
          <m:r>
            <w:rPr>
              <w:rFonts w:ascii="Cambria Math" w:hAnsi="Cambria Math"/>
              <w:lang w:val="en-US"/>
            </w:rPr>
            <m:t>_USD=Share_scaling*balance_available</m:t>
          </m:r>
        </m:oMath>
      </m:oMathPara>
    </w:p>
    <w:p w:rsidR="009D79A5" w:rsidRDefault="009D79A5" w:rsidP="009D79A5">
      <w:r>
        <w:t xml:space="preserve">Только если в случае с парой </w:t>
      </w:r>
      <w:r>
        <w:rPr>
          <w:lang w:val="en-US"/>
        </w:rPr>
        <w:t>USD</w:t>
      </w:r>
      <w:r w:rsidRPr="00A77AAE">
        <w:t>/</w:t>
      </w:r>
      <w:r>
        <w:rPr>
          <w:lang w:val="en-US"/>
        </w:rPr>
        <w:t>NEO</w:t>
      </w:r>
      <w:r w:rsidRPr="00A77AAE">
        <w:t xml:space="preserve"> </w:t>
      </w:r>
      <w:r>
        <w:t xml:space="preserve">никаких дополнительных операций делать не надо, то для пары </w:t>
      </w:r>
      <w:r>
        <w:rPr>
          <w:lang w:val="en-US"/>
        </w:rPr>
        <w:t>NEO</w:t>
      </w:r>
      <w:r w:rsidRPr="00A77AAE">
        <w:t>/</w:t>
      </w:r>
      <w:r>
        <w:rPr>
          <w:lang w:val="en-US"/>
        </w:rPr>
        <w:t>BTC</w:t>
      </w:r>
      <w:r w:rsidRPr="00A77AAE">
        <w:t xml:space="preserve"> </w:t>
      </w:r>
      <w:r>
        <w:t xml:space="preserve">необходимо высчитать размер позиции в </w:t>
      </w:r>
      <w:proofErr w:type="spellStart"/>
      <w:r>
        <w:t>биткоинах</w:t>
      </w:r>
      <w:proofErr w:type="spellEnd"/>
      <w:r>
        <w:t>.</w:t>
      </w:r>
    </w:p>
    <w:p w:rsidR="009D79A5" w:rsidRPr="00A77AAE" w:rsidRDefault="009D79A5" w:rsidP="009D79A5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Размер_позиции_</m:t>
          </m:r>
          <m:r>
            <w:rPr>
              <w:rFonts w:ascii="Cambria Math" w:hAnsi="Cambria Math"/>
              <w:lang w:val="en-US"/>
            </w:rPr>
            <m:t>BTC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Размер_позиции_</m:t>
              </m:r>
              <m:r>
                <w:rPr>
                  <w:rFonts w:ascii="Cambria Math" w:hAnsi="Cambria Math"/>
                  <w:lang w:val="en-US"/>
                </w:rPr>
                <m:t>USD</m:t>
              </m:r>
            </m:num>
            <m:den>
              <m:r>
                <w:rPr>
                  <w:rFonts w:ascii="Cambria Math" w:hAnsi="Cambria Math"/>
                  <w:lang w:val="en-US"/>
                </w:rPr>
                <m:t>BTC</m:t>
              </m:r>
              <m:r>
                <w:rPr>
                  <w:rFonts w:ascii="Cambria Math" w:hAnsi="Cambria Math"/>
                </w:rPr>
                <m:t>/</m:t>
              </m:r>
              <m:r>
                <w:rPr>
                  <w:rFonts w:ascii="Cambria Math" w:hAnsi="Cambria Math"/>
                  <w:lang w:val="en-US"/>
                </w:rPr>
                <m:t>US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den>
          </m:f>
        </m:oMath>
      </m:oMathPara>
    </w:p>
    <w:p w:rsidR="00176052" w:rsidRDefault="00176052" w:rsidP="009D79A5">
      <w:pPr>
        <w:jc w:val="both"/>
        <w:rPr>
          <w:u w:val="single"/>
        </w:rPr>
      </w:pPr>
    </w:p>
    <w:p w:rsidR="009D79A5" w:rsidRPr="009D79A5" w:rsidRDefault="009D79A5" w:rsidP="009D79A5">
      <w:pPr>
        <w:jc w:val="both"/>
        <w:rPr>
          <w:u w:val="single"/>
        </w:rPr>
      </w:pPr>
      <w:r w:rsidRPr="009D79A5">
        <w:rPr>
          <w:u w:val="single"/>
        </w:rPr>
        <w:t xml:space="preserve">Условие масштабирования </w:t>
      </w:r>
      <w:r>
        <w:rPr>
          <w:u w:val="single"/>
        </w:rPr>
        <w:t>для сделки 2</w:t>
      </w:r>
      <w:r w:rsidRPr="009D79A5">
        <w:rPr>
          <w:u w:val="single"/>
        </w:rPr>
        <w:t>:</w:t>
      </w:r>
    </w:p>
    <w:p w:rsidR="009D79A5" w:rsidRPr="009D79A5" w:rsidRDefault="00C83F1F" w:rsidP="009D79A5">
      <w:pPr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NEO</m:t>
              </m:r>
            </m:sub>
          </m:sSub>
          <m:r>
            <w:rPr>
              <w:rFonts w:ascii="Cambria Math" w:hAnsi="Cambria Math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enty</m:t>
              </m:r>
            </m:sub>
          </m:sSub>
          <m:r>
            <w:rPr>
              <w:rFonts w:ascii="Cambria Math" w:hAnsi="Cambria Math"/>
            </w:rPr>
            <m:t>*Scaling</m:t>
          </m:r>
        </m:oMath>
      </m:oMathPara>
    </w:p>
    <w:p w:rsidR="009D79A5" w:rsidRDefault="009D79A5" w:rsidP="009D79A5">
      <w:pPr>
        <w:jc w:val="both"/>
      </w:pPr>
      <w:r>
        <w:t xml:space="preserve">И запоминаем размер спреда на момент масштабирования: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entry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NEO</m:t>
            </m:r>
          </m:sub>
        </m:sSub>
      </m:oMath>
    </w:p>
    <w:p w:rsidR="009D79A5" w:rsidRPr="009D79A5" w:rsidRDefault="009D79A5" w:rsidP="00814FD9">
      <w:pPr>
        <w:jc w:val="both"/>
      </w:pPr>
    </w:p>
    <w:p w:rsidR="00CF4BD7" w:rsidRDefault="00CF4BD7">
      <w:r>
        <w:br w:type="page"/>
      </w:r>
    </w:p>
    <w:p w:rsidR="00CF4BD7" w:rsidRPr="00814FD9" w:rsidRDefault="000B3AA7" w:rsidP="00CF4BD7">
      <w:pPr>
        <w:pStyle w:val="1"/>
      </w:pPr>
      <w:bookmarkStart w:id="3" w:name="_Toc505088233"/>
      <w:r>
        <w:lastRenderedPageBreak/>
        <w:t>Значения параметров стратегии</w:t>
      </w:r>
      <w:bookmarkEnd w:id="3"/>
    </w:p>
    <w:p w:rsidR="005F6B5F" w:rsidRDefault="005F6B5F" w:rsidP="005F6B5F"/>
    <w:p w:rsidR="000B3AA7" w:rsidRPr="000B3AA7" w:rsidRDefault="000B3AA7" w:rsidP="000B3AA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High_bound=3.0</m:t>
          </m:r>
        </m:oMath>
      </m:oMathPara>
    </w:p>
    <w:p w:rsidR="000B3AA7" w:rsidRPr="000B3AA7" w:rsidRDefault="000B3AA7" w:rsidP="000B3AA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Hi</m:t>
          </m:r>
          <m:r>
            <w:rPr>
              <w:rFonts w:ascii="Cambria Math" w:hAnsi="Cambria Math"/>
              <w:lang w:val="en-US"/>
            </w:rPr>
            <m:t>gh_normal</m:t>
          </m:r>
          <m:r>
            <w:rPr>
              <w:rFonts w:ascii="Cambria Math" w:hAnsi="Cambria Math"/>
            </w:rPr>
            <m:t>=1.0</m:t>
          </m:r>
        </m:oMath>
      </m:oMathPara>
    </w:p>
    <w:p w:rsidR="000B3AA7" w:rsidRPr="000B3AA7" w:rsidRDefault="000B3AA7" w:rsidP="000B3AA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Low_bound=-3.0</m:t>
          </m:r>
        </m:oMath>
      </m:oMathPara>
    </w:p>
    <w:p w:rsidR="000B3AA7" w:rsidRPr="000B3AA7" w:rsidRDefault="000B3AA7" w:rsidP="000B3AA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Low_normal=-1.0</m:t>
          </m:r>
        </m:oMath>
      </m:oMathPara>
    </w:p>
    <w:p w:rsidR="000B3AA7" w:rsidRPr="000B3AA7" w:rsidRDefault="000B3AA7" w:rsidP="000B3AA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Share_entry=10%</m:t>
          </m:r>
        </m:oMath>
      </m:oMathPara>
    </w:p>
    <w:p w:rsidR="000B3AA7" w:rsidRPr="000B3AA7" w:rsidRDefault="000B3AA7" w:rsidP="000B3AA7">
      <w:pPr>
        <w:jc w:val="bot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Share_scaling=30%</m:t>
          </m:r>
        </m:oMath>
      </m:oMathPara>
    </w:p>
    <w:p w:rsidR="000B3AA7" w:rsidRPr="000B3AA7" w:rsidRDefault="000B3AA7" w:rsidP="000B3AA7">
      <w:pPr>
        <w:jc w:val="both"/>
        <w:rPr>
          <w:rFonts w:eastAsiaTheme="minorHAns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Scaling=1.1</m:t>
          </m:r>
        </m:oMath>
      </m:oMathPara>
    </w:p>
    <w:p w:rsidR="000B3AA7" w:rsidRDefault="000B3AA7" w:rsidP="005F6B5F"/>
    <w:p w:rsidR="000B3AA7" w:rsidRPr="00814FD9" w:rsidRDefault="000B3AA7" w:rsidP="000B3AA7">
      <w:pPr>
        <w:pStyle w:val="1"/>
      </w:pPr>
      <w:bookmarkStart w:id="4" w:name="_Toc505088234"/>
      <w:r>
        <w:t xml:space="preserve">Пример логов по результатам </w:t>
      </w:r>
      <w:r w:rsidR="00742E12">
        <w:t>одной сделки</w:t>
      </w:r>
      <w:bookmarkEnd w:id="4"/>
    </w:p>
    <w:p w:rsidR="000B3AA7" w:rsidRDefault="000B3AA7" w:rsidP="000B3AA7"/>
    <w:p w:rsidR="000B3AA7" w:rsidRDefault="000B3AA7" w:rsidP="000B3AA7">
      <w:r>
        <w:rPr>
          <w:noProof/>
          <w:lang w:eastAsia="ru-RU"/>
        </w:rPr>
        <w:drawing>
          <wp:inline distT="0" distB="0" distL="0" distR="0" wp14:anchorId="65745688" wp14:editId="3B288B61">
            <wp:extent cx="5940425" cy="15881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AA7" w:rsidRDefault="00742E12" w:rsidP="005F6B5F">
      <w:r>
        <w:t>Расшифровка логов:</w:t>
      </w:r>
    </w:p>
    <w:p w:rsidR="00742E12" w:rsidRDefault="00742E12" w:rsidP="00742E12">
      <w:pPr>
        <w:pStyle w:val="a3"/>
        <w:numPr>
          <w:ilvl w:val="0"/>
          <w:numId w:val="9"/>
        </w:numPr>
      </w:pPr>
      <w:r>
        <w:t xml:space="preserve">2017-12-22 15:28:48 спред достиг значения -3.04, что является условием входа в сделку 2. </w:t>
      </w:r>
      <w:r>
        <w:rPr>
          <w:lang w:val="en-US"/>
        </w:rPr>
        <w:t>Balance</w:t>
      </w:r>
      <w:r w:rsidRPr="00742E12">
        <w:t>_</w:t>
      </w:r>
      <w:r>
        <w:rPr>
          <w:lang w:val="en-US"/>
        </w:rPr>
        <w:t>available</w:t>
      </w:r>
      <w:r w:rsidRPr="00742E12">
        <w:t xml:space="preserve"> </w:t>
      </w:r>
      <w:r>
        <w:t>в этот момент равен 92146.60</w:t>
      </w:r>
      <w:r w:rsidRPr="00742E12">
        <w:t>$</w:t>
      </w:r>
      <w:r>
        <w:t xml:space="preserve">, а размер позиции </w:t>
      </w:r>
      <w:r w:rsidRPr="00742E12">
        <w:t>9214.66$</w:t>
      </w:r>
      <w:r>
        <w:t xml:space="preserve">. Открываем короткую позицию по </w:t>
      </w:r>
      <w:r>
        <w:rPr>
          <w:lang w:val="en-US"/>
        </w:rPr>
        <w:t>NEO</w:t>
      </w:r>
      <w:r w:rsidRPr="00742E12">
        <w:t>/</w:t>
      </w:r>
      <w:r>
        <w:rPr>
          <w:lang w:val="en-US"/>
        </w:rPr>
        <w:t>BTC</w:t>
      </w:r>
      <w:r>
        <w:t xml:space="preserve"> и длинную по </w:t>
      </w:r>
      <w:r>
        <w:rPr>
          <w:lang w:val="en-US"/>
        </w:rPr>
        <w:t>NEO</w:t>
      </w:r>
      <w:r w:rsidRPr="00742E12">
        <w:t>/</w:t>
      </w:r>
      <w:r>
        <w:rPr>
          <w:lang w:val="en-US"/>
        </w:rPr>
        <w:t>USD</w:t>
      </w:r>
      <w:r w:rsidRPr="00742E12">
        <w:t xml:space="preserve">. </w:t>
      </w:r>
      <w:proofErr w:type="spellStart"/>
      <w:r>
        <w:rPr>
          <w:lang w:val="en-US"/>
        </w:rPr>
        <w:t>Balance_available</w:t>
      </w:r>
      <w:proofErr w:type="spellEnd"/>
      <w:r>
        <w:rPr>
          <w:lang w:val="en-US"/>
        </w:rPr>
        <w:t xml:space="preserve"> </w:t>
      </w:r>
      <w:r>
        <w:t xml:space="preserve">уменьшился на значение </w:t>
      </w:r>
      <w:proofErr w:type="spellStart"/>
      <w:r>
        <w:rPr>
          <w:lang w:val="en-US"/>
        </w:rPr>
        <w:t>balance_used</w:t>
      </w:r>
      <w:proofErr w:type="spellEnd"/>
      <w:r>
        <w:t>.</w:t>
      </w:r>
    </w:p>
    <w:p w:rsidR="00742E12" w:rsidRDefault="00742E12" w:rsidP="00742E12">
      <w:pPr>
        <w:pStyle w:val="a3"/>
        <w:numPr>
          <w:ilvl w:val="0"/>
          <w:numId w:val="9"/>
        </w:numPr>
      </w:pPr>
      <w:r>
        <w:t>2017-12-22 15:28:49 спред увеличился и достиг значение -5.12, что является дополнительным условием масштабирования. Увеличиваем позицию по обеим парам на сумму 22093.07.</w:t>
      </w:r>
    </w:p>
    <w:p w:rsidR="00742E12" w:rsidRDefault="00742E12" w:rsidP="00742E12">
      <w:pPr>
        <w:pStyle w:val="a3"/>
        <w:numPr>
          <w:ilvl w:val="0"/>
          <w:numId w:val="9"/>
        </w:numPr>
      </w:pPr>
      <w:r>
        <w:t xml:space="preserve">2017-12-22 15:29:37 спред уменьшился до -0.12, что стало условием выхода из сделки. Полностью закрываем обе открытые позиции и считаем </w:t>
      </w:r>
      <w:r>
        <w:rPr>
          <w:lang w:val="en-US"/>
        </w:rPr>
        <w:t>Profit/Loss</w:t>
      </w:r>
      <w:r>
        <w:t>.</w:t>
      </w:r>
    </w:p>
    <w:p w:rsidR="0060437C" w:rsidRDefault="0060437C">
      <w:r>
        <w:br w:type="page"/>
      </w:r>
    </w:p>
    <w:p w:rsidR="00D8730B" w:rsidRDefault="00D8730B" w:rsidP="00D8730B"/>
    <w:p w:rsidR="00D8730B" w:rsidRPr="00814FD9" w:rsidRDefault="0060437C" w:rsidP="00D8730B">
      <w:pPr>
        <w:pStyle w:val="1"/>
      </w:pPr>
      <w:bookmarkStart w:id="5" w:name="_Toc505088235"/>
      <w:r>
        <w:t>Дополнительные параметры</w:t>
      </w:r>
      <w:bookmarkEnd w:id="5"/>
    </w:p>
    <w:p w:rsidR="00D8730B" w:rsidRDefault="00D8730B" w:rsidP="00D8730B"/>
    <w:p w:rsidR="00D8730B" w:rsidRDefault="00D8730B" w:rsidP="00D8730B">
      <w:r>
        <w:t xml:space="preserve">Минимальный размер ордера </w:t>
      </w:r>
      <w:r>
        <w:rPr>
          <w:lang w:val="en-US"/>
        </w:rPr>
        <w:t>NEO</w:t>
      </w:r>
      <w:r w:rsidRPr="00D8730B">
        <w:t>/</w:t>
      </w:r>
      <w:r>
        <w:rPr>
          <w:lang w:val="en-US"/>
        </w:rPr>
        <w:t>USD</w:t>
      </w:r>
      <w:r w:rsidRPr="00D8730B">
        <w:t xml:space="preserve"> = 0.2</w:t>
      </w:r>
    </w:p>
    <w:p w:rsidR="005B094F" w:rsidRPr="0060437C" w:rsidRDefault="005B094F" w:rsidP="00D8730B">
      <w:r>
        <w:t xml:space="preserve">Минимальный размер ордера </w:t>
      </w:r>
      <w:r>
        <w:rPr>
          <w:lang w:val="en-US"/>
        </w:rPr>
        <w:t>NEO</w:t>
      </w:r>
      <w:r w:rsidRPr="00D8730B">
        <w:t>/</w:t>
      </w:r>
      <w:r>
        <w:rPr>
          <w:lang w:val="en-US"/>
        </w:rPr>
        <w:t>BTC</w:t>
      </w:r>
      <w:r w:rsidRPr="00D8730B">
        <w:t xml:space="preserve"> = 0.</w:t>
      </w:r>
      <w:r w:rsidRPr="0060437C">
        <w:t>2</w:t>
      </w:r>
      <w:bookmarkStart w:id="6" w:name="_GoBack"/>
      <w:bookmarkEnd w:id="6"/>
    </w:p>
    <w:sectPr w:rsidR="005B094F" w:rsidRPr="0060437C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F1F" w:rsidRDefault="00C83F1F" w:rsidP="000542F0">
      <w:pPr>
        <w:spacing w:after="0" w:line="240" w:lineRule="auto"/>
      </w:pPr>
      <w:r>
        <w:separator/>
      </w:r>
    </w:p>
  </w:endnote>
  <w:endnote w:type="continuationSeparator" w:id="0">
    <w:p w:rsidR="00C83F1F" w:rsidRDefault="00C83F1F" w:rsidP="00054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33687970"/>
      <w:docPartObj>
        <w:docPartGallery w:val="Page Numbers (Bottom of Page)"/>
        <w:docPartUnique/>
      </w:docPartObj>
    </w:sdtPr>
    <w:sdtEndPr/>
    <w:sdtContent>
      <w:p w:rsidR="002D04AF" w:rsidRDefault="002D04AF">
        <w:pPr>
          <w:pStyle w:val="af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437C">
          <w:rPr>
            <w:noProof/>
          </w:rPr>
          <w:t>7</w:t>
        </w:r>
        <w:r>
          <w:fldChar w:fldCharType="end"/>
        </w:r>
      </w:p>
    </w:sdtContent>
  </w:sdt>
  <w:p w:rsidR="002D04AF" w:rsidRDefault="002D04AF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F1F" w:rsidRDefault="00C83F1F" w:rsidP="000542F0">
      <w:pPr>
        <w:spacing w:after="0" w:line="240" w:lineRule="auto"/>
      </w:pPr>
      <w:r>
        <w:separator/>
      </w:r>
    </w:p>
  </w:footnote>
  <w:footnote w:type="continuationSeparator" w:id="0">
    <w:p w:rsidR="00C83F1F" w:rsidRDefault="00C83F1F" w:rsidP="00054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6AB0"/>
    <w:multiLevelType w:val="hybridMultilevel"/>
    <w:tmpl w:val="B47465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B7046"/>
    <w:multiLevelType w:val="hybridMultilevel"/>
    <w:tmpl w:val="BC6612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EA417D"/>
    <w:multiLevelType w:val="multilevel"/>
    <w:tmpl w:val="377271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7782DB0"/>
    <w:multiLevelType w:val="hybridMultilevel"/>
    <w:tmpl w:val="A38E25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C13FE"/>
    <w:multiLevelType w:val="hybridMultilevel"/>
    <w:tmpl w:val="05665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803F44"/>
    <w:multiLevelType w:val="hybridMultilevel"/>
    <w:tmpl w:val="056655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943A6"/>
    <w:multiLevelType w:val="hybridMultilevel"/>
    <w:tmpl w:val="5F2EE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663140"/>
    <w:multiLevelType w:val="multilevel"/>
    <w:tmpl w:val="480A04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D1D18D4"/>
    <w:multiLevelType w:val="hybridMultilevel"/>
    <w:tmpl w:val="149C1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B3"/>
    <w:rsid w:val="00046717"/>
    <w:rsid w:val="000542F0"/>
    <w:rsid w:val="00063554"/>
    <w:rsid w:val="000928CF"/>
    <w:rsid w:val="000B3AA7"/>
    <w:rsid w:val="000E5679"/>
    <w:rsid w:val="00100B33"/>
    <w:rsid w:val="00105C34"/>
    <w:rsid w:val="00170D20"/>
    <w:rsid w:val="00174CEC"/>
    <w:rsid w:val="00176052"/>
    <w:rsid w:val="001765FD"/>
    <w:rsid w:val="001A5731"/>
    <w:rsid w:val="00200E61"/>
    <w:rsid w:val="00251B98"/>
    <w:rsid w:val="002615FD"/>
    <w:rsid w:val="0028774E"/>
    <w:rsid w:val="002D04AF"/>
    <w:rsid w:val="002F70E3"/>
    <w:rsid w:val="00357A95"/>
    <w:rsid w:val="00364656"/>
    <w:rsid w:val="00382BE1"/>
    <w:rsid w:val="003B63B7"/>
    <w:rsid w:val="003C7D09"/>
    <w:rsid w:val="003F0554"/>
    <w:rsid w:val="0042363D"/>
    <w:rsid w:val="00431C5F"/>
    <w:rsid w:val="00442D73"/>
    <w:rsid w:val="0051682A"/>
    <w:rsid w:val="00567076"/>
    <w:rsid w:val="005B094F"/>
    <w:rsid w:val="005B0CC3"/>
    <w:rsid w:val="005C7086"/>
    <w:rsid w:val="005F6B5F"/>
    <w:rsid w:val="0060437C"/>
    <w:rsid w:val="00611A55"/>
    <w:rsid w:val="00680EEF"/>
    <w:rsid w:val="006E6ECE"/>
    <w:rsid w:val="00742E12"/>
    <w:rsid w:val="00751AF6"/>
    <w:rsid w:val="0076328C"/>
    <w:rsid w:val="007A5C6E"/>
    <w:rsid w:val="007F04EF"/>
    <w:rsid w:val="00814FD9"/>
    <w:rsid w:val="008315B5"/>
    <w:rsid w:val="00850DF3"/>
    <w:rsid w:val="008C0EA4"/>
    <w:rsid w:val="008D0C4B"/>
    <w:rsid w:val="008F3DD1"/>
    <w:rsid w:val="00956138"/>
    <w:rsid w:val="0099046E"/>
    <w:rsid w:val="0099508D"/>
    <w:rsid w:val="009A464D"/>
    <w:rsid w:val="009D79A5"/>
    <w:rsid w:val="00A2111C"/>
    <w:rsid w:val="00A27AA7"/>
    <w:rsid w:val="00A66AB3"/>
    <w:rsid w:val="00A77AAE"/>
    <w:rsid w:val="00AC30D7"/>
    <w:rsid w:val="00AC63B1"/>
    <w:rsid w:val="00AF760E"/>
    <w:rsid w:val="00B37702"/>
    <w:rsid w:val="00B439C2"/>
    <w:rsid w:val="00B45553"/>
    <w:rsid w:val="00BA723D"/>
    <w:rsid w:val="00BC4B36"/>
    <w:rsid w:val="00C5683F"/>
    <w:rsid w:val="00C60A9F"/>
    <w:rsid w:val="00C70020"/>
    <w:rsid w:val="00C8193A"/>
    <w:rsid w:val="00C83F1F"/>
    <w:rsid w:val="00CC1571"/>
    <w:rsid w:val="00CC38FB"/>
    <w:rsid w:val="00CF4BD7"/>
    <w:rsid w:val="00CF4FE9"/>
    <w:rsid w:val="00D75674"/>
    <w:rsid w:val="00D8730B"/>
    <w:rsid w:val="00D876E8"/>
    <w:rsid w:val="00DA0598"/>
    <w:rsid w:val="00DB738D"/>
    <w:rsid w:val="00E03DF0"/>
    <w:rsid w:val="00E8174B"/>
    <w:rsid w:val="00E84C39"/>
    <w:rsid w:val="00EB6BDD"/>
    <w:rsid w:val="00F30EB9"/>
    <w:rsid w:val="00F33C6B"/>
    <w:rsid w:val="00F66E02"/>
    <w:rsid w:val="00FF2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6313"/>
  <w15:chartTrackingRefBased/>
  <w15:docId w15:val="{CD48B9ED-6E19-401D-8C37-48C078DD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42F0"/>
  </w:style>
  <w:style w:type="paragraph" w:styleId="1">
    <w:name w:val="heading 1"/>
    <w:basedOn w:val="a"/>
    <w:next w:val="a"/>
    <w:link w:val="10"/>
    <w:uiPriority w:val="9"/>
    <w:qFormat/>
    <w:rsid w:val="00AC63B1"/>
    <w:pPr>
      <w:keepNext/>
      <w:keepLines/>
      <w:pBdr>
        <w:bottom w:val="single" w:sz="4" w:space="2" w:color="000000" w:themeColor="text1"/>
      </w:pBdr>
      <w:spacing w:before="360" w:after="120" w:line="240" w:lineRule="auto"/>
      <w:jc w:val="center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42F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42F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2D7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C63B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a4">
    <w:name w:val="TOC Heading"/>
    <w:basedOn w:val="1"/>
    <w:next w:val="a"/>
    <w:uiPriority w:val="39"/>
    <w:unhideWhenUsed/>
    <w:qFormat/>
    <w:rsid w:val="000542F0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0542F0"/>
    <w:pPr>
      <w:spacing w:after="100"/>
      <w:ind w:left="220"/>
    </w:pPr>
    <w:rPr>
      <w:rFonts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C7D09"/>
    <w:pPr>
      <w:tabs>
        <w:tab w:val="right" w:leader="dot" w:pos="9345"/>
      </w:tabs>
      <w:spacing w:after="100"/>
    </w:pPr>
    <w:rPr>
      <w:rFonts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542F0"/>
    <w:pPr>
      <w:spacing w:after="100"/>
      <w:ind w:left="440"/>
    </w:pPr>
    <w:rPr>
      <w:rFonts w:cs="Times New Roman"/>
      <w:lang w:eastAsia="ru-RU"/>
    </w:rPr>
  </w:style>
  <w:style w:type="paragraph" w:styleId="a5">
    <w:name w:val="endnote text"/>
    <w:basedOn w:val="a"/>
    <w:link w:val="a6"/>
    <w:uiPriority w:val="99"/>
    <w:semiHidden/>
    <w:unhideWhenUsed/>
    <w:rsid w:val="000542F0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0542F0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0542F0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semiHidden/>
    <w:rsid w:val="000542F0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semiHidden/>
    <w:rsid w:val="000542F0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0542F0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542F0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0542F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0542F0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0542F0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0542F0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8">
    <w:name w:val="caption"/>
    <w:basedOn w:val="a"/>
    <w:next w:val="a"/>
    <w:uiPriority w:val="35"/>
    <w:semiHidden/>
    <w:unhideWhenUsed/>
    <w:qFormat/>
    <w:rsid w:val="000542F0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0542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aa">
    <w:name w:val="Заголовок Знак"/>
    <w:basedOn w:val="a0"/>
    <w:link w:val="a9"/>
    <w:uiPriority w:val="10"/>
    <w:rsid w:val="000542F0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b">
    <w:name w:val="Subtitle"/>
    <w:basedOn w:val="a"/>
    <w:next w:val="a"/>
    <w:link w:val="ac"/>
    <w:uiPriority w:val="11"/>
    <w:qFormat/>
    <w:rsid w:val="000542F0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ac">
    <w:name w:val="Подзаголовок Знак"/>
    <w:basedOn w:val="a0"/>
    <w:link w:val="ab"/>
    <w:uiPriority w:val="11"/>
    <w:rsid w:val="000542F0"/>
    <w:rPr>
      <w:caps/>
      <w:color w:val="404040" w:themeColor="text1" w:themeTint="BF"/>
      <w:spacing w:val="20"/>
      <w:sz w:val="28"/>
      <w:szCs w:val="28"/>
    </w:rPr>
  </w:style>
  <w:style w:type="character" w:styleId="ad">
    <w:name w:val="Strong"/>
    <w:basedOn w:val="a0"/>
    <w:uiPriority w:val="22"/>
    <w:qFormat/>
    <w:rsid w:val="000542F0"/>
    <w:rPr>
      <w:b/>
      <w:bCs/>
    </w:rPr>
  </w:style>
  <w:style w:type="character" w:styleId="ae">
    <w:name w:val="Emphasis"/>
    <w:basedOn w:val="a0"/>
    <w:uiPriority w:val="20"/>
    <w:qFormat/>
    <w:rsid w:val="000542F0"/>
    <w:rPr>
      <w:i/>
      <w:iCs/>
      <w:color w:val="000000" w:themeColor="text1"/>
    </w:rPr>
  </w:style>
  <w:style w:type="paragraph" w:styleId="af">
    <w:name w:val="No Spacing"/>
    <w:uiPriority w:val="1"/>
    <w:qFormat/>
    <w:rsid w:val="000542F0"/>
    <w:pPr>
      <w:spacing w:after="0" w:line="240" w:lineRule="auto"/>
    </w:pPr>
  </w:style>
  <w:style w:type="paragraph" w:styleId="22">
    <w:name w:val="Quote"/>
    <w:basedOn w:val="a"/>
    <w:next w:val="a"/>
    <w:link w:val="23"/>
    <w:uiPriority w:val="29"/>
    <w:qFormat/>
    <w:rsid w:val="000542F0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23">
    <w:name w:val="Цитата 2 Знак"/>
    <w:basedOn w:val="a0"/>
    <w:link w:val="22"/>
    <w:uiPriority w:val="29"/>
    <w:rsid w:val="000542F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0542F0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1">
    <w:name w:val="Выделенная цитата Знак"/>
    <w:basedOn w:val="a0"/>
    <w:link w:val="af0"/>
    <w:uiPriority w:val="30"/>
    <w:rsid w:val="000542F0"/>
    <w:rPr>
      <w:rFonts w:asciiTheme="majorHAnsi" w:eastAsiaTheme="majorEastAsia" w:hAnsiTheme="majorHAnsi" w:cstheme="majorBidi"/>
      <w:sz w:val="24"/>
      <w:szCs w:val="24"/>
    </w:rPr>
  </w:style>
  <w:style w:type="character" w:styleId="af2">
    <w:name w:val="Subtle Emphasis"/>
    <w:basedOn w:val="a0"/>
    <w:uiPriority w:val="19"/>
    <w:qFormat/>
    <w:rsid w:val="000542F0"/>
    <w:rPr>
      <w:i/>
      <w:iCs/>
      <w:color w:val="595959" w:themeColor="text1" w:themeTint="A6"/>
    </w:rPr>
  </w:style>
  <w:style w:type="character" w:styleId="af3">
    <w:name w:val="Intense Emphasis"/>
    <w:basedOn w:val="a0"/>
    <w:uiPriority w:val="21"/>
    <w:qFormat/>
    <w:rsid w:val="000542F0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4">
    <w:name w:val="Subtle Reference"/>
    <w:basedOn w:val="a0"/>
    <w:uiPriority w:val="31"/>
    <w:qFormat/>
    <w:rsid w:val="000542F0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5">
    <w:name w:val="Intense Reference"/>
    <w:basedOn w:val="a0"/>
    <w:uiPriority w:val="32"/>
    <w:qFormat/>
    <w:rsid w:val="000542F0"/>
    <w:rPr>
      <w:b/>
      <w:bCs/>
      <w:caps w:val="0"/>
      <w:smallCaps/>
      <w:color w:val="auto"/>
      <w:spacing w:val="0"/>
      <w:u w:val="single"/>
    </w:rPr>
  </w:style>
  <w:style w:type="character" w:styleId="af6">
    <w:name w:val="Book Title"/>
    <w:basedOn w:val="a0"/>
    <w:uiPriority w:val="33"/>
    <w:qFormat/>
    <w:rsid w:val="000542F0"/>
    <w:rPr>
      <w:b/>
      <w:bCs/>
      <w:caps w:val="0"/>
      <w:smallCaps/>
      <w:spacing w:val="0"/>
    </w:rPr>
  </w:style>
  <w:style w:type="character" w:styleId="af7">
    <w:name w:val="Hyperlink"/>
    <w:basedOn w:val="a0"/>
    <w:uiPriority w:val="99"/>
    <w:unhideWhenUsed/>
    <w:rsid w:val="005B0CC3"/>
    <w:rPr>
      <w:color w:val="0563C1" w:themeColor="hyperlink"/>
      <w:u w:val="single"/>
    </w:rPr>
  </w:style>
  <w:style w:type="paragraph" w:styleId="af8">
    <w:name w:val="header"/>
    <w:basedOn w:val="a"/>
    <w:link w:val="af9"/>
    <w:uiPriority w:val="99"/>
    <w:unhideWhenUsed/>
    <w:rsid w:val="00364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364656"/>
  </w:style>
  <w:style w:type="paragraph" w:styleId="afa">
    <w:name w:val="footer"/>
    <w:basedOn w:val="a"/>
    <w:link w:val="afb"/>
    <w:uiPriority w:val="99"/>
    <w:unhideWhenUsed/>
    <w:rsid w:val="003646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364656"/>
  </w:style>
  <w:style w:type="character" w:styleId="afc">
    <w:name w:val="FollowedHyperlink"/>
    <w:basedOn w:val="a0"/>
    <w:uiPriority w:val="99"/>
    <w:semiHidden/>
    <w:unhideWhenUsed/>
    <w:rsid w:val="00364656"/>
    <w:rPr>
      <w:color w:val="954F72" w:themeColor="followedHyperlink"/>
      <w:u w:val="single"/>
    </w:rPr>
  </w:style>
  <w:style w:type="character" w:styleId="afd">
    <w:name w:val="Placeholder Text"/>
    <w:basedOn w:val="a0"/>
    <w:uiPriority w:val="99"/>
    <w:semiHidden/>
    <w:rsid w:val="005F6B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96A0A-01DD-4263-B4B1-4A8E35A35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7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Degtiarov</dc:creator>
  <cp:keywords/>
  <dc:description/>
  <cp:lastModifiedBy>CryptoAlgoTrader</cp:lastModifiedBy>
  <cp:revision>41</cp:revision>
  <dcterms:created xsi:type="dcterms:W3CDTF">2016-10-12T19:16:00Z</dcterms:created>
  <dcterms:modified xsi:type="dcterms:W3CDTF">2018-01-30T13:08:00Z</dcterms:modified>
</cp:coreProperties>
</file>