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A5F"/>
          <w:sz w:val="56"/>
          <w:szCs w:val="56"/>
        </w:rPr>
        <w:t xml:space="preserve">Xtreme Books</w:t>
      </w:r>
    </w:p>
    <w:p>
      <w:pPr>
        <w:spacing w:before="160"/>
        <w:jc w:val="center"/>
      </w:pPr>
      <w:r>
        <w:rPr>
          <w:color w:val="2E6F5B"/>
          <w:sz w:val="28"/>
          <w:szCs w:val="28"/>
        </w:rPr>
        <w:t xml:space="preserve">Cloud Accounting, Bookkeeping &amp; E-Invoicing Platform</w:t>
      </w:r>
    </w:p>
    <w:p>
      <w:pPr>
        <w:spacing w:before="400"/>
        <w:jc w:val="center"/>
      </w:pPr>
      <w:r>
        <w:rPr>
          <w:b/>
          <w:bCs/>
          <w:sz w:val="24"/>
          <w:szCs w:val="24"/>
        </w:rPr>
        <w:t xml:space="preserve">Developer Brief &amp; Scope of Work</w:t>
      </w:r>
    </w:p>
    <w:p>
      <w:pPr>
        <w:spacing w:before="600"/>
        <w:jc w:val="center"/>
      </w:pPr>
      <w:r>
        <w:rPr>
          <w:b/>
          <w:bCs/>
          <w:color w:val="B00020"/>
          <w:sz w:val="20"/>
          <w:szCs w:val="20"/>
        </w:rPr>
        <w:t xml:space="preserve">CONFIDENTIAL: Prepared for prospective development partners</w:t>
      </w:r>
    </w:p>
    <w:p>
      <w:pPr>
        <w:spacing w:before="120"/>
        <w:jc w:val="center"/>
      </w:pPr>
      <w:r>
        <w:rPr>
          <w:color w:val="595959"/>
          <w:sz w:val="18"/>
          <w:szCs w:val="18"/>
        </w:rPr>
        <w:t xml:space="preserve">Version 1.0</w:t>
      </w:r>
    </w:p>
    <w:p>
      <w:r>
        <w:br w:type="page"/>
      </w:r>
    </w:p>
    <w:p>
      <w:pPr>
        <w:pStyle w:val="Heading1"/>
        <w:spacing w:after="160" w:before="320"/>
      </w:pPr>
      <w:r>
        <w:rPr>
          <w:b/>
          <w:bCs/>
          <w:color w:val="1F3A5F"/>
          <w:sz w:val="28"/>
          <w:szCs w:val="28"/>
        </w:rPr>
        <w:t xml:space="preserve">1. Project Overview</w:t>
      </w:r>
    </w:p>
    <w:p>
      <w:pPr>
        <w:spacing w:after="120"/>
      </w:pPr>
      <w:r>
        <w:rPr>
          <w:sz w:val="21"/>
          <w:szCs w:val="21"/>
        </w:rPr>
        <w:t xml:space="preserve">Xtreme Books is a cloud-based, multi-tenant accounting and financial operations platform for businesses operating in Nigeria. It is a Software-as-a-Service (SaaS) product: any company can sign up, onboard itself, and immediately begin managing its sales, purchases, expenses, payroll, inventory, and full double-entry bookkeeping, with built-in compliance for Nigerian tax law (VAT, PAYE, Withholding Tax) under the Nigeria Tax Administration Act 2025 (NTA 2025) and NRS (Nigeria Revenue Service) guidelines, including direct e-invoicing submission through NRS REV 360.</w:t>
      </w:r>
    </w:p>
    <w:p>
      <w:pPr>
        <w:spacing w:after="120"/>
      </w:pPr>
      <w:r>
        <w:rPr>
          <w:sz w:val="21"/>
          <w:szCs w:val="21"/>
        </w:rPr>
        <w:t xml:space="preserve">This document is the complete brief for a development partner to design, build, test, and deliver the platform described below.</w:t>
      </w:r>
    </w:p>
    <w:p>
      <w:pPr>
        <w:pStyle w:val="Heading1"/>
        <w:spacing w:after="160" w:before="320"/>
      </w:pPr>
      <w:r>
        <w:rPr>
          <w:b/>
          <w:bCs/>
          <w:color w:val="1F3A5F"/>
          <w:sz w:val="28"/>
          <w:szCs w:val="28"/>
        </w:rPr>
        <w:t xml:space="preserve">2. Objectives</w:t>
      </w:r>
    </w:p>
    <w:p>
      <w:pPr>
        <w:pStyle w:val="ListParagraph"/>
        <w:numPr>
          <w:ilvl w:val="0"/>
          <w:numId w:val="1"/>
        </w:numPr>
        <w:spacing w:after="60"/>
      </w:pPr>
      <w:r>
        <w:rPr>
          <w:sz w:val="21"/>
          <w:szCs w:val="21"/>
        </w:rPr>
        <w:t xml:space="preserve">Launch a self-service SaaS platform where any Nigerian business can register, verify its identity (CAC + TIN), and start using a full accounting system within minutes.</w:t>
      </w:r>
    </w:p>
    <w:p>
      <w:pPr>
        <w:pStyle w:val="ListParagraph"/>
        <w:numPr>
          <w:ilvl w:val="0"/>
          <w:numId w:val="1"/>
        </w:numPr>
        <w:spacing w:after="60"/>
      </w:pPr>
      <w:r>
        <w:rPr>
          <w:sz w:val="21"/>
          <w:szCs w:val="21"/>
        </w:rPr>
        <w:t xml:space="preserve">Provide complete double-entry bookkeeping under the hood, so every transaction automatically produces correct, auditable financial records, not just data entry.</w:t>
      </w:r>
    </w:p>
    <w:p>
      <w:pPr>
        <w:pStyle w:val="ListParagraph"/>
        <w:numPr>
          <w:ilvl w:val="0"/>
          <w:numId w:val="1"/>
        </w:numPr>
        <w:spacing w:after="60"/>
      </w:pPr>
      <w:r>
        <w:rPr>
          <w:sz w:val="21"/>
          <w:szCs w:val="21"/>
        </w:rPr>
        <w:t xml:space="preserve">Achieve compliance with NRS guidelines and the Nigeria Tax Administration Act 2025 (VAT, PAYE, Withholding Tax) out of the box, with tax rules configurable by an administrator as regulations evolve.</w:t>
      </w:r>
    </w:p>
    <w:p>
      <w:pPr>
        <w:pStyle w:val="ListParagraph"/>
        <w:numPr>
          <w:ilvl w:val="0"/>
          <w:numId w:val="1"/>
        </w:numPr>
        <w:spacing w:after="60"/>
      </w:pPr>
      <w:r>
        <w:rPr>
          <w:sz w:val="21"/>
          <w:szCs w:val="21"/>
        </w:rPr>
        <w:t xml:space="preserve">Provide direct integration with the NRS REV 360 e-invoicing system, so tenants can transmit compliant e-invoices to the tax authority directly from the platform, without a third-party intermediary.</w:t>
      </w:r>
    </w:p>
    <w:p>
      <w:pPr>
        <w:pStyle w:val="ListParagraph"/>
        <w:numPr>
          <w:ilvl w:val="0"/>
          <w:numId w:val="1"/>
        </w:numPr>
        <w:spacing w:after="60"/>
      </w:pPr>
      <w:r>
        <w:rPr>
          <w:sz w:val="21"/>
          <w:szCs w:val="21"/>
        </w:rPr>
        <w:t xml:space="preserve">Deliver a public marketing website with self-service signup, demo booking, pricing, and onboarding, plus a demo video and downloadable usage guides.</w:t>
      </w:r>
    </w:p>
    <w:p>
      <w:pPr>
        <w:pStyle w:val="ListParagraph"/>
        <w:numPr>
          <w:ilvl w:val="0"/>
          <w:numId w:val="1"/>
        </w:numPr>
        <w:spacing w:after="60"/>
      </w:pPr>
      <w:r>
        <w:rPr>
          <w:sz w:val="21"/>
          <w:szCs w:val="21"/>
        </w:rPr>
        <w:t xml:space="preserve">Use the Xtreme Cr8tivity brand as the single platform brand; tenants are customers on a shared platform, not white-labeled products.</w:t>
      </w:r>
    </w:p>
    <w:p>
      <w:pPr>
        <w:pStyle w:val="ListParagraph"/>
        <w:numPr>
          <w:ilvl w:val="0"/>
          <w:numId w:val="1"/>
        </w:numPr>
        <w:spacing w:after="60"/>
      </w:pPr>
      <w:r>
        <w:rPr>
          <w:sz w:val="21"/>
          <w:szCs w:val="21"/>
        </w:rPr>
        <w:t xml:space="preserve">Provide a super-admin control panel for the platform operator (Xtreme Cr8tivity) to oversee all tenant companies, verification status, subscriptions, and platform health.</w:t>
      </w:r>
    </w:p>
    <w:p>
      <w:pPr>
        <w:pStyle w:val="Heading1"/>
        <w:spacing w:after="160" w:before="320"/>
      </w:pPr>
      <w:r>
        <w:rPr>
          <w:b/>
          <w:bCs/>
          <w:color w:val="1F3A5F"/>
          <w:sz w:val="28"/>
          <w:szCs w:val="28"/>
        </w:rPr>
        <w:t xml:space="preserve">3. Case Studies / Reference Products</w:t>
      </w:r>
    </w:p>
    <w:p>
      <w:pPr>
        <w:spacing w:after="120"/>
      </w:pPr>
      <w:r>
        <w:rPr>
          <w:sz w:val="21"/>
          <w:szCs w:val="21"/>
        </w:rPr>
        <w:t xml:space="preserve">The developer should study the following products as reference points for expected feature depth, workflow design, and usability. These are benchmarks for quality and completeness, not templates to copy verbatim. Xtreme Books must be an original build with its own design, tailored specifically to Nigerian tax law and NRS e-invoicing (which neither of these products natively supports in the way this platform requires).</w:t>
      </w:r>
    </w:p>
    <w:p>
      <w:pPr>
        <w:pStyle w:val="ListParagraph"/>
        <w:numPr>
          <w:ilvl w:val="0"/>
          <w:numId w:val="1"/>
        </w:numPr>
        <w:spacing w:after="60"/>
      </w:pPr>
      <w:r>
        <w:rPr>
          <w:b/>
          <w:bCs/>
          <w:sz w:val="21"/>
          <w:szCs w:val="21"/>
        </w:rPr>
        <w:t xml:space="preserve">Zoho Books: </w:t>
      </w:r>
      <w:r>
        <w:rPr>
          <w:sz w:val="21"/>
          <w:szCs w:val="21"/>
        </w:rPr>
        <w:t xml:space="preserve">cloud accounting SaaS with strong multi-tenant SaaS UX, self-service onboarding, subscription billing, and a broad accounting feature set (invoicing, expenses, inventory, banking, reports).</w:t>
      </w:r>
    </w:p>
    <w:p>
      <w:pPr>
        <w:pStyle w:val="ListParagraph"/>
        <w:numPr>
          <w:ilvl w:val="0"/>
          <w:numId w:val="1"/>
        </w:numPr>
        <w:spacing w:after="60"/>
      </w:pPr>
      <w:r>
        <w:rPr>
          <w:b/>
          <w:bCs/>
          <w:sz w:val="21"/>
          <w:szCs w:val="21"/>
        </w:rPr>
        <w:t xml:space="preserve">Countam: </w:t>
      </w:r>
      <w:r>
        <w:rPr>
          <w:sz w:val="21"/>
          <w:szCs w:val="21"/>
        </w:rPr>
        <w:t xml:space="preserve">accounting software used locally in the Nigerian market, as a comparison point for feature expectations and workflow familiarity for Nigerian accountants and business owners.</w:t>
      </w:r>
    </w:p>
    <w:p>
      <w:pPr>
        <w:pStyle w:val="Heading1"/>
        <w:spacing w:after="160" w:before="320"/>
      </w:pPr>
      <w:r>
        <w:rPr>
          <w:b/>
          <w:bCs/>
          <w:color w:val="1F3A5F"/>
          <w:sz w:val="28"/>
          <w:szCs w:val="28"/>
        </w:rPr>
        <w:t xml:space="preserve">4. User Types &amp; Roles</w:t>
      </w:r>
    </w:p>
    <w:p>
      <w:pPr>
        <w:pStyle w:val="Heading2"/>
        <w:spacing w:after="100" w:before="220"/>
      </w:pPr>
      <w:r>
        <w:rPr>
          <w:b/>
          <w:bCs/>
          <w:color w:val="2E6F5B"/>
          <w:sz w:val="24"/>
          <w:szCs w:val="24"/>
        </w:rPr>
        <w:t xml:space="preserve">4.1 Tenant-side users (staff of an onboarded company)</w:t>
      </w:r>
    </w:p>
    <w:p>
      <w:pPr>
        <w:pStyle w:val="ListParagraph"/>
        <w:numPr>
          <w:ilvl w:val="0"/>
          <w:numId w:val="1"/>
        </w:numPr>
        <w:spacing w:after="60"/>
      </w:pPr>
      <w:r>
        <w:rPr>
          <w:b/>
          <w:bCs/>
          <w:sz w:val="21"/>
          <w:szCs w:val="21"/>
        </w:rPr>
        <w:t xml:space="preserve">Company Owner / Admin: </w:t>
      </w:r>
      <w:r>
        <w:rPr>
          <w:sz w:val="21"/>
          <w:szCs w:val="21"/>
        </w:rPr>
        <w:t xml:space="preserve">full access to their company's data; the person who completed onboarding; manages their own company's users and settings.</w:t>
      </w:r>
    </w:p>
    <w:p>
      <w:pPr>
        <w:pStyle w:val="ListParagraph"/>
        <w:numPr>
          <w:ilvl w:val="0"/>
          <w:numId w:val="1"/>
        </w:numPr>
        <w:spacing w:after="60"/>
      </w:pPr>
      <w:r>
        <w:rPr>
          <w:b/>
          <w:bCs/>
          <w:sz w:val="21"/>
          <w:szCs w:val="21"/>
        </w:rPr>
        <w:t xml:space="preserve">Accountant: </w:t>
      </w:r>
      <w:r>
        <w:rPr>
          <w:sz w:val="21"/>
          <w:szCs w:val="21"/>
        </w:rPr>
        <w:t xml:space="preserve">full access to financial records, reports, tax, and reconciliation; typically restricted from payroll/HR-sensitive data unless explicitly granted.</w:t>
      </w:r>
    </w:p>
    <w:p>
      <w:pPr>
        <w:pStyle w:val="ListParagraph"/>
        <w:numPr>
          <w:ilvl w:val="0"/>
          <w:numId w:val="1"/>
        </w:numPr>
        <w:spacing w:after="60"/>
      </w:pPr>
      <w:r>
        <w:rPr>
          <w:b/>
          <w:bCs/>
          <w:sz w:val="21"/>
          <w:szCs w:val="21"/>
        </w:rPr>
        <w:t xml:space="preserve">Management / Viewer: </w:t>
      </w:r>
      <w:r>
        <w:rPr>
          <w:sz w:val="21"/>
          <w:szCs w:val="21"/>
        </w:rPr>
        <w:t xml:space="preserve">read-only access to dashboards, reports, and summaries; no ability to create or edit transactions.</w:t>
      </w:r>
    </w:p>
    <w:p>
      <w:pPr>
        <w:pStyle w:val="ListParagraph"/>
        <w:numPr>
          <w:ilvl w:val="0"/>
          <w:numId w:val="1"/>
        </w:numPr>
        <w:spacing w:after="60"/>
      </w:pPr>
      <w:r>
        <w:rPr>
          <w:b/>
          <w:bCs/>
          <w:sz w:val="21"/>
          <w:szCs w:val="21"/>
        </w:rPr>
        <w:t xml:space="preserve">Operational Staff </w:t>
      </w:r>
      <w:r>
        <w:rPr>
          <w:sz w:val="21"/>
          <w:szCs w:val="21"/>
        </w:rPr>
        <w:t xml:space="preserve">(sales, cashier, inventory clerk, etc.): scoped access to only the modules relevant to their function (e.g. a cashier can record POS sales but cannot see payroll).</w:t>
      </w:r>
    </w:p>
    <w:p>
      <w:pPr>
        <w:spacing w:after="120"/>
      </w:pPr>
      <w:r>
        <w:rPr>
          <w:sz w:val="21"/>
          <w:szCs w:val="21"/>
        </w:rPr>
        <w:t xml:space="preserve">Each tenant company can create, edit, and deactivate its own users. Roles and permissions must be configurable per tenant, not hard-coded globally; a tenant should be able to decide who on their team can see what, within the role framework provided.</w:t>
      </w:r>
    </w:p>
    <w:p>
      <w:pPr>
        <w:pStyle w:val="Heading2"/>
        <w:spacing w:after="100" w:before="220"/>
      </w:pPr>
      <w:r>
        <w:rPr>
          <w:b/>
          <w:bCs/>
          <w:color w:val="2E6F5B"/>
          <w:sz w:val="24"/>
          <w:szCs w:val="24"/>
        </w:rPr>
        <w:t xml:space="preserve">4.2 Platform-side users</w:t>
      </w:r>
    </w:p>
    <w:p>
      <w:pPr>
        <w:pStyle w:val="ListParagraph"/>
        <w:numPr>
          <w:ilvl w:val="0"/>
          <w:numId w:val="1"/>
        </w:numPr>
        <w:spacing w:after="60"/>
      </w:pPr>
      <w:r>
        <w:rPr>
          <w:b/>
          <w:bCs/>
          <w:sz w:val="21"/>
          <w:szCs w:val="21"/>
        </w:rPr>
        <w:t xml:space="preserve">Super-Admin </w:t>
      </w:r>
      <w:r>
        <w:rPr>
          <w:sz w:val="21"/>
          <w:szCs w:val="21"/>
        </w:rPr>
        <w:t xml:space="preserve">(Xtreme Cr8tivity staff): oversees the entire platform: all tenant companies, verification statuses, subscription/billing status, platform-wide usage, and support.</w:t>
      </w:r>
    </w:p>
    <w:p>
      <w:pPr>
        <w:pStyle w:val="Heading1"/>
        <w:spacing w:after="160" w:before="320"/>
      </w:pPr>
      <w:r>
        <w:rPr>
          <w:b/>
          <w:bCs/>
          <w:color w:val="1F3A5F"/>
          <w:sz w:val="28"/>
          <w:szCs w:val="28"/>
        </w:rPr>
        <w:t xml:space="preserve">5. Public Website Requirements</w:t>
      </w:r>
    </w:p>
    <w:p>
      <w:pPr>
        <w:spacing w:after="120"/>
      </w:pPr>
      <w:r>
        <w:rPr>
          <w:sz w:val="21"/>
          <w:szCs w:val="21"/>
        </w:rPr>
        <w:t xml:space="preserve">A public marketing and onboarding website, separate from the logged-in application, must include:</w:t>
      </w:r>
    </w:p>
    <w:p>
      <w:pPr>
        <w:pStyle w:val="ListParagraph"/>
        <w:numPr>
          <w:ilvl w:val="0"/>
          <w:numId w:val="1"/>
        </w:numPr>
        <w:spacing w:after="60"/>
      </w:pPr>
      <w:r>
        <w:rPr>
          <w:b/>
          <w:bCs/>
          <w:sz w:val="21"/>
          <w:szCs w:val="21"/>
        </w:rPr>
        <w:t xml:space="preserve">Home / marketing pages: </w:t>
      </w:r>
      <w:r>
        <w:rPr>
          <w:sz w:val="21"/>
          <w:szCs w:val="21"/>
        </w:rPr>
        <w:t xml:space="preserve">product overview, features, screenshots, pricing (yearly subscription plans), and calls to action to sign up or book a demo.</w:t>
      </w:r>
    </w:p>
    <w:p>
      <w:pPr>
        <w:pStyle w:val="ListParagraph"/>
        <w:numPr>
          <w:ilvl w:val="0"/>
          <w:numId w:val="1"/>
        </w:numPr>
        <w:spacing w:after="60"/>
      </w:pPr>
      <w:r>
        <w:rPr>
          <w:b/>
          <w:bCs/>
          <w:sz w:val="21"/>
          <w:szCs w:val="21"/>
        </w:rPr>
        <w:t xml:space="preserve">Pricing page: </w:t>
      </w:r>
      <w:r>
        <w:rPr>
          <w:sz w:val="21"/>
          <w:szCs w:val="21"/>
        </w:rPr>
        <w:t xml:space="preserve">clearly presented yearly subscription tiers (tier structure and pricing to be defined by Xtreme Cr8tivity; the developer builds the mechanism to present and enforce whatever tiers are configured).</w:t>
      </w:r>
    </w:p>
    <w:p>
      <w:pPr>
        <w:pStyle w:val="ListParagraph"/>
        <w:numPr>
          <w:ilvl w:val="0"/>
          <w:numId w:val="1"/>
        </w:numPr>
        <w:spacing w:after="60"/>
      </w:pPr>
      <w:r>
        <w:rPr>
          <w:b/>
          <w:bCs/>
          <w:sz w:val="21"/>
          <w:szCs w:val="21"/>
        </w:rPr>
        <w:t xml:space="preserve">Sign-up / onboarding flow: </w:t>
      </w:r>
      <w:r>
        <w:rPr>
          <w:sz w:val="21"/>
          <w:szCs w:val="21"/>
        </w:rPr>
        <w:t xml:space="preserve">see Section 6.</w:t>
      </w:r>
    </w:p>
    <w:p>
      <w:pPr>
        <w:pStyle w:val="ListParagraph"/>
        <w:numPr>
          <w:ilvl w:val="0"/>
          <w:numId w:val="1"/>
        </w:numPr>
        <w:spacing w:after="60"/>
      </w:pPr>
      <w:r>
        <w:rPr>
          <w:b/>
          <w:bCs/>
          <w:sz w:val="21"/>
          <w:szCs w:val="21"/>
        </w:rPr>
        <w:t xml:space="preserve">Demo booking: </w:t>
      </w:r>
      <w:r>
        <w:rPr>
          <w:sz w:val="21"/>
          <w:szCs w:val="21"/>
        </w:rPr>
        <w:t xml:space="preserve">a scheduling mechanism (calendar-based booking) allowing a prospective customer to request/book a live demo with the Xtreme Cr8tivity team. Should collect name, company, email, phone, and preferred time slot, and notify the Xtreme Cr8tivity team.</w:t>
      </w:r>
    </w:p>
    <w:p>
      <w:pPr>
        <w:pStyle w:val="ListParagraph"/>
        <w:numPr>
          <w:ilvl w:val="0"/>
          <w:numId w:val="1"/>
        </w:numPr>
        <w:spacing w:after="60"/>
      </w:pPr>
      <w:r>
        <w:rPr>
          <w:b/>
          <w:bCs/>
          <w:sz w:val="21"/>
          <w:szCs w:val="21"/>
        </w:rPr>
        <w:t xml:space="preserve">Demo video: </w:t>
      </w:r>
      <w:r>
        <w:rPr>
          <w:sz w:val="21"/>
          <w:szCs w:val="21"/>
        </w:rPr>
        <w:t xml:space="preserve">a page to host and play a pre-recorded product demo video (video content to be provided/produced separately; the platform must support embedding and playing it).</w:t>
      </w:r>
    </w:p>
    <w:p>
      <w:pPr>
        <w:pStyle w:val="ListParagraph"/>
        <w:numPr>
          <w:ilvl w:val="0"/>
          <w:numId w:val="1"/>
        </w:numPr>
        <w:spacing w:after="60"/>
      </w:pPr>
      <w:r>
        <w:rPr>
          <w:b/>
          <w:bCs/>
          <w:sz w:val="21"/>
          <w:szCs w:val="21"/>
        </w:rPr>
        <w:t xml:space="preserve">Documentation / usage guides: </w:t>
      </w:r>
      <w:r>
        <w:rPr>
          <w:sz w:val="21"/>
          <w:szCs w:val="21"/>
        </w:rPr>
        <w:t xml:space="preserve">a resource centre where downloadable PDF guides and other help content can be published and organized by topic/module. The developer must build the ability for Xtreme Cr8tivity to upload/manage these documents; the actual guide content will be authored separately.</w:t>
      </w:r>
    </w:p>
    <w:p>
      <w:pPr>
        <w:pStyle w:val="ListParagraph"/>
        <w:numPr>
          <w:ilvl w:val="0"/>
          <w:numId w:val="1"/>
        </w:numPr>
        <w:spacing w:after="60"/>
      </w:pPr>
      <w:r>
        <w:rPr>
          <w:b/>
          <w:bCs/>
          <w:sz w:val="21"/>
          <w:szCs w:val="21"/>
        </w:rPr>
        <w:t xml:space="preserve">Login: </w:t>
      </w:r>
      <w:r>
        <w:rPr>
          <w:sz w:val="21"/>
          <w:szCs w:val="21"/>
        </w:rPr>
        <w:t xml:space="preserve">entry point into the actual application for verified/registered tenants.</w:t>
      </w:r>
    </w:p>
    <w:p>
      <w:pPr>
        <w:pStyle w:val="ListParagraph"/>
        <w:numPr>
          <w:ilvl w:val="0"/>
          <w:numId w:val="1"/>
        </w:numPr>
        <w:spacing w:after="60"/>
      </w:pPr>
      <w:r>
        <w:rPr>
          <w:b/>
          <w:bCs/>
          <w:sz w:val="21"/>
          <w:szCs w:val="21"/>
        </w:rPr>
        <w:t xml:space="preserve">Legal pages: </w:t>
      </w:r>
      <w:r>
        <w:rPr>
          <w:sz w:val="21"/>
          <w:szCs w:val="21"/>
        </w:rPr>
        <w:t xml:space="preserve">Terms of Service, Privacy Policy, Refund/Cancellation Policy (placeholder content acceptable; structure and CMS-style editability required so Xtreme Cr8tivity can update the text without a code change).</w:t>
      </w:r>
    </w:p>
    <w:p>
      <w:pPr>
        <w:pStyle w:val="Heading1"/>
        <w:spacing w:after="160" w:before="320"/>
      </w:pPr>
      <w:r>
        <w:rPr>
          <w:b/>
          <w:bCs/>
          <w:color w:val="1F3A5F"/>
          <w:sz w:val="28"/>
          <w:szCs w:val="28"/>
        </w:rPr>
        <w:t xml:space="preserve">6. Company Onboarding &amp; Verification</w:t>
      </w:r>
    </w:p>
    <w:p>
      <w:pPr>
        <w:spacing w:after="120"/>
      </w:pPr>
      <w:r>
        <w:rPr>
          <w:sz w:val="21"/>
          <w:szCs w:val="21"/>
        </w:rPr>
        <w:t xml:space="preserve">Self-service onboarding, with no manual review gate before a company can start using the product. The flow:</w:t>
      </w:r>
    </w:p>
    <w:p>
      <w:pPr>
        <w:pStyle w:val="ListParagraph"/>
        <w:numPr>
          <w:ilvl w:val="0"/>
          <w:numId w:val="1"/>
        </w:numPr>
        <w:spacing w:after="60"/>
      </w:pPr>
      <w:r>
        <w:rPr>
          <w:b/>
          <w:bCs/>
          <w:sz w:val="21"/>
          <w:szCs w:val="21"/>
        </w:rPr>
        <w:t xml:space="preserve">1. Sign-up: </w:t>
      </w:r>
      <w:r>
        <w:rPr>
          <w:sz w:val="21"/>
          <w:szCs w:val="21"/>
        </w:rPr>
        <w:t xml:space="preserve">prospective company provides company name, email address, and creates a password.</w:t>
      </w:r>
    </w:p>
    <w:p>
      <w:pPr>
        <w:pStyle w:val="ListParagraph"/>
        <w:numPr>
          <w:ilvl w:val="0"/>
          <w:numId w:val="1"/>
        </w:numPr>
        <w:spacing w:after="60"/>
      </w:pPr>
      <w:r>
        <w:rPr>
          <w:b/>
          <w:bCs/>
          <w:sz w:val="21"/>
          <w:szCs w:val="21"/>
        </w:rPr>
        <w:t xml:space="preserve">2. Email verification: </w:t>
      </w:r>
      <w:r>
        <w:rPr>
          <w:sz w:val="21"/>
          <w:szCs w:val="21"/>
        </w:rPr>
        <w:t xml:space="preserve">a verification link/code is sent to the provided email; the account cannot proceed past this step unverified.</w:t>
      </w:r>
    </w:p>
    <w:p>
      <w:pPr>
        <w:pStyle w:val="ListParagraph"/>
        <w:numPr>
          <w:ilvl w:val="0"/>
          <w:numId w:val="1"/>
        </w:numPr>
        <w:spacing w:after="60"/>
      </w:pPr>
      <w:r>
        <w:rPr>
          <w:b/>
          <w:bCs/>
          <w:sz w:val="21"/>
          <w:szCs w:val="21"/>
        </w:rPr>
        <w:t xml:space="preserve">3. Company profile &amp; documents: </w:t>
      </w:r>
      <w:r>
        <w:rPr>
          <w:sz w:val="21"/>
          <w:szCs w:val="21"/>
        </w:rPr>
        <w:t xml:space="preserve">once verified, the company completes its profile: company name, company logo (uploaded, shown on that tenant's own dashboard only, not on the shared platform's public branding), CAC registration number and certificate (document upload), TIN, director(s) name(s), primary contact person (name, role, phone, email), and company address.</w:t>
      </w:r>
    </w:p>
    <w:p>
      <w:pPr>
        <w:pStyle w:val="ListParagraph"/>
        <w:numPr>
          <w:ilvl w:val="0"/>
          <w:numId w:val="1"/>
        </w:numPr>
        <w:spacing w:after="60"/>
      </w:pPr>
      <w:r>
        <w:rPr>
          <w:b/>
          <w:bCs/>
          <w:sz w:val="21"/>
          <w:szCs w:val="21"/>
        </w:rPr>
        <w:t xml:space="preserve">4. Automated verification checks: </w:t>
      </w:r>
      <w:r>
        <w:rPr>
          <w:sz w:val="21"/>
          <w:szCs w:val="21"/>
        </w:rPr>
        <w:t xml:space="preserve">the platform must attempt to verify the CAC registration number and TIN against the appropriate official Nigerian verification source(s) available to the developer (e.g. CAC's public register / any available TIN verification service). The developer is responsible for identifying and integrating a workable verification method for both.</w:t>
      </w:r>
    </w:p>
    <w:p>
      <w:pPr>
        <w:pStyle w:val="ListParagraph"/>
        <w:numPr>
          <w:ilvl w:val="0"/>
          <w:numId w:val="1"/>
        </w:numPr>
        <w:spacing w:after="60"/>
      </w:pPr>
      <w:r>
        <w:rPr>
          <w:b/>
          <w:bCs/>
          <w:sz w:val="21"/>
          <w:szCs w:val="21"/>
        </w:rPr>
        <w:t xml:space="preserve">5. Pending verification, full access: </w:t>
      </w:r>
      <w:r>
        <w:rPr>
          <w:sz w:val="21"/>
          <w:szCs w:val="21"/>
        </w:rPr>
        <w:t xml:space="preserve">regardless of verification outcome, the company can immediately begin using every accounting/bookkeeping feature of the platform. The company's verification status is tracked and visibly flagged (e.g. “Pending Verification” badge) until CAC and TIN checks resolve. Exception: e-invoice submission to NRS REV 360 is gated behind successful CAC + TIN verification (see Section 10). A company can prepare invoices and use the e-invoice toggle, but the platform blocks the actual transmission to NRS until verification clears.</w:t>
      </w:r>
    </w:p>
    <w:p>
      <w:pPr>
        <w:pStyle w:val="ListParagraph"/>
        <w:numPr>
          <w:ilvl w:val="0"/>
          <w:numId w:val="1"/>
        </w:numPr>
        <w:spacing w:after="60"/>
      </w:pPr>
      <w:r>
        <w:rPr>
          <w:b/>
          <w:bCs/>
          <w:sz w:val="21"/>
          <w:szCs w:val="21"/>
        </w:rPr>
        <w:t xml:space="preserve">6. Subscription selection &amp; payment: </w:t>
      </w:r>
      <w:r>
        <w:rPr>
          <w:sz w:val="21"/>
          <w:szCs w:val="21"/>
        </w:rPr>
        <w:t xml:space="preserve">company selects a yearly subscription plan and completes payment via Paystack before or alongside onboarding. Full platform access requires an active paid subscription; a free trial period, if wanted, should be a configurable option, not a permanent free tier.</w:t>
      </w:r>
    </w:p>
    <w:p>
      <w:pPr>
        <w:pStyle w:val="Heading1"/>
        <w:spacing w:after="160" w:before="320"/>
      </w:pPr>
      <w:r>
        <w:rPr>
          <w:b/>
          <w:bCs/>
          <w:color w:val="1F3A5F"/>
          <w:sz w:val="28"/>
          <w:szCs w:val="28"/>
        </w:rPr>
        <w:t xml:space="preserve">7. Subscription, Billing &amp; Payments</w:t>
      </w:r>
    </w:p>
    <w:p>
      <w:pPr>
        <w:pStyle w:val="ListParagraph"/>
        <w:numPr>
          <w:ilvl w:val="0"/>
          <w:numId w:val="1"/>
        </w:numPr>
        <w:spacing w:after="60"/>
      </w:pPr>
      <w:r>
        <w:rPr>
          <w:sz w:val="21"/>
          <w:szCs w:val="21"/>
        </w:rPr>
        <w:t xml:space="preserve">Yearly subscription billing only (no monthly plans for MVP).</w:t>
      </w:r>
    </w:p>
    <w:p>
      <w:pPr>
        <w:pStyle w:val="ListParagraph"/>
        <w:numPr>
          <w:ilvl w:val="0"/>
          <w:numId w:val="1"/>
        </w:numPr>
        <w:spacing w:after="60"/>
      </w:pPr>
      <w:r>
        <w:rPr>
          <w:sz w:val="21"/>
          <w:szCs w:val="21"/>
        </w:rPr>
        <w:t xml:space="preserve">Paystack as the payment gateway for all subscription payments and renewals.</w:t>
      </w:r>
    </w:p>
    <w:p>
      <w:pPr>
        <w:pStyle w:val="ListParagraph"/>
        <w:numPr>
          <w:ilvl w:val="0"/>
          <w:numId w:val="1"/>
        </w:numPr>
        <w:spacing w:after="60"/>
      </w:pPr>
      <w:r>
        <w:rPr>
          <w:sz w:val="21"/>
          <w:szCs w:val="21"/>
        </w:rPr>
        <w:t xml:space="preserve">Multiple subscription tiers must be supported (exact tiers/pricing/feature-gating to be configured by Xtreme Cr8tivity via the super-admin panel, not hard-coded).</w:t>
      </w:r>
    </w:p>
    <w:p>
      <w:pPr>
        <w:pStyle w:val="ListParagraph"/>
        <w:numPr>
          <w:ilvl w:val="0"/>
          <w:numId w:val="1"/>
        </w:numPr>
        <w:spacing w:after="60"/>
      </w:pPr>
      <w:r>
        <w:rPr>
          <w:sz w:val="21"/>
          <w:szCs w:val="21"/>
        </w:rPr>
        <w:t xml:space="preserve">Automatic renewal reminders and handling of failed/expired payments (grace period, then restricted access; exact policy configurable).</w:t>
      </w:r>
    </w:p>
    <w:p>
      <w:pPr>
        <w:pStyle w:val="ListParagraph"/>
        <w:numPr>
          <w:ilvl w:val="0"/>
          <w:numId w:val="1"/>
        </w:numPr>
        <w:spacing w:after="60"/>
      </w:pPr>
      <w:r>
        <w:rPr>
          <w:sz w:val="21"/>
          <w:szCs w:val="21"/>
        </w:rPr>
        <w:t xml:space="preserve">Invoicing/receipts for the platform's own subscription charges to tenants (Xtreme Cr8tivity's own sales record of who paid what, when).</w:t>
      </w:r>
    </w:p>
    <w:p>
      <w:pPr>
        <w:pStyle w:val="ListParagraph"/>
        <w:numPr>
          <w:ilvl w:val="0"/>
          <w:numId w:val="1"/>
        </w:numPr>
        <w:spacing w:after="60"/>
      </w:pPr>
      <w:r>
        <w:rPr>
          <w:sz w:val="21"/>
          <w:szCs w:val="21"/>
        </w:rPr>
        <w:t xml:space="preserve">Super-admin visibility into every tenant's subscription status, plan, and payment history (Section 11).</w:t>
      </w:r>
    </w:p>
    <w:p>
      <w:pPr>
        <w:pStyle w:val="Heading1"/>
        <w:spacing w:after="160" w:before="320"/>
      </w:pPr>
      <w:r>
        <w:rPr>
          <w:b/>
          <w:bCs/>
          <w:color w:val="1F3A5F"/>
          <w:sz w:val="28"/>
          <w:szCs w:val="28"/>
        </w:rPr>
        <w:t xml:space="preserve">8. Core Functional Modules</w:t>
      </w:r>
    </w:p>
    <w:p>
      <w:pPr>
        <w:spacing w:after="120"/>
      </w:pPr>
      <w:r>
        <w:rPr>
          <w:sz w:val="21"/>
          <w:szCs w:val="21"/>
        </w:rPr>
        <w:t xml:space="preserve">Every tenant company gets access to the following modules. Each module must integrate with the others: a transaction entered once should automatically flow through to every relevant record (e.g. a sale becomes an invoice, becomes a receivable if unpaid, becomes a stock movement if it has inventory, becomes a General Ledger posting, and appears in reports). The platform must never require the same fact to be entered twice in different places.</w:t>
      </w:r>
    </w:p>
    <w:p>
      <w:pPr>
        <w:pStyle w:val="Heading2"/>
        <w:spacing w:after="100" w:before="220"/>
      </w:pPr>
      <w:r>
        <w:rPr>
          <w:b/>
          <w:bCs/>
          <w:color w:val="2E6F5B"/>
          <w:sz w:val="24"/>
          <w:szCs w:val="24"/>
        </w:rPr>
        <w:t xml:space="preserve">8.1 Sales &amp; Invoicing</w:t>
      </w:r>
    </w:p>
    <w:p>
      <w:pPr>
        <w:pStyle w:val="ListParagraph"/>
        <w:numPr>
          <w:ilvl w:val="0"/>
          <w:numId w:val="1"/>
        </w:numPr>
        <w:spacing w:after="60"/>
      </w:pPr>
      <w:r>
        <w:rPr>
          <w:sz w:val="21"/>
          <w:szCs w:val="21"/>
        </w:rPr>
        <w:t xml:space="preserve">Customers directory (contact details, TIN).</w:t>
      </w:r>
    </w:p>
    <w:p>
      <w:pPr>
        <w:pStyle w:val="ListParagraph"/>
        <w:numPr>
          <w:ilvl w:val="0"/>
          <w:numId w:val="1"/>
        </w:numPr>
        <w:spacing w:after="60"/>
      </w:pPr>
      <w:r>
        <w:rPr>
          <w:sz w:val="21"/>
          <w:szCs w:val="21"/>
        </w:rPr>
        <w:t xml:space="preserve">Quotations, convertible to invoices.</w:t>
      </w:r>
    </w:p>
    <w:p>
      <w:pPr>
        <w:pStyle w:val="ListParagraph"/>
        <w:numPr>
          <w:ilvl w:val="0"/>
          <w:numId w:val="1"/>
        </w:numPr>
        <w:spacing w:after="60"/>
      </w:pPr>
      <w:r>
        <w:rPr>
          <w:sz w:val="21"/>
          <w:szCs w:val="21"/>
        </w:rPr>
        <w:t xml:space="preserve">Invoices with line items, VAT calculation, due dates, and a unique invoice number.</w:t>
      </w:r>
    </w:p>
    <w:p>
      <w:pPr>
        <w:pStyle w:val="ListParagraph"/>
        <w:numPr>
          <w:ilvl w:val="0"/>
          <w:numId w:val="1"/>
        </w:numPr>
        <w:spacing w:after="60"/>
      </w:pPr>
      <w:r>
        <w:rPr>
          <w:sz w:val="21"/>
          <w:szCs w:val="21"/>
        </w:rPr>
        <w:t xml:space="preserve">Every invoice must capture buyer TIN, seller TIN, invoice date, unique invoice number, line items, and VAT amount, even independent of e-invoicing, so records are always e-invoicing-ready.</w:t>
      </w:r>
    </w:p>
    <w:p>
      <w:pPr>
        <w:pStyle w:val="ListParagraph"/>
        <w:numPr>
          <w:ilvl w:val="0"/>
          <w:numId w:val="1"/>
        </w:numPr>
        <w:spacing w:after="60"/>
      </w:pPr>
      <w:r>
        <w:rPr>
          <w:sz w:val="21"/>
          <w:szCs w:val="21"/>
        </w:rPr>
        <w:t xml:space="preserve">Invoice statuses (Draft, Issued, Partially Paid, Paid, Cancelled) with a proper cancellation/reversal flow; no hard deletion of issued financial records.</w:t>
      </w:r>
    </w:p>
    <w:p>
      <w:pPr>
        <w:pStyle w:val="ListParagraph"/>
        <w:numPr>
          <w:ilvl w:val="0"/>
          <w:numId w:val="1"/>
        </w:numPr>
        <w:spacing w:after="60"/>
      </w:pPr>
      <w:r>
        <w:rPr>
          <w:sz w:val="21"/>
          <w:szCs w:val="21"/>
        </w:rPr>
        <w:t xml:space="preserve">Payment recording against invoices, with partial payments supported.</w:t>
      </w:r>
    </w:p>
    <w:p>
      <w:pPr>
        <w:pStyle w:val="ListParagraph"/>
        <w:numPr>
          <w:ilvl w:val="0"/>
          <w:numId w:val="1"/>
        </w:numPr>
        <w:spacing w:after="60"/>
      </w:pPr>
      <w:r>
        <w:rPr>
          <w:sz w:val="21"/>
          <w:szCs w:val="21"/>
        </w:rPr>
        <w:t xml:space="preserve">Receivables ageing report (current, 1-30, 31-60, 61-90, 90+ days overdue).</w:t>
      </w:r>
    </w:p>
    <w:p>
      <w:pPr>
        <w:pStyle w:val="ListParagraph"/>
        <w:numPr>
          <w:ilvl w:val="0"/>
          <w:numId w:val="1"/>
        </w:numPr>
        <w:spacing w:after="60"/>
      </w:pPr>
      <w:r>
        <w:rPr>
          <w:sz w:val="21"/>
          <w:szCs w:val="21"/>
        </w:rPr>
        <w:t xml:space="preserve">Optional e-invoice submission toggle per invoice (see Section 10).</w:t>
      </w:r>
    </w:p>
    <w:p>
      <w:pPr>
        <w:pStyle w:val="ListParagraph"/>
        <w:numPr>
          <w:ilvl w:val="0"/>
          <w:numId w:val="1"/>
        </w:numPr>
        <w:spacing w:after="60"/>
      </w:pPr>
      <w:r>
        <w:rPr>
          <w:sz w:val="21"/>
          <w:szCs w:val="21"/>
        </w:rPr>
        <w:t xml:space="preserve">Point of Sale (POS) mode for walk-in/counter sales, tied into the same inventory and General Ledger posting engine.</w:t>
      </w:r>
    </w:p>
    <w:p>
      <w:pPr>
        <w:pStyle w:val="Heading2"/>
        <w:spacing w:after="100" w:before="220"/>
      </w:pPr>
      <w:r>
        <w:rPr>
          <w:b/>
          <w:bCs/>
          <w:color w:val="2E6F5B"/>
          <w:sz w:val="24"/>
          <w:szCs w:val="24"/>
        </w:rPr>
        <w:t xml:space="preserve">8.2 Purchases &amp; Payables</w:t>
      </w:r>
    </w:p>
    <w:p>
      <w:pPr>
        <w:pStyle w:val="ListParagraph"/>
        <w:numPr>
          <w:ilvl w:val="0"/>
          <w:numId w:val="1"/>
        </w:numPr>
        <w:spacing w:after="60"/>
      </w:pPr>
      <w:r>
        <w:rPr>
          <w:sz w:val="21"/>
          <w:szCs w:val="21"/>
        </w:rPr>
        <w:t xml:space="preserve">Suppliers directory.</w:t>
      </w:r>
    </w:p>
    <w:p>
      <w:pPr>
        <w:pStyle w:val="ListParagraph"/>
        <w:numPr>
          <w:ilvl w:val="0"/>
          <w:numId w:val="1"/>
        </w:numPr>
        <w:spacing w:after="60"/>
      </w:pPr>
      <w:r>
        <w:rPr>
          <w:sz w:val="21"/>
          <w:szCs w:val="21"/>
        </w:rPr>
        <w:t xml:space="preserve">Purchase records with an approval workflow.</w:t>
      </w:r>
    </w:p>
    <w:p>
      <w:pPr>
        <w:pStyle w:val="ListParagraph"/>
        <w:numPr>
          <w:ilvl w:val="0"/>
          <w:numId w:val="1"/>
        </w:numPr>
        <w:spacing w:after="60"/>
      </w:pPr>
      <w:r>
        <w:rPr>
          <w:sz w:val="21"/>
          <w:szCs w:val="21"/>
        </w:rPr>
        <w:t xml:space="preserve">Payments to suppliers, with partial payments supported.</w:t>
      </w:r>
    </w:p>
    <w:p>
      <w:pPr>
        <w:pStyle w:val="ListParagraph"/>
        <w:numPr>
          <w:ilvl w:val="0"/>
          <w:numId w:val="1"/>
        </w:numPr>
        <w:spacing w:after="60"/>
      </w:pPr>
      <w:r>
        <w:rPr>
          <w:sz w:val="21"/>
          <w:szCs w:val="21"/>
        </w:rPr>
        <w:t xml:space="preserve">Payables ageing report.</w:t>
      </w:r>
    </w:p>
    <w:p>
      <w:pPr>
        <w:pStyle w:val="ListParagraph"/>
        <w:numPr>
          <w:ilvl w:val="0"/>
          <w:numId w:val="1"/>
        </w:numPr>
        <w:spacing w:after="60"/>
      </w:pPr>
      <w:r>
        <w:rPr>
          <w:sz w:val="21"/>
          <w:szCs w:val="21"/>
        </w:rPr>
        <w:t xml:space="preserve">Cancellation/reversal flow; no hard deletion.</w:t>
      </w:r>
    </w:p>
    <w:p>
      <w:pPr>
        <w:pStyle w:val="Heading2"/>
        <w:spacing w:after="100" w:before="220"/>
      </w:pPr>
      <w:r>
        <w:rPr>
          <w:b/>
          <w:bCs/>
          <w:color w:val="2E6F5B"/>
          <w:sz w:val="24"/>
          <w:szCs w:val="24"/>
        </w:rPr>
        <w:t xml:space="preserve">8.3 Products, Services &amp; Inventory</w:t>
      </w:r>
    </w:p>
    <w:p>
      <w:pPr>
        <w:pStyle w:val="ListParagraph"/>
        <w:numPr>
          <w:ilvl w:val="0"/>
          <w:numId w:val="1"/>
        </w:numPr>
        <w:spacing w:after="60"/>
      </w:pPr>
      <w:r>
        <w:rPr>
          <w:sz w:val="21"/>
          <w:szCs w:val="21"/>
        </w:rPr>
        <w:t xml:space="preserve">Product/service catalogue (SKU, unit price, cost, VAT rate).</w:t>
      </w:r>
    </w:p>
    <w:p>
      <w:pPr>
        <w:pStyle w:val="ListParagraph"/>
        <w:numPr>
          <w:ilvl w:val="0"/>
          <w:numId w:val="1"/>
        </w:numPr>
        <w:spacing w:after="60"/>
      </w:pPr>
      <w:r>
        <w:rPr>
          <w:sz w:val="21"/>
          <w:szCs w:val="21"/>
        </w:rPr>
        <w:t xml:space="preserve">Real-time stock quantity tracking, driven automatically by sales, purchases, and manual adjustments.</w:t>
      </w:r>
    </w:p>
    <w:p>
      <w:pPr>
        <w:pStyle w:val="ListParagraph"/>
        <w:numPr>
          <w:ilvl w:val="0"/>
          <w:numId w:val="1"/>
        </w:numPr>
        <w:spacing w:after="60"/>
      </w:pPr>
      <w:r>
        <w:rPr>
          <w:sz w:val="21"/>
          <w:szCs w:val="21"/>
        </w:rPr>
        <w:t xml:space="preserve">Manual stock adjustment capability (damage, loss, stock counts) with a required reason, fully traceable.</w:t>
      </w:r>
    </w:p>
    <w:p>
      <w:pPr>
        <w:pStyle w:val="ListParagraph"/>
        <w:numPr>
          <w:ilvl w:val="0"/>
          <w:numId w:val="1"/>
        </w:numPr>
        <w:spacing w:after="60"/>
      </w:pPr>
      <w:r>
        <w:rPr>
          <w:sz w:val="21"/>
          <w:szCs w:val="21"/>
        </w:rPr>
        <w:t xml:space="preserve">Stock valuation and low-stock/reorder alerts.</w:t>
      </w:r>
    </w:p>
    <w:p>
      <w:pPr>
        <w:pStyle w:val="ListParagraph"/>
        <w:numPr>
          <w:ilvl w:val="0"/>
          <w:numId w:val="1"/>
        </w:numPr>
        <w:spacing w:after="60"/>
      </w:pPr>
      <w:r>
        <w:rPr>
          <w:sz w:val="21"/>
          <w:szCs w:val="21"/>
        </w:rPr>
        <w:t xml:space="preserve">Optional light manufacturing/production support: a simple bill-of-materials (recipe) that consumes raw material stock and produces finished-good stock.</w:t>
      </w:r>
    </w:p>
    <w:p>
      <w:pPr>
        <w:pStyle w:val="Heading2"/>
        <w:spacing w:after="100" w:before="220"/>
      </w:pPr>
      <w:r>
        <w:rPr>
          <w:b/>
          <w:bCs/>
          <w:color w:val="2E6F5B"/>
          <w:sz w:val="24"/>
          <w:szCs w:val="24"/>
        </w:rPr>
        <w:t xml:space="preserve">8.4 Expenses</w:t>
      </w:r>
    </w:p>
    <w:p>
      <w:pPr>
        <w:pStyle w:val="ListParagraph"/>
        <w:numPr>
          <w:ilvl w:val="0"/>
          <w:numId w:val="1"/>
        </w:numPr>
        <w:spacing w:after="60"/>
      </w:pPr>
      <w:r>
        <w:rPr>
          <w:sz w:val="21"/>
          <w:szCs w:val="21"/>
        </w:rPr>
        <w:t xml:space="preserve">Expense recording with configurable categories (categories must be admin-editable data, not hard-coded).</w:t>
      </w:r>
    </w:p>
    <w:p>
      <w:pPr>
        <w:pStyle w:val="ListParagraph"/>
        <w:numPr>
          <w:ilvl w:val="0"/>
          <w:numId w:val="1"/>
        </w:numPr>
        <w:spacing w:after="60"/>
      </w:pPr>
      <w:r>
        <w:rPr>
          <w:sz w:val="21"/>
          <w:szCs w:val="21"/>
        </w:rPr>
        <w:t xml:space="preserve">Configurable approval thresholds/workflow (auto-approve below a threshold, require approval above it).</w:t>
      </w:r>
    </w:p>
    <w:p>
      <w:pPr>
        <w:pStyle w:val="ListParagraph"/>
        <w:numPr>
          <w:ilvl w:val="0"/>
          <w:numId w:val="1"/>
        </w:numPr>
        <w:spacing w:after="60"/>
      </w:pPr>
      <w:r>
        <w:rPr>
          <w:sz w:val="21"/>
          <w:szCs w:val="21"/>
        </w:rPr>
        <w:t xml:space="preserve">Ability to attach a receipt/supporting document to every expense.</w:t>
      </w:r>
    </w:p>
    <w:p>
      <w:pPr>
        <w:pStyle w:val="Heading2"/>
        <w:spacing w:after="100" w:before="220"/>
      </w:pPr>
      <w:r>
        <w:rPr>
          <w:b/>
          <w:bCs/>
          <w:color w:val="2E6F5B"/>
          <w:sz w:val="24"/>
          <w:szCs w:val="24"/>
        </w:rPr>
        <w:t xml:space="preserve">8.5 Cash &amp; Bank</w:t>
      </w:r>
    </w:p>
    <w:p>
      <w:pPr>
        <w:pStyle w:val="ListParagraph"/>
        <w:numPr>
          <w:ilvl w:val="0"/>
          <w:numId w:val="1"/>
        </w:numPr>
        <w:spacing w:after="60"/>
      </w:pPr>
      <w:r>
        <w:rPr>
          <w:sz w:val="21"/>
          <w:szCs w:val="21"/>
        </w:rPr>
        <w:t xml:space="preserve">Multiple cash/bank account records per company.</w:t>
      </w:r>
    </w:p>
    <w:p>
      <w:pPr>
        <w:pStyle w:val="ListParagraph"/>
        <w:numPr>
          <w:ilvl w:val="0"/>
          <w:numId w:val="1"/>
        </w:numPr>
        <w:spacing w:after="60"/>
      </w:pPr>
      <w:r>
        <w:rPr>
          <w:sz w:val="21"/>
          <w:szCs w:val="21"/>
        </w:rPr>
        <w:t xml:space="preserve">Per-account transaction statement/ledger showing every inflow and outflow that touched it, with running balance.</w:t>
      </w:r>
    </w:p>
    <w:p>
      <w:pPr>
        <w:pStyle w:val="ListParagraph"/>
        <w:numPr>
          <w:ilvl w:val="0"/>
          <w:numId w:val="1"/>
        </w:numPr>
        <w:spacing w:after="60"/>
      </w:pPr>
      <w:r>
        <w:rPr>
          <w:sz w:val="21"/>
          <w:szCs w:val="21"/>
        </w:rPr>
        <w:t xml:space="preserve">Support for recording an account's opening balance when it's first added.</w:t>
      </w:r>
    </w:p>
    <w:p>
      <w:pPr>
        <w:pStyle w:val="Heading2"/>
        <w:spacing w:after="100" w:before="220"/>
      </w:pPr>
      <w:r>
        <w:rPr>
          <w:b/>
          <w:bCs/>
          <w:color w:val="2E6F5B"/>
          <w:sz w:val="24"/>
          <w:szCs w:val="24"/>
        </w:rPr>
        <w:t xml:space="preserve">8.6 Payroll</w:t>
      </w:r>
    </w:p>
    <w:p>
      <w:pPr>
        <w:pStyle w:val="ListParagraph"/>
        <w:numPr>
          <w:ilvl w:val="0"/>
          <w:numId w:val="1"/>
        </w:numPr>
        <w:spacing w:after="60"/>
      </w:pPr>
      <w:r>
        <w:rPr>
          <w:sz w:val="21"/>
          <w:szCs w:val="21"/>
        </w:rPr>
        <w:t xml:space="preserve">Staff directory (name, position/level, bank details, monthly salary).</w:t>
      </w:r>
    </w:p>
    <w:p>
      <w:pPr>
        <w:pStyle w:val="ListParagraph"/>
        <w:numPr>
          <w:ilvl w:val="0"/>
          <w:numId w:val="1"/>
        </w:numPr>
        <w:spacing w:after="60"/>
      </w:pPr>
      <w:r>
        <w:rPr>
          <w:sz w:val="21"/>
          <w:szCs w:val="21"/>
        </w:rPr>
        <w:t xml:space="preserve">Monthly payroll run per staff member, with automatic PAYE calculation under NTA 2025 rules (PAYE bands must be admin-editable data, not hard-coded).</w:t>
      </w:r>
    </w:p>
    <w:p>
      <w:pPr>
        <w:pStyle w:val="ListParagraph"/>
        <w:numPr>
          <w:ilvl w:val="0"/>
          <w:numId w:val="1"/>
        </w:numPr>
        <w:spacing w:after="60"/>
      </w:pPr>
      <w:r>
        <w:rPr>
          <w:sz w:val="21"/>
          <w:szCs w:val="21"/>
        </w:rPr>
        <w:t xml:space="preserve">Attendance/pro-rating support (days missed reducing gross pay proportionally).</w:t>
      </w:r>
    </w:p>
    <w:p>
      <w:pPr>
        <w:pStyle w:val="ListParagraph"/>
        <w:numPr>
          <w:ilvl w:val="0"/>
          <w:numId w:val="1"/>
        </w:numPr>
        <w:spacing w:after="60"/>
      </w:pPr>
      <w:r>
        <w:rPr>
          <w:sz w:val="21"/>
          <w:szCs w:val="21"/>
        </w:rPr>
        <w:t xml:space="preserve">Partial and full salary payment recording.</w:t>
      </w:r>
    </w:p>
    <w:p>
      <w:pPr>
        <w:pStyle w:val="ListParagraph"/>
        <w:numPr>
          <w:ilvl w:val="0"/>
          <w:numId w:val="1"/>
        </w:numPr>
        <w:spacing w:after="60"/>
      </w:pPr>
      <w:r>
        <w:rPr>
          <w:sz w:val="21"/>
          <w:szCs w:val="21"/>
        </w:rPr>
        <w:t xml:space="preserve">Individual payslip generation and download, per staff member, per month or for a full year.</w:t>
      </w:r>
    </w:p>
    <w:p>
      <w:pPr>
        <w:pStyle w:val="ListParagraph"/>
        <w:numPr>
          <w:ilvl w:val="0"/>
          <w:numId w:val="1"/>
        </w:numPr>
        <w:spacing w:after="60"/>
      </w:pPr>
      <w:r>
        <w:rPr>
          <w:sz w:val="21"/>
          <w:szCs w:val="21"/>
        </w:rPr>
        <w:t xml:space="preserve">Staff advances/loans, with repayment tracking, fully reflected in the company's books.</w:t>
      </w:r>
    </w:p>
    <w:p>
      <w:pPr>
        <w:pStyle w:val="Heading2"/>
        <w:spacing w:after="100" w:before="220"/>
      </w:pPr>
      <w:r>
        <w:rPr>
          <w:b/>
          <w:bCs/>
          <w:color w:val="2E6F5B"/>
          <w:sz w:val="24"/>
          <w:szCs w:val="24"/>
        </w:rPr>
        <w:t xml:space="preserve">8.7 Loans</w:t>
      </w:r>
    </w:p>
    <w:p>
      <w:pPr>
        <w:pStyle w:val="ListParagraph"/>
        <w:numPr>
          <w:ilvl w:val="0"/>
          <w:numId w:val="1"/>
        </w:numPr>
        <w:spacing w:after="60"/>
      </w:pPr>
      <w:r>
        <w:rPr>
          <w:sz w:val="21"/>
          <w:szCs w:val="21"/>
        </w:rPr>
        <w:t xml:space="preserve">Record loans given (money the company lent out) and loans taken (money the company borrowed), each tied to a lender/borrower name and a cash/bank account.</w:t>
      </w:r>
    </w:p>
    <w:p>
      <w:pPr>
        <w:pStyle w:val="ListParagraph"/>
        <w:numPr>
          <w:ilvl w:val="0"/>
          <w:numId w:val="1"/>
        </w:numPr>
        <w:spacing w:after="60"/>
      </w:pPr>
      <w:r>
        <w:rPr>
          <w:sz w:val="21"/>
          <w:szCs w:val="21"/>
        </w:rPr>
        <w:t xml:space="preserve">Repayment tracking, with partial repayments supported.</w:t>
      </w:r>
    </w:p>
    <w:p>
      <w:pPr>
        <w:pStyle w:val="ListParagraph"/>
        <w:numPr>
          <w:ilvl w:val="0"/>
          <w:numId w:val="1"/>
        </w:numPr>
        <w:spacing w:after="60"/>
      </w:pPr>
      <w:r>
        <w:rPr>
          <w:sz w:val="21"/>
          <w:szCs w:val="21"/>
        </w:rPr>
        <w:t xml:space="preserve">Loan cancellation/reversal flow.</w:t>
      </w:r>
    </w:p>
    <w:p>
      <w:pPr>
        <w:pStyle w:val="Heading2"/>
        <w:spacing w:after="100" w:before="220"/>
      </w:pPr>
      <w:r>
        <w:rPr>
          <w:b/>
          <w:bCs/>
          <w:color w:val="2E6F5B"/>
          <w:sz w:val="24"/>
          <w:szCs w:val="24"/>
        </w:rPr>
        <w:t xml:space="preserve">8.8 Fixed Assets</w:t>
      </w:r>
    </w:p>
    <w:p>
      <w:pPr>
        <w:pStyle w:val="ListParagraph"/>
        <w:numPr>
          <w:ilvl w:val="0"/>
          <w:numId w:val="1"/>
        </w:numPr>
        <w:spacing w:after="60"/>
      </w:pPr>
      <w:r>
        <w:rPr>
          <w:sz w:val="21"/>
          <w:szCs w:val="21"/>
        </w:rPr>
        <w:t xml:space="preserve">Asset register (name, category, purchase date, cost, useful life, salvage value).</w:t>
      </w:r>
    </w:p>
    <w:p>
      <w:pPr>
        <w:pStyle w:val="ListParagraph"/>
        <w:numPr>
          <w:ilvl w:val="0"/>
          <w:numId w:val="1"/>
        </w:numPr>
        <w:spacing w:after="60"/>
      </w:pPr>
      <w:r>
        <w:rPr>
          <w:sz w:val="21"/>
          <w:szCs w:val="21"/>
        </w:rPr>
        <w:t xml:space="preserve">Depreciation run per period, with accumulated depreciation and book value tracked automatically.</w:t>
      </w:r>
    </w:p>
    <w:p>
      <w:pPr>
        <w:pStyle w:val="ListParagraph"/>
        <w:numPr>
          <w:ilvl w:val="0"/>
          <w:numId w:val="1"/>
        </w:numPr>
        <w:spacing w:after="60"/>
      </w:pPr>
      <w:r>
        <w:rPr>
          <w:sz w:val="21"/>
          <w:szCs w:val="21"/>
        </w:rPr>
        <w:t xml:space="preserve">Asset disposal flow (disposal date, proceeds, gain/loss on disposal).</w:t>
      </w:r>
    </w:p>
    <w:p>
      <w:pPr>
        <w:pStyle w:val="Heading2"/>
        <w:spacing w:after="100" w:before="220"/>
      </w:pPr>
      <w:r>
        <w:rPr>
          <w:b/>
          <w:bCs/>
          <w:color w:val="2E6F5B"/>
          <w:sz w:val="24"/>
          <w:szCs w:val="24"/>
        </w:rPr>
        <w:t xml:space="preserve">8.9 Tax Centre</w:t>
      </w:r>
    </w:p>
    <w:p>
      <w:pPr>
        <w:pStyle w:val="ListParagraph"/>
        <w:numPr>
          <w:ilvl w:val="0"/>
          <w:numId w:val="1"/>
        </w:numPr>
        <w:spacing w:after="60"/>
      </w:pPr>
      <w:r>
        <w:rPr>
          <w:sz w:val="21"/>
          <w:szCs w:val="21"/>
        </w:rPr>
        <w:t xml:space="preserve">Configurable tax types (VAT, PAYE, Withholding Tax at minimum), each enabled/disabled by the tenant's admin; VAT and PAYE enabled by default, Withholding Tax available but disabled by default, all admin-adjustable.</w:t>
      </w:r>
    </w:p>
    <w:p>
      <w:pPr>
        <w:pStyle w:val="ListParagraph"/>
        <w:numPr>
          <w:ilvl w:val="0"/>
          <w:numId w:val="1"/>
        </w:numPr>
        <w:spacing w:after="60"/>
      </w:pPr>
      <w:r>
        <w:rPr>
          <w:sz w:val="21"/>
          <w:szCs w:val="21"/>
        </w:rPr>
        <w:t xml:space="preserve">Automatic VAT calculation on sales.</w:t>
      </w:r>
    </w:p>
    <w:p>
      <w:pPr>
        <w:pStyle w:val="ListParagraph"/>
        <w:numPr>
          <w:ilvl w:val="0"/>
          <w:numId w:val="1"/>
        </w:numPr>
        <w:spacing w:after="60"/>
      </w:pPr>
      <w:r>
        <w:rPr>
          <w:sz w:val="21"/>
          <w:szCs w:val="21"/>
        </w:rPr>
        <w:t xml:space="preserve">Tax period tracking, filing status, and payment status per period.</w:t>
      </w:r>
    </w:p>
    <w:p>
      <w:pPr>
        <w:pStyle w:val="ListParagraph"/>
        <w:numPr>
          <w:ilvl w:val="0"/>
          <w:numId w:val="1"/>
        </w:numPr>
        <w:spacing w:after="60"/>
      </w:pPr>
      <w:r>
        <w:rPr>
          <w:sz w:val="21"/>
          <w:szCs w:val="21"/>
        </w:rPr>
        <w:t xml:space="preserve">Tax record history.</w:t>
      </w:r>
    </w:p>
    <w:p>
      <w:pPr>
        <w:pStyle w:val="Heading2"/>
        <w:spacing w:after="100" w:before="220"/>
      </w:pPr>
      <w:r>
        <w:rPr>
          <w:b/>
          <w:bCs/>
          <w:color w:val="2E6F5B"/>
          <w:sz w:val="24"/>
          <w:szCs w:val="24"/>
        </w:rPr>
        <w:t xml:space="preserve">8.10 Full Double-Entry General Ledger</w:t>
      </w:r>
    </w:p>
    <w:p>
      <w:pPr>
        <w:pStyle w:val="ListParagraph"/>
        <w:numPr>
          <w:ilvl w:val="0"/>
          <w:numId w:val="1"/>
        </w:numPr>
        <w:spacing w:after="60"/>
      </w:pPr>
      <w:r>
        <w:rPr>
          <w:sz w:val="21"/>
          <w:szCs w:val="21"/>
        </w:rPr>
        <w:t xml:space="preserve">Every transaction across every module above must automatically generate a correct, balanced double-entry journal posting (debits = credits, always). This is the core of the product, not optional bookkeeping.</w:t>
      </w:r>
    </w:p>
    <w:p>
      <w:pPr>
        <w:pStyle w:val="ListParagraph"/>
        <w:numPr>
          <w:ilvl w:val="0"/>
          <w:numId w:val="1"/>
        </w:numPr>
        <w:spacing w:after="60"/>
      </w:pPr>
      <w:r>
        <w:rPr>
          <w:sz w:val="21"/>
          <w:szCs w:val="21"/>
        </w:rPr>
        <w:t xml:space="preserve">Configurable Chart of Accounts: tenant admin can rename/re-categorize accounts; system-critical accounts the posting engine depends on must be protected from deletion.</w:t>
      </w:r>
    </w:p>
    <w:p>
      <w:pPr>
        <w:pStyle w:val="ListParagraph"/>
        <w:numPr>
          <w:ilvl w:val="0"/>
          <w:numId w:val="1"/>
        </w:numPr>
        <w:spacing w:after="60"/>
      </w:pPr>
      <w:r>
        <w:rPr>
          <w:sz w:val="21"/>
          <w:szCs w:val="21"/>
        </w:rPr>
        <w:t xml:space="preserve">Manual journal entry capability for adjustments an accountant needs to make directly.</w:t>
      </w:r>
    </w:p>
    <w:p>
      <w:pPr>
        <w:pStyle w:val="ListParagraph"/>
        <w:numPr>
          <w:ilvl w:val="0"/>
          <w:numId w:val="1"/>
        </w:numPr>
        <w:spacing w:after="60"/>
      </w:pPr>
      <w:r>
        <w:rPr>
          <w:sz w:val="21"/>
          <w:szCs w:val="21"/>
        </w:rPr>
        <w:t xml:space="preserve">General Ledger detail view per account (every posting, running balance).</w:t>
      </w:r>
    </w:p>
    <w:p>
      <w:pPr>
        <w:pStyle w:val="ListParagraph"/>
        <w:numPr>
          <w:ilvl w:val="0"/>
          <w:numId w:val="1"/>
        </w:numPr>
        <w:spacing w:after="60"/>
      </w:pPr>
      <w:r>
        <w:rPr>
          <w:sz w:val="21"/>
          <w:szCs w:val="21"/>
        </w:rPr>
        <w:t xml:space="preserve">Trial Balance report, as of any date, proving the platform keeps real, balanced books.</w:t>
      </w:r>
    </w:p>
    <w:p>
      <w:pPr>
        <w:pStyle w:val="Heading2"/>
        <w:spacing w:after="100" w:before="220"/>
      </w:pPr>
      <w:r>
        <w:rPr>
          <w:b/>
          <w:bCs/>
          <w:color w:val="2E6F5B"/>
          <w:sz w:val="24"/>
          <w:szCs w:val="24"/>
        </w:rPr>
        <w:t xml:space="preserve">8.11 Financial Reporting</w:t>
      </w:r>
    </w:p>
    <w:p>
      <w:pPr>
        <w:pStyle w:val="ListParagraph"/>
        <w:numPr>
          <w:ilvl w:val="0"/>
          <w:numId w:val="1"/>
        </w:numPr>
        <w:spacing w:after="60"/>
      </w:pPr>
      <w:r>
        <w:rPr>
          <w:sz w:val="21"/>
          <w:szCs w:val="21"/>
        </w:rPr>
        <w:t xml:space="preserve">Income Statement (Profit &amp; Loss) for any period.</w:t>
      </w:r>
    </w:p>
    <w:p>
      <w:pPr>
        <w:pStyle w:val="ListParagraph"/>
        <w:numPr>
          <w:ilvl w:val="0"/>
          <w:numId w:val="1"/>
        </w:numPr>
        <w:spacing w:after="60"/>
      </w:pPr>
      <w:r>
        <w:rPr>
          <w:sz w:val="21"/>
          <w:szCs w:val="21"/>
        </w:rPr>
        <w:t xml:space="preserve">Balance Sheet as of any date.</w:t>
      </w:r>
    </w:p>
    <w:p>
      <w:pPr>
        <w:pStyle w:val="ListParagraph"/>
        <w:numPr>
          <w:ilvl w:val="0"/>
          <w:numId w:val="1"/>
        </w:numPr>
        <w:spacing w:after="60"/>
      </w:pPr>
      <w:r>
        <w:rPr>
          <w:sz w:val="21"/>
          <w:szCs w:val="21"/>
        </w:rPr>
        <w:t xml:space="preserve">Cash flow summary.</w:t>
      </w:r>
    </w:p>
    <w:p>
      <w:pPr>
        <w:pStyle w:val="ListParagraph"/>
        <w:numPr>
          <w:ilvl w:val="0"/>
          <w:numId w:val="1"/>
        </w:numPr>
        <w:spacing w:after="60"/>
      </w:pPr>
      <w:r>
        <w:rPr>
          <w:sz w:val="21"/>
          <w:szCs w:val="21"/>
        </w:rPr>
        <w:t xml:space="preserve">Dashboard with key metrics: revenue, expenses, profit, cash position, receivables/payables outstanding, low stock, upcoming tax obligations.</w:t>
      </w:r>
    </w:p>
    <w:p>
      <w:pPr>
        <w:pStyle w:val="ListParagraph"/>
        <w:numPr>
          <w:ilvl w:val="0"/>
          <w:numId w:val="1"/>
        </w:numPr>
        <w:spacing w:after="60"/>
      </w:pPr>
      <w:r>
        <w:rPr>
          <w:b/>
          <w:bCs/>
          <w:sz w:val="21"/>
          <w:szCs w:val="21"/>
        </w:rPr>
        <w:t xml:space="preserve">Audit-Ready Report Pack: </w:t>
      </w:r>
      <w:r>
        <w:rPr>
          <w:sz w:val="21"/>
          <w:szCs w:val="21"/>
        </w:rPr>
        <w:t xml:space="preserve">a comprehensive, downloadable bundle (PDF and Excel, with the Excel version containing separate sheets per report) covering Trial Balance, Income Statement, Balance Sheet, General Ledger detail, Aged Receivables &amp; Payables, Fixed Asset Register, Tax Summary, Sales &amp; Purchases Registers, Loan Register, and Payroll Register, selectable by quarter, half-year, full year, or a custom date range. This is the document a company hands to its own external accountant/auditor.</w:t>
      </w:r>
    </w:p>
    <w:p>
      <w:pPr>
        <w:pStyle w:val="Heading2"/>
        <w:spacing w:after="100" w:before="220"/>
      </w:pPr>
      <w:r>
        <w:rPr>
          <w:b/>
          <w:bCs/>
          <w:color w:val="2E6F5B"/>
          <w:sz w:val="24"/>
          <w:szCs w:val="24"/>
        </w:rPr>
        <w:t xml:space="preserve">8.12 Documents &amp; Traceability</w:t>
      </w:r>
    </w:p>
    <w:p>
      <w:pPr>
        <w:pStyle w:val="ListParagraph"/>
        <w:numPr>
          <w:ilvl w:val="0"/>
          <w:numId w:val="1"/>
        </w:numPr>
        <w:spacing w:after="60"/>
      </w:pPr>
      <w:r>
        <w:rPr>
          <w:sz w:val="21"/>
          <w:szCs w:val="21"/>
        </w:rPr>
        <w:t xml:space="preserve">Ability to attach supporting documents/files to relevant records (invoices, expenses, assets, etc.).</w:t>
      </w:r>
    </w:p>
    <w:p>
      <w:pPr>
        <w:pStyle w:val="ListParagraph"/>
        <w:numPr>
          <w:ilvl w:val="0"/>
          <w:numId w:val="1"/>
        </w:numPr>
        <w:spacing w:after="60"/>
      </w:pPr>
      <w:r>
        <w:rPr>
          <w:sz w:val="21"/>
          <w:szCs w:val="21"/>
        </w:rPr>
        <w:t xml:space="preserve">Full audit trail: every create/edit/cancel/delete of a financial record logs who did it and when.</w:t>
      </w:r>
    </w:p>
    <w:p>
      <w:pPr>
        <w:pStyle w:val="ListParagraph"/>
        <w:numPr>
          <w:ilvl w:val="0"/>
          <w:numId w:val="1"/>
        </w:numPr>
        <w:spacing w:after="60"/>
      </w:pPr>
      <w:r>
        <w:rPr>
          <w:sz w:val="21"/>
          <w:szCs w:val="21"/>
        </w:rPr>
        <w:t xml:space="preserve">No hard deletion of financial records anywhere; cancel, reverse, or archive only.</w:t>
      </w:r>
    </w:p>
    <w:p>
      <w:pPr>
        <w:pStyle w:val="ListParagraph"/>
        <w:numPr>
          <w:ilvl w:val="0"/>
          <w:numId w:val="1"/>
        </w:numPr>
        <w:spacing w:after="60"/>
      </w:pPr>
      <w:r>
        <w:rPr>
          <w:sz w:val="21"/>
          <w:szCs w:val="21"/>
        </w:rPr>
        <w:t xml:space="preserve">A recovery area for accidentally-archived non-financial records (e.g. a customer or product), recoverable by an admin.</w:t>
      </w:r>
    </w:p>
    <w:p>
      <w:pPr>
        <w:pStyle w:val="Heading2"/>
        <w:spacing w:after="100" w:before="220"/>
      </w:pPr>
      <w:r>
        <w:rPr>
          <w:b/>
          <w:bCs/>
          <w:color w:val="2E6F5B"/>
          <w:sz w:val="24"/>
          <w:szCs w:val="24"/>
        </w:rPr>
        <w:t xml:space="preserve">8.13 Projects &amp; Discounts (supporting features)</w:t>
      </w:r>
    </w:p>
    <w:p>
      <w:pPr>
        <w:pStyle w:val="ListParagraph"/>
        <w:numPr>
          <w:ilvl w:val="0"/>
          <w:numId w:val="1"/>
        </w:numPr>
        <w:spacing w:after="60"/>
      </w:pPr>
      <w:r>
        <w:rPr>
          <w:sz w:val="21"/>
          <w:szCs w:val="21"/>
        </w:rPr>
        <w:t xml:space="preserve">Optional project/cost-centre tagging on transactions, for companies that want to track profitability by project.</w:t>
      </w:r>
    </w:p>
    <w:p>
      <w:pPr>
        <w:pStyle w:val="ListParagraph"/>
        <w:numPr>
          <w:ilvl w:val="0"/>
          <w:numId w:val="1"/>
        </w:numPr>
        <w:spacing w:after="60"/>
      </w:pPr>
      <w:r>
        <w:rPr>
          <w:sz w:val="21"/>
          <w:szCs w:val="21"/>
        </w:rPr>
        <w:t xml:space="preserve">Configurable discount rules applicable at point of sale/invoicing.</w:t>
      </w:r>
    </w:p>
    <w:p>
      <w:pPr>
        <w:pStyle w:val="Heading2"/>
        <w:spacing w:after="100" w:before="220"/>
      </w:pPr>
      <w:r>
        <w:rPr>
          <w:b/>
          <w:bCs/>
          <w:color w:val="2E6F5B"/>
          <w:sz w:val="24"/>
          <w:szCs w:val="24"/>
        </w:rPr>
        <w:t xml:space="preserve">8.14 Data Import &amp; Export</w:t>
      </w:r>
    </w:p>
    <w:p>
      <w:pPr>
        <w:pStyle w:val="ListParagraph"/>
        <w:numPr>
          <w:ilvl w:val="0"/>
          <w:numId w:val="1"/>
        </w:numPr>
        <w:spacing w:after="60"/>
      </w:pPr>
      <w:r>
        <w:rPr>
          <w:sz w:val="21"/>
          <w:szCs w:val="21"/>
        </w:rPr>
        <w:t xml:space="preserve">Every list-based page/section in the platform (customers, suppliers, products, invoices, purchases, expenses, staff, assets, etc.) must support both bulk import (from an Excel/CSV template the platform provides) and export (to Excel/CSV/PDF as appropriate), platform-wide, not a subset of modules.</w:t>
      </w:r>
    </w:p>
    <w:p>
      <w:pPr>
        <w:pStyle w:val="Heading1"/>
        <w:spacing w:after="160" w:before="320"/>
      </w:pPr>
      <w:r>
        <w:rPr>
          <w:b/>
          <w:bCs/>
          <w:color w:val="1F3A5F"/>
          <w:sz w:val="28"/>
          <w:szCs w:val="28"/>
        </w:rPr>
        <w:t xml:space="preserve">9. Regulatory &amp; Tax Compliance Requirements</w:t>
      </w:r>
    </w:p>
    <w:p>
      <w:pPr>
        <w:pStyle w:val="ListParagraph"/>
        <w:numPr>
          <w:ilvl w:val="0"/>
          <w:numId w:val="1"/>
        </w:numPr>
        <w:spacing w:after="60"/>
      </w:pPr>
      <w:r>
        <w:rPr>
          <w:sz w:val="21"/>
          <w:szCs w:val="21"/>
        </w:rPr>
        <w:t xml:space="preserve">Full compliance with NRS (Nigeria Revenue Service) guidelines and the Nigeria Tax Administration Act 2025 (NTA 2025).</w:t>
      </w:r>
    </w:p>
    <w:p>
      <w:pPr>
        <w:pStyle w:val="ListParagraph"/>
        <w:numPr>
          <w:ilvl w:val="0"/>
          <w:numId w:val="1"/>
        </w:numPr>
        <w:spacing w:after="60"/>
      </w:pPr>
      <w:r>
        <w:rPr>
          <w:sz w:val="21"/>
          <w:szCs w:val="21"/>
        </w:rPr>
        <w:t xml:space="preserve">VAT, PAYE, and Withholding Tax must be built as configurable tax types, not hard-coded; rates and bands must be editable by an administrator without a software update, since Nigerian tax law changes periodically (as it did with NTA 2025).</w:t>
      </w:r>
    </w:p>
    <w:p>
      <w:pPr>
        <w:pStyle w:val="ListParagraph"/>
        <w:numPr>
          <w:ilvl w:val="0"/>
          <w:numId w:val="1"/>
        </w:numPr>
        <w:spacing w:after="60"/>
      </w:pPr>
      <w:r>
        <w:rPr>
          <w:sz w:val="21"/>
          <w:szCs w:val="21"/>
        </w:rPr>
        <w:t xml:space="preserve">Every invoice, regardless of e-invoicing status, must capture the data fields NRS e-invoicing requires (buyer TIN, seller TIN, invoice date, unique invoice number, line items, VAT) so historical invoices are always ready for e-invoicing retroactively.</w:t>
      </w:r>
    </w:p>
    <w:p>
      <w:pPr>
        <w:pStyle w:val="ListParagraph"/>
        <w:numPr>
          <w:ilvl w:val="0"/>
          <w:numId w:val="1"/>
        </w:numPr>
        <w:spacing w:after="60"/>
      </w:pPr>
      <w:r>
        <w:rPr>
          <w:sz w:val="21"/>
          <w:szCs w:val="21"/>
        </w:rPr>
        <w:t xml:space="preserve">PAYE must be calculated using the current NTA 2025 progressive band structure, with bands stored as editable data.</w:t>
      </w:r>
    </w:p>
    <w:p>
      <w:pPr>
        <w:pStyle w:val="Heading1"/>
        <w:spacing w:after="160" w:before="320"/>
      </w:pPr>
      <w:r>
        <w:rPr>
          <w:b/>
          <w:bCs/>
          <w:color w:val="1F3A5F"/>
          <w:sz w:val="28"/>
          <w:szCs w:val="28"/>
        </w:rPr>
        <w:t xml:space="preserve">10. NRS REV 360 E-Invoicing Integration</w:t>
      </w:r>
    </w:p>
    <w:p>
      <w:pPr>
        <w:pStyle w:val="ListParagraph"/>
        <w:numPr>
          <w:ilvl w:val="0"/>
          <w:numId w:val="1"/>
        </w:numPr>
        <w:spacing w:after="60"/>
      </w:pPr>
      <w:r>
        <w:rPr>
          <w:sz w:val="21"/>
          <w:szCs w:val="21"/>
        </w:rPr>
        <w:t xml:space="preserve">Direct integration with NRS REV 360, the Nigeria Revenue Service's e-invoicing platform, not a third-party e-invoicing intermediary/provider.</w:t>
      </w:r>
    </w:p>
    <w:p>
      <w:pPr>
        <w:pStyle w:val="ListParagraph"/>
        <w:numPr>
          <w:ilvl w:val="0"/>
          <w:numId w:val="1"/>
        </w:numPr>
        <w:spacing w:after="60"/>
      </w:pPr>
      <w:r>
        <w:rPr>
          <w:sz w:val="21"/>
          <w:szCs w:val="21"/>
        </w:rPr>
        <w:t xml:space="preserve">E-invoicing is opt-in per invoice via a toggle: a tenant chooses, invoice by invoice, whether to transmit it to NRS REV 360 at the point of issuing it. It is not mandatory on every invoice.</w:t>
      </w:r>
    </w:p>
    <w:p>
      <w:pPr>
        <w:pStyle w:val="ListParagraph"/>
        <w:numPr>
          <w:ilvl w:val="0"/>
          <w:numId w:val="1"/>
        </w:numPr>
        <w:spacing w:after="60"/>
      </w:pPr>
      <w:r>
        <w:rPr>
          <w:sz w:val="21"/>
          <w:szCs w:val="21"/>
        </w:rPr>
        <w:t xml:space="preserve">Submission to NRS REV 360 is only available once a tenant's CAC and TIN verification (Section 6) has succeeded; until then, the toggle exists in the UI but transmission is blocked with a clear explanatory message.</w:t>
      </w:r>
    </w:p>
    <w:p>
      <w:pPr>
        <w:pStyle w:val="ListParagraph"/>
        <w:numPr>
          <w:ilvl w:val="0"/>
          <w:numId w:val="1"/>
        </w:numPr>
        <w:spacing w:after="60"/>
      </w:pPr>
      <w:r>
        <w:rPr>
          <w:sz w:val="21"/>
          <w:szCs w:val="21"/>
        </w:rPr>
        <w:t xml:space="preserve">The developer should design the integration layer (authentication, invoice payload construction, submission, status tracking, error handling) to NRS REV 360's published API specification. API credentials and sandbox access will be obtained and provided separately by Xtreme Cr8tivity. This brief is to scope the requirement and integration effort, not to hand over live integration secrets at this stage.</w:t>
      </w:r>
    </w:p>
    <w:p>
      <w:pPr>
        <w:pStyle w:val="ListParagraph"/>
        <w:numPr>
          <w:ilvl w:val="0"/>
          <w:numId w:val="1"/>
        </w:numPr>
        <w:spacing w:after="60"/>
      </w:pPr>
      <w:r>
        <w:rPr>
          <w:sz w:val="21"/>
          <w:szCs w:val="21"/>
        </w:rPr>
        <w:t xml:space="preserve">Each invoice must track and display its e-invoice status (Not Submitted, Submitted, Accepted, Rejected/Error) and any reference number returned by NRS.</w:t>
      </w:r>
    </w:p>
    <w:p>
      <w:pPr>
        <w:pStyle w:val="Heading1"/>
        <w:spacing w:after="160" w:before="320"/>
      </w:pPr>
      <w:r>
        <w:rPr>
          <w:b/>
          <w:bCs/>
          <w:color w:val="1F3A5F"/>
          <w:sz w:val="28"/>
          <w:szCs w:val="28"/>
        </w:rPr>
        <w:t xml:space="preserve">11. Super-Admin Platform Dashboard</w:t>
      </w:r>
    </w:p>
    <w:p>
      <w:pPr>
        <w:spacing w:after="120"/>
      </w:pPr>
      <w:r>
        <w:rPr>
          <w:sz w:val="21"/>
          <w:szCs w:val="21"/>
        </w:rPr>
        <w:t xml:space="preserve">A separate, platform-operator-only control panel (Xtreme Cr8tivity staff access only) providing:</w:t>
      </w:r>
    </w:p>
    <w:p>
      <w:pPr>
        <w:pStyle w:val="ListParagraph"/>
        <w:numPr>
          <w:ilvl w:val="0"/>
          <w:numId w:val="1"/>
        </w:numPr>
        <w:spacing w:after="60"/>
      </w:pPr>
      <w:r>
        <w:rPr>
          <w:sz w:val="21"/>
          <w:szCs w:val="21"/>
        </w:rPr>
        <w:t xml:space="preserve">List of all tenant companies, with verification status (CAC/TIN), subscription plan, and subscription status (active, expired, pending payment).</w:t>
      </w:r>
    </w:p>
    <w:p>
      <w:pPr>
        <w:pStyle w:val="ListParagraph"/>
        <w:numPr>
          <w:ilvl w:val="0"/>
          <w:numId w:val="1"/>
        </w:numPr>
        <w:spacing w:after="60"/>
      </w:pPr>
      <w:r>
        <w:rPr>
          <w:sz w:val="21"/>
          <w:szCs w:val="21"/>
        </w:rPr>
        <w:t xml:space="preserve">Ability to view (not necessarily edit) a tenant's account and usage for support purposes.</w:t>
      </w:r>
    </w:p>
    <w:p>
      <w:pPr>
        <w:pStyle w:val="ListParagraph"/>
        <w:numPr>
          <w:ilvl w:val="0"/>
          <w:numId w:val="1"/>
        </w:numPr>
        <w:spacing w:after="60"/>
      </w:pPr>
      <w:r>
        <w:rPr>
          <w:sz w:val="21"/>
          <w:szCs w:val="21"/>
        </w:rPr>
        <w:t xml:space="preserve">Platform-wide metrics: total tenants, active subscriptions, revenue, growth over time, most-used modules.</w:t>
      </w:r>
    </w:p>
    <w:p>
      <w:pPr>
        <w:pStyle w:val="ListParagraph"/>
        <w:numPr>
          <w:ilvl w:val="0"/>
          <w:numId w:val="1"/>
        </w:numPr>
        <w:spacing w:after="60"/>
      </w:pPr>
      <w:r>
        <w:rPr>
          <w:sz w:val="21"/>
          <w:szCs w:val="21"/>
        </w:rPr>
        <w:t xml:space="preserve">Ability to suspend or reinstate a tenant account.</w:t>
      </w:r>
    </w:p>
    <w:p>
      <w:pPr>
        <w:pStyle w:val="ListParagraph"/>
        <w:numPr>
          <w:ilvl w:val="0"/>
          <w:numId w:val="1"/>
        </w:numPr>
        <w:spacing w:after="60"/>
      </w:pPr>
      <w:r>
        <w:rPr>
          <w:sz w:val="21"/>
          <w:szCs w:val="21"/>
        </w:rPr>
        <w:t xml:space="preserve">Ability to manage subscription plans/pricing tiers presented on the public site.</w:t>
      </w:r>
    </w:p>
    <w:p>
      <w:pPr>
        <w:pStyle w:val="ListParagraph"/>
        <w:numPr>
          <w:ilvl w:val="0"/>
          <w:numId w:val="1"/>
        </w:numPr>
        <w:spacing w:after="60"/>
      </w:pPr>
      <w:r>
        <w:rPr>
          <w:sz w:val="21"/>
          <w:szCs w:val="21"/>
        </w:rPr>
        <w:t xml:space="preserve">Visibility into demo bookings submitted from the public site.</w:t>
      </w:r>
    </w:p>
    <w:p>
      <w:pPr>
        <w:pStyle w:val="ListParagraph"/>
        <w:numPr>
          <w:ilvl w:val="0"/>
          <w:numId w:val="1"/>
        </w:numPr>
        <w:spacing w:after="60"/>
      </w:pPr>
      <w:r>
        <w:rPr>
          <w:sz w:val="21"/>
          <w:szCs w:val="21"/>
        </w:rPr>
        <w:t xml:space="preserve">Ability to manage the documentation/usage-guide library and the demo video shown on the public site.</w:t>
      </w:r>
    </w:p>
    <w:p>
      <w:pPr>
        <w:pStyle w:val="Heading1"/>
        <w:spacing w:after="160" w:before="320"/>
      </w:pPr>
      <w:r>
        <w:rPr>
          <w:b/>
          <w:bCs/>
          <w:color w:val="1F3A5F"/>
          <w:sz w:val="28"/>
          <w:szCs w:val="28"/>
        </w:rPr>
        <w:t xml:space="preserve">12. Non-Functional &amp; Technical Requirements</w:t>
      </w:r>
    </w:p>
    <w:p>
      <w:pPr>
        <w:pStyle w:val="ListParagraph"/>
        <w:numPr>
          <w:ilvl w:val="0"/>
          <w:numId w:val="1"/>
        </w:numPr>
        <w:spacing w:after="60"/>
      </w:pPr>
      <w:r>
        <w:rPr>
          <w:b/>
          <w:bCs/>
          <w:sz w:val="21"/>
          <w:szCs w:val="21"/>
        </w:rPr>
        <w:t xml:space="preserve">True multi-tenancy: </w:t>
      </w:r>
      <w:r>
        <w:rPr>
          <w:sz w:val="21"/>
          <w:szCs w:val="21"/>
        </w:rPr>
        <w:t xml:space="preserve">complete data isolation between tenant companies; no tenant can ever see or query another tenant's data, at the database/application-architecture level, not just the UI level.</w:t>
      </w:r>
    </w:p>
    <w:p>
      <w:pPr>
        <w:pStyle w:val="ListParagraph"/>
        <w:numPr>
          <w:ilvl w:val="0"/>
          <w:numId w:val="1"/>
        </w:numPr>
        <w:spacing w:after="60"/>
      </w:pPr>
      <w:r>
        <w:rPr>
          <w:b/>
          <w:bCs/>
          <w:sz w:val="21"/>
          <w:szCs w:val="21"/>
        </w:rPr>
        <w:t xml:space="preserve">Security: </w:t>
      </w:r>
      <w:r>
        <w:rPr>
          <w:sz w:val="21"/>
          <w:szCs w:val="21"/>
        </w:rPr>
        <w:t xml:space="preserve">encrypted data in transit (HTTPS everywhere) and at rest for sensitive fields; secure password storage (properly hashed, never plain text); role-based access control enforced server-side, not just hidden in the UI.</w:t>
      </w:r>
    </w:p>
    <w:p>
      <w:pPr>
        <w:pStyle w:val="ListParagraph"/>
        <w:numPr>
          <w:ilvl w:val="0"/>
          <w:numId w:val="1"/>
        </w:numPr>
        <w:spacing w:after="60"/>
      </w:pPr>
      <w:r>
        <w:rPr>
          <w:b/>
          <w:bCs/>
          <w:sz w:val="21"/>
          <w:szCs w:val="21"/>
        </w:rPr>
        <w:t xml:space="preserve">Reliability: </w:t>
      </w:r>
      <w:r>
        <w:rPr>
          <w:sz w:val="21"/>
          <w:szCs w:val="21"/>
        </w:rPr>
        <w:t xml:space="preserve">the platform should be built on a maintainable, well-supported technology stack, favouring proven, “boring” technology over experimental tooling, since this needs to be handed off to or maintained by a small team long-term.</w:t>
      </w:r>
    </w:p>
    <w:p>
      <w:pPr>
        <w:pStyle w:val="ListParagraph"/>
        <w:numPr>
          <w:ilvl w:val="0"/>
          <w:numId w:val="1"/>
        </w:numPr>
        <w:spacing w:after="60"/>
      </w:pPr>
      <w:r>
        <w:rPr>
          <w:b/>
          <w:bCs/>
          <w:sz w:val="21"/>
          <w:szCs w:val="21"/>
        </w:rPr>
        <w:t xml:space="preserve">Backups: </w:t>
      </w:r>
      <w:r>
        <w:rPr>
          <w:sz w:val="21"/>
          <w:szCs w:val="21"/>
        </w:rPr>
        <w:t xml:space="preserve">automated, regular backups of all tenant data, with a documented recovery process.</w:t>
      </w:r>
    </w:p>
    <w:p>
      <w:pPr>
        <w:pStyle w:val="ListParagraph"/>
        <w:numPr>
          <w:ilvl w:val="0"/>
          <w:numId w:val="1"/>
        </w:numPr>
        <w:spacing w:after="60"/>
      </w:pPr>
      <w:r>
        <w:rPr>
          <w:b/>
          <w:bCs/>
          <w:sz w:val="21"/>
          <w:szCs w:val="21"/>
        </w:rPr>
        <w:t xml:space="preserve">Performance: </w:t>
      </w:r>
      <w:r>
        <w:rPr>
          <w:sz w:val="21"/>
          <w:szCs w:val="21"/>
        </w:rPr>
        <w:t xml:space="preserve">the platform should remain responsive as the number of tenants and transaction volume grows; the developer should describe their approach to this in their proposal.</w:t>
      </w:r>
    </w:p>
    <w:p>
      <w:pPr>
        <w:pStyle w:val="ListParagraph"/>
        <w:numPr>
          <w:ilvl w:val="0"/>
          <w:numId w:val="1"/>
        </w:numPr>
        <w:spacing w:after="60"/>
      </w:pPr>
      <w:r>
        <w:rPr>
          <w:b/>
          <w:bCs/>
          <w:sz w:val="21"/>
          <w:szCs w:val="21"/>
        </w:rPr>
        <w:t xml:space="preserve">Browser support: </w:t>
      </w:r>
      <w:r>
        <w:rPr>
          <w:sz w:val="21"/>
          <w:szCs w:val="21"/>
        </w:rPr>
        <w:t xml:space="preserve">modern desktop and mobile browsers (Chrome, Safari, Edge, Firefox); the web app should be usable on a mobile browser even though native apps are out of scope for this phase.</w:t>
      </w:r>
    </w:p>
    <w:p>
      <w:pPr>
        <w:pStyle w:val="ListParagraph"/>
        <w:numPr>
          <w:ilvl w:val="0"/>
          <w:numId w:val="1"/>
        </w:numPr>
        <w:spacing w:after="60"/>
      </w:pPr>
      <w:r>
        <w:rPr>
          <w:b/>
          <w:bCs/>
          <w:sz w:val="21"/>
          <w:szCs w:val="21"/>
        </w:rPr>
        <w:t xml:space="preserve">Environments: </w:t>
      </w:r>
      <w:r>
        <w:rPr>
          <w:sz w:val="21"/>
          <w:szCs w:val="21"/>
        </w:rPr>
        <w:t xml:space="preserve">separate staging and production environments, with a documented deployment process.</w:t>
      </w:r>
    </w:p>
    <w:p>
      <w:pPr>
        <w:pStyle w:val="Heading1"/>
        <w:spacing w:after="160" w:before="320"/>
      </w:pPr>
      <w:r>
        <w:rPr>
          <w:b/>
          <w:bCs/>
          <w:color w:val="1F3A5F"/>
          <w:sz w:val="28"/>
          <w:szCs w:val="28"/>
        </w:rPr>
        <w:t xml:space="preserve">13. Confidentiality, IP &amp; Access Boundaries</w:t>
      </w:r>
    </w:p>
    <w:p>
      <w:pPr>
        <w:pStyle w:val="ListParagraph"/>
        <w:numPr>
          <w:ilvl w:val="0"/>
          <w:numId w:val="1"/>
        </w:numPr>
        <w:spacing w:after="60"/>
      </w:pPr>
      <w:r>
        <w:rPr>
          <w:sz w:val="21"/>
          <w:szCs w:val="21"/>
        </w:rPr>
        <w:t xml:space="preserve">All source code, designs, and documentation produced under this engagement are the sole property of Xtreme Cr8tivity Xpressions Limited upon delivery and payment; the developer retains no rights to reuse, resell, or share the codebase, designs, or this brief with any other party.</w:t>
      </w:r>
    </w:p>
    <w:p>
      <w:pPr>
        <w:pStyle w:val="ListParagraph"/>
        <w:numPr>
          <w:ilvl w:val="0"/>
          <w:numId w:val="1"/>
        </w:numPr>
        <w:spacing w:after="60"/>
      </w:pPr>
      <w:r>
        <w:rPr>
          <w:sz w:val="21"/>
          <w:szCs w:val="21"/>
        </w:rPr>
        <w:t xml:space="preserve">The developer will be provided only the information and access necessary to build the platform described in this brief. Sensitive credentials (e.g. live NRS REV 360 API access, production payment gateway keys) will be issued separately, later in the engagement, once a signed confidentiality/IP assignment agreement is in place.</w:t>
      </w:r>
    </w:p>
    <w:p>
      <w:pPr>
        <w:pStyle w:val="ListParagraph"/>
        <w:numPr>
          <w:ilvl w:val="0"/>
          <w:numId w:val="1"/>
        </w:numPr>
        <w:spacing w:after="60"/>
      </w:pPr>
      <w:r>
        <w:rPr>
          <w:sz w:val="21"/>
          <w:szCs w:val="21"/>
        </w:rPr>
        <w:t xml:space="preserve">A formal Non-Disclosure Agreement (NDA) and IP assignment contract will accompany this brief before detailed technical discussions begin.</w:t>
      </w:r>
    </w:p>
    <w:p>
      <w:pPr>
        <w:pStyle w:val="Heading1"/>
        <w:spacing w:after="160" w:before="320"/>
      </w:pPr>
      <w:r>
        <w:rPr>
          <w:b/>
          <w:bCs/>
          <w:color w:val="1F3A5F"/>
          <w:sz w:val="28"/>
          <w:szCs w:val="28"/>
        </w:rPr>
        <w:t xml:space="preserve">14. Deliverables</w:t>
      </w:r>
    </w:p>
    <w:p>
      <w:pPr>
        <w:pStyle w:val="ListParagraph"/>
        <w:numPr>
          <w:ilvl w:val="0"/>
          <w:numId w:val="1"/>
        </w:numPr>
        <w:spacing w:after="60"/>
      </w:pPr>
      <w:r>
        <w:rPr>
          <w:sz w:val="21"/>
          <w:szCs w:val="21"/>
        </w:rPr>
        <w:t xml:space="preserve">Full source code (frontend, backend, database schema/migrations) in a private repository, transferred to Xtreme Cr8tivity ownership on completion.</w:t>
      </w:r>
    </w:p>
    <w:p>
      <w:pPr>
        <w:pStyle w:val="ListParagraph"/>
        <w:numPr>
          <w:ilvl w:val="0"/>
          <w:numId w:val="1"/>
        </w:numPr>
        <w:spacing w:after="60"/>
      </w:pPr>
      <w:r>
        <w:rPr>
          <w:sz w:val="21"/>
          <w:szCs w:val="21"/>
        </w:rPr>
        <w:t xml:space="preserve">A deployed, working staging environment for review/testing throughout the build.</w:t>
      </w:r>
    </w:p>
    <w:p>
      <w:pPr>
        <w:pStyle w:val="ListParagraph"/>
        <w:numPr>
          <w:ilvl w:val="0"/>
          <w:numId w:val="1"/>
        </w:numPr>
        <w:spacing w:after="60"/>
      </w:pPr>
      <w:r>
        <w:rPr>
          <w:sz w:val="21"/>
          <w:szCs w:val="21"/>
        </w:rPr>
        <w:t xml:space="preserve">A deployed, working production environment at launch, with deployment/runbook documentation.</w:t>
      </w:r>
    </w:p>
    <w:p>
      <w:pPr>
        <w:pStyle w:val="ListParagraph"/>
        <w:numPr>
          <w:ilvl w:val="0"/>
          <w:numId w:val="1"/>
        </w:numPr>
        <w:spacing w:after="60"/>
      </w:pPr>
      <w:r>
        <w:rPr>
          <w:sz w:val="21"/>
          <w:szCs w:val="21"/>
        </w:rPr>
        <w:t xml:space="preserve">The complete public marketing website (Section 5).</w:t>
      </w:r>
    </w:p>
    <w:p>
      <w:pPr>
        <w:pStyle w:val="ListParagraph"/>
        <w:numPr>
          <w:ilvl w:val="0"/>
          <w:numId w:val="1"/>
        </w:numPr>
        <w:spacing w:after="60"/>
      </w:pPr>
      <w:r>
        <w:rPr>
          <w:sz w:val="21"/>
          <w:szCs w:val="21"/>
        </w:rPr>
        <w:t xml:space="preserve">The complete tenant-facing application covering every module in Section 8.</w:t>
      </w:r>
    </w:p>
    <w:p>
      <w:pPr>
        <w:pStyle w:val="ListParagraph"/>
        <w:numPr>
          <w:ilvl w:val="0"/>
          <w:numId w:val="1"/>
        </w:numPr>
        <w:spacing w:after="60"/>
      </w:pPr>
      <w:r>
        <w:rPr>
          <w:sz w:val="21"/>
          <w:szCs w:val="21"/>
        </w:rPr>
        <w:t xml:space="preserve">The super-admin platform dashboard (Section 11).</w:t>
      </w:r>
    </w:p>
    <w:p>
      <w:pPr>
        <w:pStyle w:val="ListParagraph"/>
        <w:numPr>
          <w:ilvl w:val="0"/>
          <w:numId w:val="1"/>
        </w:numPr>
        <w:spacing w:after="60"/>
      </w:pPr>
      <w:r>
        <w:rPr>
          <w:sz w:val="21"/>
          <w:szCs w:val="21"/>
        </w:rPr>
        <w:t xml:space="preserve">Working Paystack subscription billing integration (yearly plans).</w:t>
      </w:r>
    </w:p>
    <w:p>
      <w:pPr>
        <w:pStyle w:val="ListParagraph"/>
        <w:numPr>
          <w:ilvl w:val="0"/>
          <w:numId w:val="1"/>
        </w:numPr>
        <w:spacing w:after="60"/>
      </w:pPr>
      <w:r>
        <w:rPr>
          <w:sz w:val="21"/>
          <w:szCs w:val="21"/>
        </w:rPr>
        <w:t xml:space="preserve">Working NRS REV 360 e-invoicing integration (built to specification; final credential-based testing once Xtreme Cr8tivity provides API access).</w:t>
      </w:r>
    </w:p>
    <w:p>
      <w:pPr>
        <w:pStyle w:val="ListParagraph"/>
        <w:numPr>
          <w:ilvl w:val="0"/>
          <w:numId w:val="1"/>
        </w:numPr>
        <w:spacing w:after="60"/>
      </w:pPr>
      <w:r>
        <w:rPr>
          <w:sz w:val="21"/>
          <w:szCs w:val="21"/>
        </w:rPr>
        <w:t xml:space="preserve">CAC and TIN automated verification integration.</w:t>
      </w:r>
    </w:p>
    <w:p>
      <w:pPr>
        <w:pStyle w:val="ListParagraph"/>
        <w:numPr>
          <w:ilvl w:val="0"/>
          <w:numId w:val="1"/>
        </w:numPr>
        <w:spacing w:after="60"/>
      </w:pPr>
      <w:r>
        <w:rPr>
          <w:sz w:val="21"/>
          <w:szCs w:val="21"/>
        </w:rPr>
        <w:t xml:space="preserve">Technical documentation: architecture overview, database schema, API documentation, environment setup/deployment guide.</w:t>
      </w:r>
    </w:p>
    <w:p>
      <w:pPr>
        <w:pStyle w:val="ListParagraph"/>
        <w:numPr>
          <w:ilvl w:val="0"/>
          <w:numId w:val="1"/>
        </w:numPr>
        <w:spacing w:after="60"/>
      </w:pPr>
      <w:r>
        <w:rPr>
          <w:sz w:val="21"/>
          <w:szCs w:val="21"/>
        </w:rPr>
        <w:t xml:space="preserve">User documentation: written usage guides suitable for conversion into the PDF guides referenced in Section 5.</w:t>
      </w:r>
    </w:p>
    <w:p>
      <w:pPr>
        <w:pStyle w:val="ListParagraph"/>
        <w:numPr>
          <w:ilvl w:val="0"/>
          <w:numId w:val="1"/>
        </w:numPr>
        <w:spacing w:after="60"/>
      </w:pPr>
      <w:r>
        <w:rPr>
          <w:sz w:val="21"/>
          <w:szCs w:val="21"/>
        </w:rPr>
        <w:t xml:space="preserve">A recorded walkthrough/demo video of the finished platform (raw screen-recording acceptable; final production/editing handled separately).</w:t>
      </w:r>
    </w:p>
    <w:p>
      <w:pPr>
        <w:pStyle w:val="ListParagraph"/>
        <w:numPr>
          <w:ilvl w:val="0"/>
          <w:numId w:val="1"/>
        </w:numPr>
        <w:spacing w:after="60"/>
      </w:pPr>
      <w:r>
        <w:rPr>
          <w:sz w:val="21"/>
          <w:szCs w:val="21"/>
        </w:rPr>
        <w:t xml:space="preserve">A test/QA report showing what was tested and how (manual test cases at minimum; automated tests welcomed).</w:t>
      </w:r>
    </w:p>
    <w:p>
      <w:pPr>
        <w:pStyle w:val="ListParagraph"/>
        <w:numPr>
          <w:ilvl w:val="0"/>
          <w:numId w:val="1"/>
        </w:numPr>
        <w:spacing w:after="60"/>
      </w:pPr>
      <w:r>
        <w:rPr>
          <w:sz w:val="21"/>
          <w:szCs w:val="21"/>
        </w:rPr>
        <w:t xml:space="preserve">A defined warranty/support period post-launch (minimum 30 days of bug-fix support at no additional cost, to be confirmed in the contract).</w:t>
      </w:r>
    </w:p>
    <w:p>
      <w:pPr>
        <w:pStyle w:val="ListParagraph"/>
        <w:numPr>
          <w:ilvl w:val="0"/>
          <w:numId w:val="1"/>
        </w:numPr>
        <w:spacing w:after="60"/>
      </w:pPr>
      <w:r>
        <w:rPr>
          <w:sz w:val="21"/>
          <w:szCs w:val="21"/>
        </w:rPr>
        <w:t xml:space="preserve">A knowledge-transfer session (or recorded walkthrough) for Xtreme Cr8tivity's own team to understand the codebase and admin tools.</w:t>
      </w:r>
    </w:p>
    <w:p>
      <w:pPr>
        <w:pStyle w:val="Heading1"/>
        <w:spacing w:after="160" w:before="320"/>
      </w:pPr>
      <w:r>
        <w:rPr>
          <w:b/>
          <w:bCs/>
          <w:color w:val="1F3A5F"/>
          <w:sz w:val="28"/>
          <w:szCs w:val="28"/>
        </w:rPr>
        <w:t xml:space="preserve">15. Proposed Timeline &amp; Milestones (4-6 Week MVP)</w:t>
      </w:r>
    </w:p>
    <w:p>
      <w:pPr>
        <w:spacing w:after="120"/>
      </w:pPr>
      <w:r>
        <w:rPr>
          <w:b/>
          <w:bCs/>
          <w:color w:val="B00020"/>
          <w:sz w:val="21"/>
          <w:szCs w:val="21"/>
        </w:rPr>
        <w:t xml:space="preserve">Given the scope described above, a complete, fully-tested, feature-complete platform in 4-6 weeks is not realistic without compromising quality or Nigerian tax compliance accuracy; both of which are non-negotiable for this product. The milestones below define a realistic MVP achievable in that window, with clearly scoped items deferred to a fast-follow phase immediately after launch. Any proposal that promises full scope in 4-6 weeks should be scrutinised closely for what is actually being cut.</w:t>
      </w:r>
    </w:p>
    <w:p>
      <w:pPr>
        <w:pStyle w:val="Heading2"/>
        <w:spacing w:after="100" w:before="220"/>
      </w:pPr>
      <w:r>
        <w:rPr>
          <w:b/>
          <w:bCs/>
          <w:color w:val="2E6F5B"/>
          <w:sz w:val="24"/>
          <w:szCs w:val="24"/>
        </w:rPr>
        <w:t xml:space="preserve">MVP scope for Week 1-6 (recommended)</w:t>
      </w:r>
    </w:p>
    <w:p>
      <w:pPr>
        <w:pStyle w:val="ListParagraph"/>
        <w:numPr>
          <w:ilvl w:val="0"/>
          <w:numId w:val="1"/>
        </w:numPr>
        <w:spacing w:after="60"/>
      </w:pPr>
      <w:r>
        <w:rPr>
          <w:sz w:val="21"/>
          <w:szCs w:val="21"/>
        </w:rPr>
        <w:t xml:space="preserve">Public website: marketing pages, pricing, sign-up, demo booking (video/docs library can follow post-launch).</w:t>
      </w:r>
    </w:p>
    <w:p>
      <w:pPr>
        <w:pStyle w:val="ListParagraph"/>
        <w:numPr>
          <w:ilvl w:val="0"/>
          <w:numId w:val="1"/>
        </w:numPr>
        <w:spacing w:after="60"/>
      </w:pPr>
      <w:r>
        <w:rPr>
          <w:sz w:val="21"/>
          <w:szCs w:val="21"/>
        </w:rPr>
        <w:t xml:space="preserve">Full onboarding flow with email verification and CAC/TIN verification.</w:t>
      </w:r>
    </w:p>
    <w:p>
      <w:pPr>
        <w:pStyle w:val="ListParagraph"/>
        <w:numPr>
          <w:ilvl w:val="0"/>
          <w:numId w:val="1"/>
        </w:numPr>
        <w:spacing w:after="60"/>
      </w:pPr>
      <w:r>
        <w:rPr>
          <w:sz w:val="21"/>
          <w:szCs w:val="21"/>
        </w:rPr>
        <w:t xml:space="preserve">Paystack subscription billing (yearly plans).</w:t>
      </w:r>
    </w:p>
    <w:p>
      <w:pPr>
        <w:pStyle w:val="ListParagraph"/>
        <w:numPr>
          <w:ilvl w:val="0"/>
          <w:numId w:val="1"/>
        </w:numPr>
        <w:spacing w:after="60"/>
      </w:pPr>
      <w:r>
        <w:rPr>
          <w:sz w:val="21"/>
          <w:szCs w:val="21"/>
        </w:rPr>
        <w:t xml:space="preserve">Core accounting: Sales/Invoicing, Purchases, Expenses, Cash &amp; Bank, Customers, Suppliers, Products/Inventory.</w:t>
      </w:r>
    </w:p>
    <w:p>
      <w:pPr>
        <w:pStyle w:val="ListParagraph"/>
        <w:numPr>
          <w:ilvl w:val="0"/>
          <w:numId w:val="1"/>
        </w:numPr>
        <w:spacing w:after="60"/>
      </w:pPr>
      <w:r>
        <w:rPr>
          <w:sz w:val="21"/>
          <w:szCs w:val="21"/>
        </w:rPr>
        <w:t xml:space="preserve">Full double-entry GL engine underneath all of the above, Chart of Accounts, Trial Balance.</w:t>
      </w:r>
    </w:p>
    <w:p>
      <w:pPr>
        <w:pStyle w:val="ListParagraph"/>
        <w:numPr>
          <w:ilvl w:val="0"/>
          <w:numId w:val="1"/>
        </w:numPr>
        <w:spacing w:after="60"/>
      </w:pPr>
      <w:r>
        <w:rPr>
          <w:sz w:val="21"/>
          <w:szCs w:val="21"/>
        </w:rPr>
        <w:t xml:space="preserve">Tax Centre (VAT, PAYE, WHT, each configurable) with correct NTA 2025 calculations.</w:t>
      </w:r>
    </w:p>
    <w:p>
      <w:pPr>
        <w:pStyle w:val="ListParagraph"/>
        <w:numPr>
          <w:ilvl w:val="0"/>
          <w:numId w:val="1"/>
        </w:numPr>
        <w:spacing w:after="60"/>
      </w:pPr>
      <w:r>
        <w:rPr>
          <w:sz w:val="21"/>
          <w:szCs w:val="21"/>
        </w:rPr>
        <w:t xml:space="preserve">E-invoicing toggle and NRS REV 360 integration built to spec (live testing dependent on Xtreme Cr8tivity providing sandbox credentials).</w:t>
      </w:r>
    </w:p>
    <w:p>
      <w:pPr>
        <w:pStyle w:val="ListParagraph"/>
        <w:numPr>
          <w:ilvl w:val="0"/>
          <w:numId w:val="1"/>
        </w:numPr>
        <w:spacing w:after="60"/>
      </w:pPr>
      <w:r>
        <w:rPr>
          <w:sz w:val="21"/>
          <w:szCs w:val="21"/>
        </w:rPr>
        <w:t xml:space="preserve">Super-admin dashboard: tenant list, verification status, subscription status, suspend/reinstate.</w:t>
      </w:r>
    </w:p>
    <w:p>
      <w:pPr>
        <w:pStyle w:val="Heading2"/>
        <w:spacing w:after="100" w:before="220"/>
      </w:pPr>
      <w:r>
        <w:rPr>
          <w:b/>
          <w:bCs/>
          <w:color w:val="2E6F5B"/>
          <w:sz w:val="24"/>
          <w:szCs w:val="24"/>
        </w:rPr>
        <w:t xml:space="preserve">Deferred to fast-follow (post-MVP) phase</w:t>
      </w:r>
    </w:p>
    <w:p>
      <w:pPr>
        <w:pStyle w:val="ListParagraph"/>
        <w:numPr>
          <w:ilvl w:val="0"/>
          <w:numId w:val="1"/>
        </w:numPr>
        <w:spacing w:after="60"/>
      </w:pPr>
      <w:r>
        <w:rPr>
          <w:sz w:val="21"/>
          <w:szCs w:val="21"/>
        </w:rPr>
        <w:t xml:space="preserve">Payroll, Fixed Assets, Loans, POS, Production/Manufacturing, Projects, Discounts.</w:t>
      </w:r>
    </w:p>
    <w:p>
      <w:pPr>
        <w:pStyle w:val="ListParagraph"/>
        <w:numPr>
          <w:ilvl w:val="0"/>
          <w:numId w:val="1"/>
        </w:numPr>
        <w:spacing w:after="60"/>
      </w:pPr>
      <w:r>
        <w:rPr>
          <w:sz w:val="21"/>
          <w:szCs w:val="21"/>
        </w:rPr>
        <w:t xml:space="preserve">Audit-Ready Report Pack.</w:t>
      </w:r>
    </w:p>
    <w:p>
      <w:pPr>
        <w:pStyle w:val="ListParagraph"/>
        <w:numPr>
          <w:ilvl w:val="0"/>
          <w:numId w:val="1"/>
        </w:numPr>
        <w:spacing w:after="60"/>
      </w:pPr>
      <w:r>
        <w:rPr>
          <w:sz w:val="21"/>
          <w:szCs w:val="21"/>
        </w:rPr>
        <w:t xml:space="preserve">Full import/export coverage across every module (MVP can ship with import/export on the highest-priority modules first).</w:t>
      </w:r>
    </w:p>
    <w:p>
      <w:pPr>
        <w:pStyle w:val="ListParagraph"/>
        <w:numPr>
          <w:ilvl w:val="0"/>
          <w:numId w:val="1"/>
        </w:numPr>
        <w:spacing w:after="60"/>
      </w:pPr>
      <w:r>
        <w:rPr>
          <w:sz w:val="21"/>
          <w:szCs w:val="21"/>
        </w:rPr>
        <w:t xml:space="preserve">Demo video hosting and documentation library on the public site.</w:t>
      </w:r>
    </w:p>
    <w:p>
      <w:pPr>
        <w:spacing w:after="200" w:before="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shd w:fill="1F3A5F" w:val="clear"/>
            <w:vAlign w:val="center"/>
          </w:tcPr>
          <w:p>
            <w:r>
              <w:rPr>
                <w:b/>
                <w:bCs/>
                <w:color w:val="FFFFFF"/>
                <w:sz w:val="20"/>
                <w:szCs w:val="20"/>
              </w:rPr>
              <w:t xml:space="preserve">Week</w:t>
            </w:r>
          </w:p>
        </w:tc>
        <w:tc>
          <w:tcPr>
            <w:tcW w:type="dxa" w:w="8000"/>
            <w:shd w:fill="1F3A5F" w:val="clear"/>
            <w:vAlign w:val="center"/>
          </w:tcPr>
          <w:p>
            <w:r>
              <w:rPr>
                <w:b/>
                <w:bCs/>
                <w:color w:val="FFFFFF"/>
                <w:sz w:val="20"/>
                <w:szCs w:val="20"/>
              </w:rPr>
              <w:t xml:space="preserve">Milestone</w:t>
            </w:r>
          </w:p>
        </w:tc>
      </w:tr>
      <w:tr>
        <w:tc>
          <w:tcPr>
            <w:tcW w:type="dxa" w:w="1600"/>
            <w:vAlign w:val="center"/>
          </w:tcPr>
          <w:p>
            <w:r>
              <w:rPr>
                <w:b w:val="false"/>
                <w:bCs w:val="false"/>
                <w:color w:val="000000"/>
                <w:sz w:val="20"/>
                <w:szCs w:val="20"/>
              </w:rPr>
              <w:t xml:space="preserve">Week 1</w:t>
            </w:r>
          </w:p>
        </w:tc>
        <w:tc>
          <w:tcPr>
            <w:tcW w:type="dxa" w:w="8000"/>
            <w:vAlign w:val="center"/>
          </w:tcPr>
          <w:p>
            <w:r>
              <w:rPr>
                <w:b w:val="false"/>
                <w:bCs w:val="false"/>
                <w:color w:val="000000"/>
                <w:sz w:val="20"/>
                <w:szCs w:val="20"/>
              </w:rPr>
              <w:t xml:space="preserve">Architecture finalised; multi-tenant data model; public site skeleton; onboarding flow (signup, email verification, company profile, CAC/TIN verification) built and testable</w:t>
            </w:r>
          </w:p>
        </w:tc>
      </w:tr>
      <w:tr>
        <w:tc>
          <w:tcPr>
            <w:tcW w:type="dxa" w:w="1600"/>
            <w:vAlign w:val="center"/>
          </w:tcPr>
          <w:p>
            <w:r>
              <w:rPr>
                <w:b w:val="false"/>
                <w:bCs w:val="false"/>
                <w:color w:val="000000"/>
                <w:sz w:val="20"/>
                <w:szCs w:val="20"/>
              </w:rPr>
              <w:t xml:space="preserve">Week 2</w:t>
            </w:r>
          </w:p>
        </w:tc>
        <w:tc>
          <w:tcPr>
            <w:tcW w:type="dxa" w:w="8000"/>
            <w:vAlign w:val="center"/>
          </w:tcPr>
          <w:p>
            <w:r>
              <w:rPr>
                <w:b w:val="false"/>
                <w:bCs w:val="false"/>
                <w:color w:val="000000"/>
                <w:sz w:val="20"/>
                <w:szCs w:val="20"/>
              </w:rPr>
              <w:t xml:space="preserve">Paystack billing live in sandbox; Chart of Accounts + GL posting engine foundation; Customers, Suppliers, Products/Inventory modules</w:t>
            </w:r>
          </w:p>
        </w:tc>
      </w:tr>
      <w:tr>
        <w:tc>
          <w:tcPr>
            <w:tcW w:type="dxa" w:w="1600"/>
            <w:vAlign w:val="center"/>
          </w:tcPr>
          <w:p>
            <w:r>
              <w:rPr>
                <w:b w:val="false"/>
                <w:bCs w:val="false"/>
                <w:color w:val="000000"/>
                <w:sz w:val="20"/>
                <w:szCs w:val="20"/>
              </w:rPr>
              <w:t xml:space="preserve">Week 3</w:t>
            </w:r>
          </w:p>
        </w:tc>
        <w:tc>
          <w:tcPr>
            <w:tcW w:type="dxa" w:w="8000"/>
            <w:vAlign w:val="center"/>
          </w:tcPr>
          <w:p>
            <w:r>
              <w:rPr>
                <w:b w:val="false"/>
                <w:bCs w:val="false"/>
                <w:color w:val="000000"/>
                <w:sz w:val="20"/>
                <w:szCs w:val="20"/>
              </w:rPr>
              <w:t xml:space="preserve">Sales &amp; Invoicing (with e-invoice toggle, NRS payload construction), Purchases, Expenses, Cash &amp; Bank, all posting correctly to the GL</w:t>
            </w:r>
          </w:p>
        </w:tc>
      </w:tr>
      <w:tr>
        <w:tc>
          <w:tcPr>
            <w:tcW w:type="dxa" w:w="1600"/>
            <w:vAlign w:val="center"/>
          </w:tcPr>
          <w:p>
            <w:r>
              <w:rPr>
                <w:b w:val="false"/>
                <w:bCs w:val="false"/>
                <w:color w:val="000000"/>
                <w:sz w:val="20"/>
                <w:szCs w:val="20"/>
              </w:rPr>
              <w:t xml:space="preserve">Week 4</w:t>
            </w:r>
          </w:p>
        </w:tc>
        <w:tc>
          <w:tcPr>
            <w:tcW w:type="dxa" w:w="8000"/>
            <w:vAlign w:val="center"/>
          </w:tcPr>
          <w:p>
            <w:r>
              <w:rPr>
                <w:b w:val="false"/>
                <w:bCs w:val="false"/>
                <w:color w:val="000000"/>
                <w:sz w:val="20"/>
                <w:szCs w:val="20"/>
              </w:rPr>
              <w:t xml:space="preserve">Tax Centre (VAT/PAYE/WHT configuration + NTA 2025 calculations), Trial Balance, super-admin dashboard, NRS REV 360 integration wired to sandbox (pending credentials)</w:t>
            </w:r>
          </w:p>
        </w:tc>
      </w:tr>
      <w:tr>
        <w:tc>
          <w:tcPr>
            <w:tcW w:type="dxa" w:w="1600"/>
            <w:vAlign w:val="center"/>
          </w:tcPr>
          <w:p>
            <w:r>
              <w:rPr>
                <w:b w:val="false"/>
                <w:bCs w:val="false"/>
                <w:color w:val="000000"/>
                <w:sz w:val="20"/>
                <w:szCs w:val="20"/>
              </w:rPr>
              <w:t xml:space="preserve">Week 5</w:t>
            </w:r>
          </w:p>
        </w:tc>
        <w:tc>
          <w:tcPr>
            <w:tcW w:type="dxa" w:w="8000"/>
            <w:vAlign w:val="center"/>
          </w:tcPr>
          <w:p>
            <w:r>
              <w:rPr>
                <w:b w:val="false"/>
                <w:bCs w:val="false"/>
                <w:color w:val="000000"/>
                <w:sz w:val="20"/>
                <w:szCs w:val="20"/>
              </w:rPr>
              <w:t xml:space="preserve">End-to-end QA across every module, bug-fixing, security review (tenant data-isolation testing is critical here), staging sign-off</w:t>
            </w:r>
          </w:p>
        </w:tc>
      </w:tr>
      <w:tr>
        <w:tc>
          <w:tcPr>
            <w:tcW w:type="dxa" w:w="1600"/>
            <w:vAlign w:val="center"/>
          </w:tcPr>
          <w:p>
            <w:r>
              <w:rPr>
                <w:b w:val="false"/>
                <w:bCs w:val="false"/>
                <w:color w:val="000000"/>
                <w:sz w:val="20"/>
                <w:szCs w:val="20"/>
              </w:rPr>
              <w:t xml:space="preserve">Week 6</w:t>
            </w:r>
          </w:p>
        </w:tc>
        <w:tc>
          <w:tcPr>
            <w:tcW w:type="dxa" w:w="8000"/>
            <w:vAlign w:val="center"/>
          </w:tcPr>
          <w:p>
            <w:r>
              <w:rPr>
                <w:b w:val="false"/>
                <w:bCs w:val="false"/>
                <w:color w:val="000000"/>
                <w:sz w:val="20"/>
                <w:szCs w:val="20"/>
              </w:rPr>
              <w:t xml:space="preserve">Production deployment, final NRS REV 360 verification once live credentials are available, documentation handover, launch</w:t>
            </w:r>
          </w:p>
        </w:tc>
      </w:tr>
    </w:tbl>
    <w:p>
      <w:pPr>
        <w:pStyle w:val="Heading1"/>
        <w:spacing w:after="160" w:before="320"/>
      </w:pPr>
      <w:r>
        <w:rPr>
          <w:b/>
          <w:bCs/>
          <w:color w:val="1F3A5F"/>
          <w:sz w:val="28"/>
          <w:szCs w:val="28"/>
        </w:rPr>
        <w:t xml:space="preserve">16. Acceptance Criteria</w:t>
      </w:r>
    </w:p>
    <w:p>
      <w:pPr>
        <w:spacing w:after="120"/>
      </w:pPr>
      <w:r>
        <w:rPr>
          <w:sz w:val="21"/>
          <w:szCs w:val="21"/>
        </w:rPr>
        <w:t xml:space="preserve">A milestone, or the final delivery, is considered accepted when:</w:t>
      </w:r>
    </w:p>
    <w:p>
      <w:pPr>
        <w:pStyle w:val="ListParagraph"/>
        <w:numPr>
          <w:ilvl w:val="0"/>
          <w:numId w:val="1"/>
        </w:numPr>
        <w:spacing w:after="60"/>
      </w:pPr>
      <w:r>
        <w:rPr>
          <w:sz w:val="21"/>
          <w:szCs w:val="21"/>
        </w:rPr>
        <w:t xml:space="preserve">Every module listed as in-scope for that milestone is demonstrably working end-to-end (data entered flows correctly into invoices/GL/reports, not just saved to a form).</w:t>
      </w:r>
    </w:p>
    <w:p>
      <w:pPr>
        <w:pStyle w:val="ListParagraph"/>
        <w:numPr>
          <w:ilvl w:val="0"/>
          <w:numId w:val="1"/>
        </w:numPr>
        <w:spacing w:after="60"/>
      </w:pPr>
      <w:r>
        <w:rPr>
          <w:sz w:val="21"/>
          <w:szCs w:val="21"/>
        </w:rPr>
        <w:t xml:space="preserve">The Trial Balance always balances (total debits = total credits) after any sequence of test transactions.</w:t>
      </w:r>
    </w:p>
    <w:p>
      <w:pPr>
        <w:pStyle w:val="ListParagraph"/>
        <w:numPr>
          <w:ilvl w:val="0"/>
          <w:numId w:val="1"/>
        </w:numPr>
        <w:spacing w:after="60"/>
      </w:pPr>
      <w:r>
        <w:rPr>
          <w:sz w:val="21"/>
          <w:szCs w:val="21"/>
        </w:rPr>
        <w:t xml:space="preserve">A tenant cannot access another tenant's data under any circumstance (tested directly, not assumed).</w:t>
      </w:r>
    </w:p>
    <w:p>
      <w:pPr>
        <w:pStyle w:val="ListParagraph"/>
        <w:numPr>
          <w:ilvl w:val="0"/>
          <w:numId w:val="1"/>
        </w:numPr>
        <w:spacing w:after="60"/>
      </w:pPr>
      <w:r>
        <w:rPr>
          <w:sz w:val="21"/>
          <w:szCs w:val="21"/>
        </w:rPr>
        <w:t xml:space="preserve">Every listed deliverable in Section 14 has been handed over.</w:t>
      </w:r>
    </w:p>
    <w:p>
      <w:pPr>
        <w:pStyle w:val="ListParagraph"/>
        <w:numPr>
          <w:ilvl w:val="0"/>
          <w:numId w:val="1"/>
        </w:numPr>
        <w:spacing w:after="60"/>
      </w:pPr>
      <w:r>
        <w:rPr>
          <w:sz w:val="21"/>
          <w:szCs w:val="21"/>
        </w:rPr>
        <w:t xml:space="preserve">Agreed critical and major bugs from QA are resolved before go-live.</w:t>
      </w:r>
    </w:p>
    <w:p>
      <w:pPr>
        <w:pStyle w:val="Heading1"/>
        <w:spacing w:after="160" w:before="320"/>
      </w:pPr>
      <w:r>
        <w:rPr>
          <w:b/>
          <w:bCs/>
          <w:color w:val="1F3A5F"/>
          <w:sz w:val="28"/>
          <w:szCs w:val="28"/>
        </w:rPr>
        <w:t xml:space="preserve">17. Assumptions &amp; Open Items</w:t>
      </w:r>
    </w:p>
    <w:p>
      <w:pPr>
        <w:pStyle w:val="ListParagraph"/>
        <w:numPr>
          <w:ilvl w:val="0"/>
          <w:numId w:val="1"/>
        </w:numPr>
        <w:spacing w:after="60"/>
      </w:pPr>
      <w:r>
        <w:rPr>
          <w:sz w:val="21"/>
          <w:szCs w:val="21"/>
        </w:rPr>
        <w:t xml:space="preserve">Xtreme Cr8tivity will provide: final subscription pricing/tiers, brand assets (logo, colours), legal page content (Terms, Privacy Policy), and NRS REV 360 API credentials once available.</w:t>
      </w:r>
    </w:p>
    <w:p>
      <w:pPr>
        <w:pStyle w:val="ListParagraph"/>
        <w:numPr>
          <w:ilvl w:val="0"/>
          <w:numId w:val="1"/>
        </w:numPr>
        <w:spacing w:after="60"/>
      </w:pPr>
      <w:r>
        <w:rPr>
          <w:sz w:val="21"/>
          <w:szCs w:val="21"/>
        </w:rPr>
        <w:t xml:space="preserve">The specific CAC/TIN verification method/provider is left to the developer to research and propose, since Xtreme Cr8tivity is not mandating a specific third-party verification vendor in this brief.</w:t>
      </w:r>
    </w:p>
    <w:p>
      <w:pPr>
        <w:pStyle w:val="ListParagraph"/>
        <w:numPr>
          <w:ilvl w:val="0"/>
          <w:numId w:val="1"/>
        </w:numPr>
        <w:spacing w:after="60"/>
      </w:pPr>
      <w:r>
        <w:rPr>
          <w:sz w:val="21"/>
          <w:szCs w:val="21"/>
        </w:rPr>
        <w:t xml:space="preserve">Multi-currency support means tenants can record transactions in currencies other than Naira; it does not exempt a Nigerian-registered tenant from NRS/NTA 2025 tax compliance on its Nigerian tax obligations.</w:t>
      </w:r>
    </w:p>
    <w:p>
      <w:pPr>
        <w:pStyle w:val="ListParagraph"/>
        <w:numPr>
          <w:ilvl w:val="0"/>
          <w:numId w:val="1"/>
        </w:numPr>
        <w:spacing w:after="60"/>
      </w:pPr>
      <w:r>
        <w:rPr>
          <w:sz w:val="21"/>
          <w:szCs w:val="21"/>
        </w:rPr>
        <w:t xml:space="preserve">Data protection/privacy compliance requirements beyond what's stated in this brief will be addressed separately and are not to be assumed out of scope by omission; the developer should still follow standard secure-by-default practices regardless.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2026-09-24T12:23:49.681Z</dcterms:created>
  <dcterms:modified xsi:type="dcterms:W3CDTF">2026-09-24T12:23:49.681Z</dcterms:modified>
</cp:coreProperties>
</file>

<file path=docProps/custom.xml><?xml version="1.0" encoding="utf-8"?>
<Properties xmlns="http://schemas.openxmlformats.org/officeDocument/2006/custom-properties" xmlns:vt="http://schemas.openxmlformats.org/officeDocument/2006/docPropsVTypes"/>
</file>