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W w:type="dxa" w:w="1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4A23" w:color="3F4A23" w:val="clear"/>
            <w:tcMar>
              <w:top w:type="dxa" w:w="340"/>
              <w:left w:type="dxa" w:w="500"/>
              <w:bottom w:type="dxa" w:w="340"/>
              <w:right w:type="dxa" w:w="500"/>
            </w:tcMar>
          </w:tcPr>
          <w:p>
            <w:pPr>
              <w:spacing w:after="6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50"/>
                <w:szCs w:val="50"/>
              </w:rPr>
              <w:t xml:space="preserve">ANSIGHT</w:t>
            </w:r>
          </w:p>
          <w:p>
            <w:r>
              <w:rPr>
                <w:rFonts w:ascii="Calibri" w:cs="Calibri" w:eastAsia="Calibri" w:hAnsi="Calibri"/>
                <w:color w:val="E8DEC0"/>
                <w:sz w:val="20"/>
                <w:szCs w:val="20"/>
              </w:rPr>
              <w:t xml:space="preserve">Brand Guidelines: Color, Typography &amp; Mark Usage</w:t>
            </w:r>
          </w:p>
        </w:tc>
      </w:tr>
    </w:tbl>
    <w:p>
      <w:pPr>
        <w:spacing w:after="0" w:before="260"/>
      </w:pPr>
    </w:p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W w:type="dxa" w:w="1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500"/>
              <w:bottom w:type="dxa" w:w="100"/>
              <w:right w:type="dxa" w:w="500"/>
            </w:tcMar>
          </w:tcPr>
          <w:p>
            <w:pPr>
              <w:spacing w:after="6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A22"/>
                <w:sz w:val="19"/>
                <w:szCs w:val="19"/>
              </w:rPr>
              <w:t xml:space="preserve">This guide documents the visual identity used across Ansight’s capability statement, presentation deck, and related materials: the “Olive &amp; Amber” palette, paired with Cambria and Calibri typography. Use it to keep new materials consistent with existing collateral.</w:t>
            </w:r>
          </w:p>
        </w:tc>
      </w:tr>
    </w:tbl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W w:type="dxa" w:w="1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500"/>
              <w:right w:type="dxa" w:w="500"/>
            </w:tcMar>
          </w:tcPr>
          <w:p>
            <w:pPr>
              <w:pBdr>
                <w:bottom w:val="single" w:color="C98A1D" w:sz="4" w:space="4"/>
              </w:pBdr>
              <w:spacing w:after="120" w:before="280"/>
            </w:pPr>
            <w:r>
              <w:rPr>
                <w:rFonts w:ascii="Cambria" w:cs="Cambria" w:eastAsia="Cambria" w:hAnsi="Cambria"/>
                <w:b/>
                <w:bCs/>
                <w:color w:val="3F4A23"/>
                <w:spacing w:val="14"/>
                <w:sz w:val="24"/>
                <w:szCs w:val="24"/>
              </w:rPr>
              <w:t xml:space="preserve">COLOR PALETTE: “OLIVE &amp; AMBER”</w:t>
            </w:r>
          </w:p>
        </w:tc>
      </w:tr>
    </w:tbl>
    <w:tbl>
      <w:tblPr>
        <w:tblW w:type="dxa" w:w="1124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00"/>
      </w:tblGrid>
      <w:tr>
        <w:trPr>
          <w:trHeight w:val="1250" w:hRule="atLeast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4A23" w:color="3F4A23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#3F4A23</w:t>
            </w:r>
          </w:p>
        </w:tc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60"/>
              <w:bottom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mbria" w:cs="Cambria" w:eastAsia="Cambria" w:hAnsi="Cambria"/>
                <w:b/>
                <w:bCs/>
                <w:color w:val="3F4A23"/>
                <w:sz w:val="22"/>
                <w:szCs w:val="22"/>
              </w:rPr>
              <w:t xml:space="preserve">Deep Olive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C98A1D"/>
                <w:spacing w:val="4"/>
                <w:sz w:val="16"/>
                <w:szCs w:val="16"/>
              </w:rPr>
              <w:t xml:space="preserve">Dominant / Dark   •   HEX #3F4A23</w:t>
            </w:r>
          </w:p>
          <w:p>
            <w:r>
              <w:rPr>
                <w:rFonts w:ascii="Calibri" w:cs="Calibri" w:eastAsia="Calibri" w:hAnsi="Calibri"/>
                <w:color w:val="3A3A22"/>
                <w:sz w:val="18"/>
                <w:szCs w:val="18"/>
              </w:rPr>
              <w:t xml:space="preserve">Title &amp; closing slide backgrounds, header bands, dark stat cards, and primary headline text.</w:t>
            </w:r>
          </w:p>
        </w:tc>
      </w:tr>
      <w:tr>
        <w:trPr>
          <w:trHeight w:val="1250" w:hRule="atLeast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7A3D" w:color="6B7A3D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#6B7A3D</w:t>
            </w:r>
          </w:p>
        </w:tc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60"/>
              <w:bottom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mbria" w:cs="Cambria" w:eastAsia="Cambria" w:hAnsi="Cambria"/>
                <w:b/>
                <w:bCs/>
                <w:color w:val="3F4A23"/>
                <w:sz w:val="22"/>
                <w:szCs w:val="22"/>
              </w:rPr>
              <w:t xml:space="preserve">Olive Green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C98A1D"/>
                <w:spacing w:val="4"/>
                <w:sz w:val="16"/>
                <w:szCs w:val="16"/>
              </w:rPr>
              <w:t xml:space="preserve">Primary   •   HEX #6B7A3D</w:t>
            </w:r>
          </w:p>
          <w:p>
            <w:r>
              <w:rPr>
                <w:rFonts w:ascii="Calibri" w:cs="Calibri" w:eastAsia="Calibri" w:hAnsi="Calibri"/>
                <w:color w:val="3A3A22"/>
                <w:sz w:val="18"/>
                <w:szCs w:val="18"/>
              </w:rPr>
              <w:t xml:space="preserve">Icon circle fills, section accents, and primary structural elements.</w:t>
            </w:r>
          </w:p>
        </w:tc>
      </w:tr>
      <w:tr>
        <w:trPr>
          <w:trHeight w:val="1250" w:hRule="atLeast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8A1D" w:color="C98A1D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22"/>
                <w:sz w:val="16"/>
                <w:szCs w:val="16"/>
              </w:rPr>
              <w:t xml:space="preserve">#C98A1D</w:t>
            </w:r>
          </w:p>
        </w:tc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60"/>
              <w:bottom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mbria" w:cs="Cambria" w:eastAsia="Cambria" w:hAnsi="Cambria"/>
                <w:b/>
                <w:bCs/>
                <w:color w:val="3F4A23"/>
                <w:sz w:val="22"/>
                <w:szCs w:val="22"/>
              </w:rPr>
              <w:t xml:space="preserve">Amber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C98A1D"/>
                <w:spacing w:val="4"/>
                <w:sz w:val="16"/>
                <w:szCs w:val="16"/>
              </w:rPr>
              <w:t xml:space="preserve">Accent   •   HEX #C98A1D</w:t>
            </w:r>
          </w:p>
          <w:p>
            <w:r>
              <w:rPr>
                <w:rFonts w:ascii="Calibri" w:cs="Calibri" w:eastAsia="Calibri" w:hAnsi="Calibri"/>
                <w:color w:val="3A3A22"/>
                <w:sz w:val="18"/>
                <w:szCs w:val="18"/>
              </w:rPr>
              <w:t xml:space="preserve">Bullet markers, numbered badges, highlight-card borders, and the keyword footer banner.</w:t>
            </w:r>
          </w:p>
        </w:tc>
      </w:tr>
      <w:tr>
        <w:trPr>
          <w:trHeight w:val="1250" w:hRule="atLeast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F8F0" w:color="FBF8F0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22"/>
                <w:sz w:val="16"/>
                <w:szCs w:val="16"/>
              </w:rPr>
              <w:t xml:space="preserve">#FBF8F0</w:t>
            </w:r>
          </w:p>
        </w:tc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60"/>
              <w:bottom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mbria" w:cs="Cambria" w:eastAsia="Cambria" w:hAnsi="Cambria"/>
                <w:b/>
                <w:bCs/>
                <w:color w:val="3F4A23"/>
                <w:sz w:val="22"/>
                <w:szCs w:val="22"/>
              </w:rPr>
              <w:t xml:space="preserve">Ivory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C98A1D"/>
                <w:spacing w:val="4"/>
                <w:sz w:val="16"/>
                <w:szCs w:val="16"/>
              </w:rPr>
              <w:t xml:space="preserve">Page Background   •   HEX #FBF8F0</w:t>
            </w:r>
          </w:p>
          <w:p>
            <w:r>
              <w:rPr>
                <w:rFonts w:ascii="Calibri" w:cs="Calibri" w:eastAsia="Calibri" w:hAnsi="Calibri"/>
                <w:color w:val="3A3A22"/>
                <w:sz w:val="18"/>
                <w:szCs w:val="18"/>
              </w:rPr>
              <w:t xml:space="preserve">Base background for all light-mode slides and document pages.</w:t>
            </w:r>
          </w:p>
        </w:tc>
      </w:tr>
      <w:tr>
        <w:trPr>
          <w:trHeight w:val="1250" w:hRule="atLeast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ADA" w:color="F3EAD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22"/>
                <w:sz w:val="16"/>
                <w:szCs w:val="16"/>
              </w:rPr>
              <w:t xml:space="preserve">#F3EADA</w:t>
            </w:r>
          </w:p>
        </w:tc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60"/>
              <w:bottom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mbria" w:cs="Cambria" w:eastAsia="Cambria" w:hAnsi="Cambria"/>
                <w:b/>
                <w:bCs/>
                <w:color w:val="3F4A23"/>
                <w:sz w:val="22"/>
                <w:szCs w:val="22"/>
              </w:rPr>
              <w:t xml:space="preserve">Ivory Tint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C98A1D"/>
                <w:spacing w:val="4"/>
                <w:sz w:val="16"/>
                <w:szCs w:val="16"/>
              </w:rPr>
              <w:t xml:space="preserve">Card Fill   •   HEX #F3EADA</w:t>
            </w:r>
          </w:p>
          <w:p>
            <w:r>
              <w:rPr>
                <w:rFonts w:ascii="Calibri" w:cs="Calibri" w:eastAsia="Calibri" w:hAnsi="Calibri"/>
                <w:color w:val="3A3A22"/>
                <w:sz w:val="18"/>
                <w:szCs w:val="18"/>
              </w:rPr>
              <w:t xml:space="preserve">Light content cards, alternating table rows, and callout / quote boxes.</w:t>
            </w:r>
          </w:p>
        </w:tc>
      </w:tr>
      <w:tr>
        <w:trPr>
          <w:trHeight w:val="1250" w:hRule="atLeast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A3A22" w:color="3A3A2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#3A3A22</w:t>
            </w:r>
          </w:p>
        </w:tc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60"/>
              <w:bottom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mbria" w:cs="Cambria" w:eastAsia="Cambria" w:hAnsi="Cambria"/>
                <w:b/>
                <w:bCs/>
                <w:color w:val="3F4A23"/>
                <w:sz w:val="22"/>
                <w:szCs w:val="22"/>
              </w:rPr>
              <w:t xml:space="preserve">Dark Olive-Brown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C98A1D"/>
                <w:spacing w:val="4"/>
                <w:sz w:val="16"/>
                <w:szCs w:val="16"/>
              </w:rPr>
              <w:t xml:space="preserve">Body Text   •   HEX #3A3A22</w:t>
            </w:r>
          </w:p>
          <w:p>
            <w:r>
              <w:rPr>
                <w:rFonts w:ascii="Calibri" w:cs="Calibri" w:eastAsia="Calibri" w:hAnsi="Calibri"/>
                <w:color w:val="3A3A22"/>
                <w:sz w:val="18"/>
                <w:szCs w:val="18"/>
              </w:rPr>
              <w:t xml:space="preserve">Primary paragraph and body copy color on light backgrounds.</w:t>
            </w:r>
          </w:p>
        </w:tc>
      </w:tr>
      <w:tr>
        <w:trPr>
          <w:trHeight w:val="1250" w:hRule="atLeast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7A57" w:color="7A7A57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22"/>
                <w:sz w:val="16"/>
                <w:szCs w:val="16"/>
              </w:rPr>
              <w:t xml:space="preserve">#7A7A57</w:t>
            </w:r>
          </w:p>
        </w:tc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60"/>
              <w:bottom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mbria" w:cs="Cambria" w:eastAsia="Cambria" w:hAnsi="Cambria"/>
                <w:b/>
                <w:bCs/>
                <w:color w:val="3F4A23"/>
                <w:sz w:val="22"/>
                <w:szCs w:val="22"/>
              </w:rPr>
              <w:t xml:space="preserve">Muted Olive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C98A1D"/>
                <w:spacing w:val="4"/>
                <w:sz w:val="16"/>
                <w:szCs w:val="16"/>
              </w:rPr>
              <w:t xml:space="preserve">Captions   •   HEX #7A7A57</w:t>
            </w:r>
          </w:p>
          <w:p>
            <w:r>
              <w:rPr>
                <w:rFonts w:ascii="Calibri" w:cs="Calibri" w:eastAsia="Calibri" w:hAnsi="Calibri"/>
                <w:color w:val="3A3A22"/>
                <w:sz w:val="18"/>
                <w:szCs w:val="18"/>
              </w:rPr>
              <w:t xml:space="preserve">Footers, small labels, and secondary or de-emphasized text.</w:t>
            </w:r>
          </w:p>
        </w:tc>
      </w:tr>
      <w:tr>
        <w:trPr>
          <w:trHeight w:val="1250" w:hRule="atLeast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DEC0" w:color="E8DEC0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22"/>
                <w:sz w:val="16"/>
                <w:szCs w:val="16"/>
              </w:rPr>
              <w:t xml:space="preserve">#E8DEC0</w:t>
            </w:r>
          </w:p>
        </w:tc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60"/>
              <w:bottom w:type="dxa" w:w="100"/>
            </w:tcMar>
            <w:vAlign w:val="center"/>
          </w:tcPr>
          <w:p>
            <w:pPr>
              <w:spacing w:after="30"/>
            </w:pPr>
            <w:r>
              <w:rPr>
                <w:rFonts w:ascii="Cambria" w:cs="Cambria" w:eastAsia="Cambria" w:hAnsi="Cambria"/>
                <w:b/>
                <w:bCs/>
                <w:color w:val="3F4A23"/>
                <w:sz w:val="22"/>
                <w:szCs w:val="22"/>
              </w:rPr>
              <w:t xml:space="preserve">Warm Ivory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C98A1D"/>
                <w:spacing w:val="4"/>
                <w:sz w:val="16"/>
                <w:szCs w:val="16"/>
              </w:rPr>
              <w:t xml:space="preserve">Text on Dark   •   HEX #E8DEC0</w:t>
            </w:r>
          </w:p>
          <w:p>
            <w:r>
              <w:rPr>
                <w:rFonts w:ascii="Calibri" w:cs="Calibri" w:eastAsia="Calibri" w:hAnsi="Calibri"/>
                <w:color w:val="3A3A22"/>
                <w:sz w:val="18"/>
                <w:szCs w:val="18"/>
              </w:rPr>
              <w:t xml:space="preserve">Subtitles and labels placed on Deep Olive backgrounds.</w:t>
            </w:r>
          </w:p>
        </w:tc>
      </w:tr>
    </w:tbl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W w:type="dxa" w:w="1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500"/>
              <w:right w:type="dxa" w:w="500"/>
            </w:tcMar>
          </w:tcPr>
          <w:p>
            <w:pPr>
              <w:pBdr>
                <w:bottom w:val="single" w:color="C98A1D" w:sz="4" w:space="4"/>
              </w:pBdr>
              <w:spacing w:after="120" w:before="280"/>
            </w:pPr>
            <w:r>
              <w:rPr>
                <w:rFonts w:ascii="Cambria" w:cs="Cambria" w:eastAsia="Cambria" w:hAnsi="Cambria"/>
                <w:b/>
                <w:bCs/>
                <w:color w:val="3F4A23"/>
                <w:spacing w:val="14"/>
                <w:sz w:val="24"/>
                <w:szCs w:val="24"/>
              </w:rPr>
              <w:t xml:space="preserve">TYPOGRAPHY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C98A1D"/>
                <w:spacing w:val="10"/>
                <w:sz w:val="15"/>
                <w:szCs w:val="15"/>
              </w:rPr>
              <w:t xml:space="preserve">HEADINGS</w:t>
            </w:r>
          </w:p>
          <w:p>
            <w:pPr>
              <w:spacing w:after="30"/>
            </w:pPr>
            <w:r>
              <w:rPr>
                <w:rFonts w:ascii="Cambria" w:cs="Cambria" w:eastAsia="Cambria" w:hAnsi="Cambria"/>
                <w:b/>
                <w:bCs/>
                <w:color w:val="3F4A23"/>
                <w:sz w:val="56"/>
                <w:szCs w:val="56"/>
              </w:rPr>
              <w:t xml:space="preserve">Cambria</w:t>
            </w:r>
          </w:p>
          <w:p>
            <w:pPr>
              <w:spacing w:after="18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A22"/>
                <w:sz w:val="18"/>
                <w:szCs w:val="18"/>
              </w:rPr>
              <w:t xml:space="preserve">Serif. Used for the wordmark, all section headers, and slide titles. Set bold, in Deep Olive or white depending on background.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C98A1D"/>
                <w:spacing w:val="10"/>
                <w:sz w:val="15"/>
                <w:szCs w:val="15"/>
              </w:rPr>
              <w:t xml:space="preserve">BODY &amp; UI TEXT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3F4A23"/>
                <w:sz w:val="50"/>
                <w:szCs w:val="50"/>
              </w:rPr>
              <w:t xml:space="preserve">Calibri</w:t>
            </w:r>
          </w:p>
          <w:p>
            <w:pPr>
              <w:spacing w:after="6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A22"/>
                <w:sz w:val="18"/>
                <w:szCs w:val="18"/>
              </w:rPr>
              <w:t xml:space="preserve">Sans-serif. Used for paragraphs, bullets, data labels, and captions. Regular weight for body copy, bold for emphasis and labels.</w:t>
            </w:r>
          </w:p>
          <w:p>
            <w:pPr>
              <w:spacing w:after="60" w:before="180"/>
            </w:pPr>
            <w:r>
              <w:rPr>
                <w:rFonts w:ascii="Cambria" w:cs="Cambria" w:eastAsia="Cambria" w:hAnsi="Cambria"/>
                <w:b/>
                <w:bCs/>
                <w:color w:val="3F4A23"/>
                <w:sz w:val="20"/>
                <w:szCs w:val="20"/>
              </w:rPr>
              <w:t xml:space="preserve">Type Scale in Practice</w:t>
            </w:r>
          </w:p>
          <w:p>
            <w:pPr>
              <w:spacing w:after="10"/>
            </w:pPr>
            <w:r>
              <w:rPr>
                <w:rFonts w:ascii="Calibri" w:cs="Calibri" w:eastAsia="Calibri" w:hAnsi="Calibri"/>
                <w:b/>
                <w:bCs/>
                <w:color w:val="3A3A22"/>
                <w:sz w:val="17"/>
                <w:szCs w:val="17"/>
              </w:rPr>
              <w:t xml:space="preserve">Wordmark / Deck Title:  </w:t>
            </w:r>
            <w:r>
              <w:rPr>
                <w:rFonts w:ascii="Calibri" w:cs="Calibri" w:eastAsia="Calibri" w:hAnsi="Calibri"/>
                <w:color w:val="7A7A57"/>
                <w:sz w:val="17"/>
                <w:szCs w:val="17"/>
              </w:rPr>
              <w:t xml:space="preserve">Cambria Bold, ~44pt</w:t>
            </w:r>
          </w:p>
          <w:p>
            <w:pPr>
              <w:spacing w:after="10"/>
            </w:pPr>
            <w:r>
              <w:rPr>
                <w:rFonts w:ascii="Calibri" w:cs="Calibri" w:eastAsia="Calibri" w:hAnsi="Calibri"/>
                <w:b/>
                <w:bCs/>
                <w:color w:val="3A3A22"/>
                <w:sz w:val="17"/>
                <w:szCs w:val="17"/>
              </w:rPr>
              <w:t xml:space="preserve">Slide / Section Headers:  </w:t>
            </w:r>
            <w:r>
              <w:rPr>
                <w:rFonts w:ascii="Calibri" w:cs="Calibri" w:eastAsia="Calibri" w:hAnsi="Calibri"/>
                <w:color w:val="7A7A57"/>
                <w:sz w:val="17"/>
                <w:szCs w:val="17"/>
              </w:rPr>
              <w:t xml:space="preserve">Cambria Bold, 24–28pt (deck), 9.5pt caps (one-pager)</w:t>
            </w:r>
          </w:p>
          <w:p>
            <w:pPr>
              <w:spacing w:after="10"/>
            </w:pPr>
            <w:r>
              <w:rPr>
                <w:rFonts w:ascii="Calibri" w:cs="Calibri" w:eastAsia="Calibri" w:hAnsi="Calibri"/>
                <w:b/>
                <w:bCs/>
                <w:color w:val="3A3A22"/>
                <w:sz w:val="17"/>
                <w:szCs w:val="17"/>
              </w:rPr>
              <w:t xml:space="preserve">Body Copy:  </w:t>
            </w:r>
            <w:r>
              <w:rPr>
                <w:rFonts w:ascii="Calibri" w:cs="Calibri" w:eastAsia="Calibri" w:hAnsi="Calibri"/>
                <w:color w:val="7A7A57"/>
                <w:sz w:val="17"/>
                <w:szCs w:val="17"/>
              </w:rPr>
              <w:t xml:space="preserve">Calibri Regular, 11–15pt</w:t>
            </w:r>
          </w:p>
          <w:p>
            <w:pPr>
              <w:spacing w:after="10"/>
            </w:pPr>
            <w:r>
              <w:rPr>
                <w:rFonts w:ascii="Calibri" w:cs="Calibri" w:eastAsia="Calibri" w:hAnsi="Calibri"/>
                <w:b/>
                <w:bCs/>
                <w:color w:val="3A3A22"/>
                <w:sz w:val="17"/>
                <w:szCs w:val="17"/>
              </w:rPr>
              <w:t xml:space="preserve">Labels / Captions:  </w:t>
            </w:r>
            <w:r>
              <w:rPr>
                <w:rFonts w:ascii="Calibri" w:cs="Calibri" w:eastAsia="Calibri" w:hAnsi="Calibri"/>
                <w:color w:val="7A7A57"/>
                <w:sz w:val="17"/>
                <w:szCs w:val="17"/>
              </w:rPr>
              <w:t xml:space="preserve">Calibri Bold, 9–11pt, wide letter-spacing, all caps</w:t>
            </w:r>
          </w:p>
        </w:tc>
      </w:tr>
    </w:tbl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W w:type="dxa" w:w="1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60"/>
              <w:left w:type="dxa" w:w="500"/>
              <w:right w:type="dxa" w:w="500"/>
            </w:tcMar>
          </w:tcPr>
          <w:p>
            <w:pPr>
              <w:pBdr>
                <w:bottom w:val="single" w:color="C98A1D" w:sz="4" w:space="4"/>
              </w:pBdr>
              <w:spacing w:after="120" w:before="280"/>
            </w:pPr>
            <w:r>
              <w:rPr>
                <w:rFonts w:ascii="Cambria" w:cs="Cambria" w:eastAsia="Cambria" w:hAnsi="Cambria"/>
                <w:b/>
                <w:bCs/>
                <w:color w:val="3F4A23"/>
                <w:spacing w:val="14"/>
                <w:sz w:val="24"/>
                <w:szCs w:val="24"/>
              </w:rPr>
              <w:t xml:space="preserve">ICON MARK SYSTEM</w:t>
            </w:r>
          </w:p>
          <w:p>
            <w:pPr>
              <w:spacing w:after="16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A22"/>
                <w:sz w:val="18"/>
                <w:szCs w:val="18"/>
              </w:rPr>
              <w:t xml:space="preserve">Each section is introduced with a simple line-icon set inside a solid color circle. The circle color communicates hierarchy: Olive Green for standard section markers, Deep Olive or Amber for emphasis on dark or highlighted panels.</w:t>
            </w:r>
          </w:p>
        </w:tc>
      </w:tr>
    </w:tbl>
    <w:tbl>
      <w:tblPr>
        <w:tblW w:type="dxa" w:w="1124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6"/>
        <w:gridCol w:w="3747"/>
        <w:gridCol w:w="3747"/>
      </w:tblGrid>
      <w:tr>
        <w:tc>
          <w:tcPr>
            <w:tcW w:type="dxa" w:w="37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bottom w:type="dxa" w:w="160"/>
            </w:tcMar>
            <w:vAlign w:val="center"/>
          </w:tcPr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857250" cy="857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3F4A23"/>
                <w:sz w:val="18"/>
                <w:szCs w:val="18"/>
              </w:rPr>
              <w:t xml:space="preserve">Olive Green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7A7A57"/>
                <w:sz w:val="14"/>
                <w:szCs w:val="14"/>
              </w:rPr>
              <w:t xml:space="preserve">Standard section markers</w:t>
            </w:r>
          </w:p>
        </w:tc>
        <w:tc>
          <w:tcPr>
            <w:tcW w:type="dxa" w:w="37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bottom w:type="dxa" w:w="160"/>
            </w:tcMar>
            <w:vAlign w:val="center"/>
          </w:tcPr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857250" cy="857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3F4A23"/>
                <w:sz w:val="18"/>
                <w:szCs w:val="18"/>
              </w:rPr>
              <w:t xml:space="preserve">Deep Olive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7A7A57"/>
                <w:sz w:val="14"/>
                <w:szCs w:val="14"/>
              </w:rPr>
              <w:t xml:space="preserve">Markers on light / ivory panels</w:t>
            </w:r>
          </w:p>
        </w:tc>
        <w:tc>
          <w:tcPr>
            <w:tcW w:type="dxa" w:w="37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bottom w:type="dxa" w:w="160"/>
            </w:tcMar>
            <w:vAlign w:val="center"/>
          </w:tcPr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857250" cy="857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3F4A23"/>
                <w:sz w:val="18"/>
                <w:szCs w:val="18"/>
              </w:rPr>
              <w:t xml:space="preserve">Amber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7A7A57"/>
                <w:sz w:val="14"/>
                <w:szCs w:val="14"/>
              </w:rPr>
              <w:t xml:space="preserve">Emphasis, on dark backgrounds</w:t>
            </w:r>
          </w:p>
        </w:tc>
      </w:tr>
    </w:tbl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W w:type="dxa" w:w="1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500"/>
              <w:right w:type="dxa" w:w="500"/>
            </w:tcMar>
          </w:tcPr>
          <w:p>
            <w:pPr>
              <w:pBdr>
                <w:bottom w:val="single" w:color="C98A1D" w:sz="4" w:space="4"/>
              </w:pBdr>
              <w:spacing w:after="120" w:before="280"/>
            </w:pPr>
            <w:r>
              <w:rPr>
                <w:rFonts w:ascii="Cambria" w:cs="Cambria" w:eastAsia="Cambria" w:hAnsi="Cambria"/>
                <w:b/>
                <w:bCs/>
                <w:color w:val="3F4A23"/>
                <w:spacing w:val="14"/>
                <w:sz w:val="24"/>
                <w:szCs w:val="24"/>
              </w:rPr>
              <w:t xml:space="preserve">USAGE GUIDELINES</w:t>
            </w:r>
          </w:p>
          <w:p>
            <w:pPr>
              <w:spacing w:after="9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6B7A3D"/>
                <w:sz w:val="18"/>
                <w:szCs w:val="18"/>
              </w:rPr>
              <w:t xml:space="preserve">✓  </w:t>
            </w:r>
            <w:r>
              <w:rPr>
                <w:rFonts w:ascii="Calibri" w:cs="Calibri" w:eastAsia="Calibri" w:hAnsi="Calibri"/>
                <w:color w:val="3A3A22"/>
                <w:sz w:val="18"/>
                <w:szCs w:val="18"/>
              </w:rPr>
              <w:t xml:space="preserve">Use Ivory (#FBF8F0) as the page background, never pure white, to keep the warm tone consistent.</w:t>
            </w:r>
          </w:p>
          <w:p>
            <w:pPr>
              <w:spacing w:after="9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6B7A3D"/>
                <w:sz w:val="18"/>
                <w:szCs w:val="18"/>
              </w:rPr>
              <w:t xml:space="preserve">✓  </w:t>
            </w:r>
            <w:r>
              <w:rPr>
                <w:rFonts w:ascii="Calibri" w:cs="Calibri" w:eastAsia="Calibri" w:hAnsi="Calibri"/>
                <w:color w:val="3A3A22"/>
                <w:sz w:val="18"/>
                <w:szCs w:val="18"/>
              </w:rPr>
              <w:t xml:space="preserve">Reserve Deep Olive for section-opening or closing moments (title slides, contact pages), not body content.</w:t>
            </w:r>
          </w:p>
          <w:p>
            <w:pPr>
              <w:spacing w:after="9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6B7A3D"/>
                <w:sz w:val="18"/>
                <w:szCs w:val="18"/>
              </w:rPr>
              <w:t xml:space="preserve">✓  </w:t>
            </w:r>
            <w:r>
              <w:rPr>
                <w:rFonts w:ascii="Calibri" w:cs="Calibri" w:eastAsia="Calibri" w:hAnsi="Calibri"/>
                <w:color w:val="3A3A22"/>
                <w:sz w:val="18"/>
                <w:szCs w:val="18"/>
              </w:rPr>
              <w:t xml:space="preserve">Use Amber sparingly, for accents, borders, and small UI elements, not large fill areas.</w:t>
            </w:r>
          </w:p>
          <w:p>
            <w:pPr>
              <w:spacing w:after="9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6B7A3D"/>
                <w:sz w:val="18"/>
                <w:szCs w:val="18"/>
              </w:rPr>
              <w:t xml:space="preserve">✓  </w:t>
            </w:r>
            <w:r>
              <w:rPr>
                <w:rFonts w:ascii="Calibri" w:cs="Calibri" w:eastAsia="Calibri" w:hAnsi="Calibri"/>
                <w:color w:val="3A3A22"/>
                <w:sz w:val="18"/>
                <w:szCs w:val="18"/>
              </w:rPr>
              <w:t xml:space="preserve">Pair Cambria headings with Calibri body text; do not substitute other typefaces.</w:t>
            </w:r>
          </w:p>
          <w:p>
            <w:pPr>
              <w:spacing w:after="9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98A1D"/>
                <w:sz w:val="18"/>
                <w:szCs w:val="18"/>
              </w:rPr>
              <w:t xml:space="preserve">✗  </w:t>
            </w:r>
            <w:r>
              <w:rPr>
                <w:rFonts w:ascii="Calibri" w:cs="Calibri" w:eastAsia="Calibri" w:hAnsi="Calibri"/>
                <w:color w:val="3A3A22"/>
                <w:sz w:val="18"/>
                <w:szCs w:val="18"/>
              </w:rPr>
              <w:t xml:space="preserve">Don’t place body text directly on Amber; contrast is too low for extended reading.</w:t>
            </w:r>
          </w:p>
          <w:p>
            <w:pPr>
              <w:spacing w:after="9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98A1D"/>
                <w:sz w:val="18"/>
                <w:szCs w:val="18"/>
              </w:rPr>
              <w:t xml:space="preserve">✗  </w:t>
            </w:r>
            <w:r>
              <w:rPr>
                <w:rFonts w:ascii="Calibri" w:cs="Calibri" w:eastAsia="Calibri" w:hAnsi="Calibri"/>
                <w:color w:val="3A3A22"/>
                <w:sz w:val="18"/>
                <w:szCs w:val="18"/>
              </w:rPr>
              <w:t xml:space="preserve">Don’t use pure black (#000000) for text; use Dark Olive-Brown (#3A3A22) instead.</w:t>
            </w:r>
          </w:p>
          <w:p>
            <w:pPr>
              <w:spacing w:after="9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98A1D"/>
                <w:sz w:val="18"/>
                <w:szCs w:val="18"/>
              </w:rPr>
              <w:t xml:space="preserve">✗  </w:t>
            </w:r>
            <w:r>
              <w:rPr>
                <w:rFonts w:ascii="Calibri" w:cs="Calibri" w:eastAsia="Calibri" w:hAnsi="Calibri"/>
                <w:color w:val="3A3A22"/>
                <w:sz w:val="18"/>
                <w:szCs w:val="18"/>
              </w:rPr>
              <w:t xml:space="preserve">Don’t mix in unrelated accent colors (blues, reds) outside this palette.</w:t>
            </w:r>
          </w:p>
        </w:tc>
      </w:tr>
    </w:tbl>
    <w:p>
      <w:pPr>
        <w:spacing w:before="400"/>
      </w:pPr>
    </w:p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W w:type="dxa" w:w="12240"/>
            <w:tcBorders>
              <w:top w:val="single" w:color="C98A1D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500"/>
              <w:right w:type="dxa" w:w="5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8A1D"/>
                <w:spacing w:val="8"/>
                <w:sz w:val="13"/>
                <w:szCs w:val="13"/>
              </w:rPr>
              <w:t xml:space="preserve">GEOSPATIAL ANALYTICS   •   GIS ENABLEMENT   •   LOCATION INTELLIGENCE   •   QA/QC   •   SPATIAL DATA ENGINEERING</w:t>
            </w:r>
          </w:p>
        </w:tc>
      </w:tr>
    </w:tbl>
    <w:sectPr>
      <w:pgSz w:w="12240" w:h="15840" w:orient="portrait"/>
      <w:pgMar w:top="0" w:right="0" w:bottom="72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048dec8725eff41588d9ab07521120e0edb71fc.png"/><Relationship Id="rId8" Type="http://schemas.openxmlformats.org/officeDocument/2006/relationships/image" Target="media/21484c96acae8e736163704832b48b48a8e2962e.png"/><Relationship Id="rId9" Type="http://schemas.openxmlformats.org/officeDocument/2006/relationships/image" Target="media/ae3f3815fc7218856158c6b7580f9f469abcde1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2026-09-03T20:24:18.760Z</dcterms:created>
  <dcterms:modified xsi:type="dcterms:W3CDTF">2026-09-03T20:24:18.760Z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