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4A23" w:color="3F4A23" w:val="clear"/>
            <w:tcMar>
              <w:top w:type="dxa" w:w="260"/>
              <w:left w:type="dxa" w:w="500"/>
              <w:bottom w:type="dxa" w:w="260"/>
              <w:right w:type="dxa" w:w="500"/>
            </w:tcMar>
          </w:tcPr>
          <w:tbl>
            <w:tblPr>
              <w:tblW w:type="dxa" w:w="11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0"/>
              <w:gridCol w:w="4240"/>
            </w:tblGrid>
            <w:tr>
              <w:tc>
                <w:tcPr>
                  <w:tcW w:type="dxa" w:w="7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4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FFFFFF"/>
                      <w:sz w:val="44"/>
                      <w:szCs w:val="44"/>
                    </w:rPr>
                    <w:t xml:space="preserve">ANSIGHT</w:t>
                  </w:r>
                </w:p>
                <w:p>
                  <w:r>
                    <w:rPr>
                      <w:rFonts w:ascii="Calibri" w:cs="Calibri" w:eastAsia="Calibri" w:hAnsi="Calibri"/>
                      <w:color w:val="E8DEC0"/>
                      <w:sz w:val="18"/>
                      <w:szCs w:val="18"/>
                    </w:rPr>
                    <w:t xml:space="preserve">GIS Consulting &amp; Geospatial Analytics  |  Capability Statement</w:t>
                  </w:r>
                </w:p>
              </w:tc>
              <w:tc>
                <w:tcPr>
                  <w:tcW w:type="dxa" w:w="42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3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Adeyinka Adekunle, Founder</w:t>
                  </w:r>
                </w:p>
                <w:p>
                  <w:pPr>
                    <w:spacing w:after="30"/>
                    <w:jc w:val="right"/>
                  </w:pPr>
                  <w:r>
                    <w:rPr>
                      <w:rFonts w:ascii="Calibri" w:cs="Calibri" w:eastAsia="Calibri" w:hAnsi="Calibri"/>
                      <w:color w:val="E8DEC0"/>
                      <w:sz w:val="15"/>
                      <w:szCs w:val="15"/>
                    </w:rPr>
                    <w:t xml:space="preserve">Bloomfield, New Jersey</w:t>
                  </w:r>
                </w:p>
                <w:p>
                  <w:pPr>
                    <w:spacing w:after="30"/>
                    <w:jc w:val="right"/>
                  </w:pPr>
                  <w:r>
                    <w:rPr>
                      <w:rFonts w:ascii="Calibri" w:cs="Calibri" w:eastAsia="Calibri" w:hAnsi="Calibri"/>
                      <w:color w:val="E8DEC0"/>
                      <w:sz w:val="15"/>
                      <w:szCs w:val="15"/>
                    </w:rPr>
                    <w:t xml:space="preserve">443-815-1537</w:t>
                  </w:r>
                </w:p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color w:val="E8DEC0"/>
                      <w:sz w:val="15"/>
                      <w:szCs w:val="15"/>
                    </w:rPr>
                    <w:t xml:space="preserve">adekunledeyinka@gmail.com</w:t>
                  </w:r>
                </w:p>
              </w:tc>
            </w:tr>
          </w:tbl>
          <w:p/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4640"/>
      </w:tblGrid>
      <w:tr>
        <w:tc>
          <w:tcPr>
            <w:tcW w:type="dxa" w:w="7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500"/>
              <w:bottom w:type="dxa" w:w="200"/>
              <w:right w:type="dxa" w:w="350"/>
            </w:tcMar>
          </w:tcPr>
          <w:p>
            <w:pPr>
              <w:pBdr>
                <w:bottom w:val="single" w:color="C98A1D" w:sz="4" w:space="2"/>
              </w:pBdr>
              <w:spacing w:after="60" w:before="160"/>
            </w:pPr>
            <w:r>
              <w:rPr>
                <w:rFonts w:ascii="Cambria" w:cs="Cambria" w:eastAsia="Cambria" w:hAnsi="Cambria"/>
                <w:b/>
                <w:bCs/>
                <w:color w:val="3F4A23"/>
                <w:spacing w:val="12"/>
                <w:sz w:val="19"/>
                <w:szCs w:val="19"/>
              </w:rPr>
              <w:t xml:space="preserve">CORPORATE OVERVIEW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22"/>
                <w:sz w:val="19"/>
                <w:szCs w:val="19"/>
              </w:rPr>
              <w:t xml:space="preserve">Ansight provides geospatial analytics, GIS enablement, and location intelligence solutions that turn fragmented spatial, demographic, and socioeconomic data into decision-ready insight for enterprise and public-sector clients. Built on 5+ years of enterprise GIS delivery at Esri and AWS, Ansight has supported site selection across 10+ EMEA markets, enabled 20+ transaction managers to independently assess site feasibility, and engineered native geospatial capabilities used by millions of Microsoft 365 users. We pair hands-on GIS product engineering with rigorous QA/QC and stakeholder-ready spatial reporting, combining platform-building and operational delivery under one team.</w:t>
            </w:r>
          </w:p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A3D"/>
                <w:sz w:val="19"/>
                <w:szCs w:val="19"/>
              </w:rPr>
              <w:t xml:space="preserve">Ansight is positioned to support [TARGET AGENCY / COMMAND]’s geospatial data management, site suitability analysis, and location intelligence requirements.</w:t>
            </w:r>
          </w:p>
          <w:p>
            <w:pPr>
              <w:pBdr>
                <w:bottom w:val="single" w:color="C98A1D" w:sz="4" w:space="2"/>
              </w:pBdr>
              <w:spacing w:after="60" w:before="160"/>
            </w:pPr>
            <w:r>
              <w:rPr>
                <w:rFonts w:ascii="Cambria" w:cs="Cambria" w:eastAsia="Cambria" w:hAnsi="Cambria"/>
                <w:b/>
                <w:bCs/>
                <w:color w:val="3F4A23"/>
                <w:spacing w:val="12"/>
                <w:sz w:val="19"/>
                <w:szCs w:val="19"/>
              </w:rPr>
              <w:t xml:space="preserve">CORE COMPETENCIES</w:t>
            </w:r>
          </w:p>
          <w:p>
            <w:pPr>
              <w:spacing w:after="70" w:line="24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8A1D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3F4A23"/>
                <w:sz w:val="19"/>
                <w:szCs w:val="19"/>
              </w:rPr>
              <w:t xml:space="preserve">Location Analytics &amp; Site Selection</w:t>
            </w:r>
            <w:r>
              <w:rPr>
                <w:rFonts w:ascii="Calibri" w:cs="Calibri" w:eastAsia="Calibri" w:hAnsi="Calibri"/>
                <w:color w:val="3A3A22"/>
                <w:sz w:val="19"/>
                <w:szCs w:val="19"/>
              </w:rPr>
              <w:t xml:space="preserve">: demographic, socioeconomic, market, and trade-area analysis using ArcGIS Business Analyst and suitability modeling</w:t>
            </w:r>
          </w:p>
          <w:p>
            <w:pPr>
              <w:spacing w:after="70" w:line="24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8A1D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3F4A23"/>
                <w:sz w:val="19"/>
                <w:szCs w:val="19"/>
              </w:rPr>
              <w:t xml:space="preserve">GIS Data Engineering &amp; QA/QC</w:t>
            </w:r>
            <w:r>
              <w:rPr>
                <w:rFonts w:ascii="Calibri" w:cs="Calibri" w:eastAsia="Calibri" w:hAnsi="Calibri"/>
                <w:color w:val="3A3A22"/>
                <w:sz w:val="19"/>
                <w:szCs w:val="19"/>
              </w:rPr>
              <w:t xml:space="preserve">: layer design, schema/feature-service development, and data validation in ArcGIS Pro, ArcGIS Enterprise, and QGIS</w:t>
            </w:r>
          </w:p>
          <w:p>
            <w:pPr>
              <w:spacing w:after="70" w:line="24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8A1D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3F4A23"/>
                <w:sz w:val="19"/>
                <w:szCs w:val="19"/>
              </w:rPr>
              <w:t xml:space="preserve">GIS &amp; Spatial Database Management</w:t>
            </w:r>
            <w:r>
              <w:rPr>
                <w:rFonts w:ascii="Calibri" w:cs="Calibri" w:eastAsia="Calibri" w:hAnsi="Calibri"/>
                <w:color w:val="3A3A22"/>
                <w:sz w:val="19"/>
                <w:szCs w:val="19"/>
              </w:rPr>
              <w:t xml:space="preserve">: enterprise and file geodatabase design, PostgreSQL/PostGIS and SQL Server administration, spatial ETL, and metadata/data governance standards</w:t>
            </w:r>
          </w:p>
          <w:p>
            <w:pPr>
              <w:spacing w:after="70" w:line="24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8A1D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3F4A23"/>
                <w:sz w:val="19"/>
                <w:szCs w:val="19"/>
              </w:rPr>
              <w:t xml:space="preserve">Enterprise GIS Enablement &amp; Training</w:t>
            </w:r>
            <w:r>
              <w:rPr>
                <w:rFonts w:ascii="Calibri" w:cs="Calibri" w:eastAsia="Calibri" w:hAnsi="Calibri"/>
                <w:color w:val="3A3A22"/>
                <w:sz w:val="19"/>
                <w:szCs w:val="19"/>
              </w:rPr>
              <w:t xml:space="preserve">: workflow translation, symbology standards, and stakeholder enablement sessions</w:t>
            </w:r>
          </w:p>
          <w:p>
            <w:pPr>
              <w:spacing w:after="70" w:line="24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8A1D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3F4A23"/>
                <w:sz w:val="19"/>
                <w:szCs w:val="19"/>
              </w:rPr>
              <w:t xml:space="preserve">GIS Product Development &amp; Automation</w:t>
            </w:r>
            <w:r>
              <w:rPr>
                <w:rFonts w:ascii="Calibri" w:cs="Calibri" w:eastAsia="Calibri" w:hAnsi="Calibri"/>
                <w:color w:val="3A3A22"/>
                <w:sz w:val="19"/>
                <w:szCs w:val="19"/>
              </w:rPr>
              <w:t xml:space="preserve">: native geospatial feature design and workflow automation with Python, SQL, Arcade, and ArcGIS Notebooks</w:t>
            </w:r>
          </w:p>
          <w:p>
            <w:pPr>
              <w:spacing w:after="40" w:line="24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8A1D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3F4A23"/>
                <w:sz w:val="19"/>
                <w:szCs w:val="19"/>
              </w:rPr>
              <w:t xml:space="preserve">Infrastructure &amp; Utility Mapping</w:t>
            </w:r>
            <w:r>
              <w:rPr>
                <w:rFonts w:ascii="Calibri" w:cs="Calibri" w:eastAsia="Calibri" w:hAnsi="Calibri"/>
                <w:color w:val="3A3A22"/>
                <w:sz w:val="19"/>
                <w:szCs w:val="19"/>
              </w:rPr>
              <w:t xml:space="preserve">: pipeline/utility network mapping with presentation-ready spatial deliverables</w:t>
            </w:r>
          </w:p>
          <w:p>
            <w:pPr>
              <w:pBdr>
                <w:bottom w:val="single" w:color="C98A1D" w:sz="4" w:space="2"/>
              </w:pBdr>
              <w:spacing w:after="60" w:before="160"/>
            </w:pPr>
            <w:r>
              <w:rPr>
                <w:rFonts w:ascii="Cambria" w:cs="Cambria" w:eastAsia="Cambria" w:hAnsi="Cambria"/>
                <w:b/>
                <w:bCs/>
                <w:color w:val="3F4A23"/>
                <w:spacing w:val="12"/>
                <w:sz w:val="19"/>
                <w:szCs w:val="19"/>
              </w:rPr>
              <w:t xml:space="preserve">CORPORATE EXPERIENCE</w:t>
            </w:r>
          </w:p>
          <w:p>
            <w:pPr>
              <w:spacing w:after="70" w:line="24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8A1D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3F4A23"/>
                <w:sz w:val="19"/>
                <w:szCs w:val="19"/>
              </w:rPr>
              <w:t xml:space="preserve">AWS</w:t>
            </w:r>
            <w:r>
              <w:rPr>
                <w:rFonts w:ascii="Calibri" w:cs="Calibri" w:eastAsia="Calibri" w:hAnsi="Calibri"/>
                <w:color w:val="3A3A22"/>
                <w:sz w:val="19"/>
                <w:szCs w:val="19"/>
              </w:rPr>
              <w:t xml:space="preserve">: location analytics for global real estate site selection across 10+ EMEA markets</w:t>
            </w:r>
          </w:p>
          <w:p>
            <w:pPr>
              <w:spacing w:after="70" w:line="24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8A1D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3F4A23"/>
                <w:sz w:val="19"/>
                <w:szCs w:val="19"/>
              </w:rPr>
              <w:t xml:space="preserve">Esri (ArcGIS for Microsoft 365)</w:t>
            </w:r>
            <w:r>
              <w:rPr>
                <w:rFonts w:ascii="Calibri" w:cs="Calibri" w:eastAsia="Calibri" w:hAnsi="Calibri"/>
                <w:color w:val="3A3A22"/>
                <w:sz w:val="19"/>
                <w:szCs w:val="19"/>
              </w:rPr>
              <w:t xml:space="preserve">: enterprise GIS enablement for utilities, retail &amp; logistics customers; native GIS product development</w:t>
            </w:r>
          </w:p>
          <w:p>
            <w:pPr>
              <w:spacing w:after="70" w:line="24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8A1D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3F4A23"/>
                <w:sz w:val="19"/>
                <w:szCs w:val="19"/>
              </w:rPr>
              <w:t xml:space="preserve">Tennessee State University</w:t>
            </w:r>
            <w:r>
              <w:rPr>
                <w:rFonts w:ascii="Calibri" w:cs="Calibri" w:eastAsia="Calibri" w:hAnsi="Calibri"/>
                <w:color w:val="3A3A22"/>
                <w:sz w:val="19"/>
                <w:szCs w:val="19"/>
              </w:rPr>
              <w:t xml:space="preserve">: suitability modeling for community and site planning</w:t>
            </w:r>
          </w:p>
          <w:p>
            <w:pPr>
              <w:spacing w:after="70" w:line="240"/>
              <w:ind w:left="180" w:hanging="180"/>
            </w:pPr>
            <w:r>
              <w:rPr>
                <w:rFonts w:ascii="Calibri" w:cs="Calibri" w:eastAsia="Calibri" w:hAnsi="Calibri"/>
                <w:b/>
                <w:bCs/>
                <w:color w:val="C98A1D"/>
                <w:sz w:val="19"/>
                <w:szCs w:val="19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3F4A23"/>
                <w:sz w:val="19"/>
                <w:szCs w:val="19"/>
              </w:rPr>
              <w:t xml:space="preserve">Hazen and Sawyer</w:t>
            </w:r>
            <w:r>
              <w:rPr>
                <w:rFonts w:ascii="Calibri" w:cs="Calibri" w:eastAsia="Calibri" w:hAnsi="Calibri"/>
                <w:color w:val="3A3A22"/>
                <w:sz w:val="19"/>
                <w:szCs w:val="19"/>
              </w:rPr>
              <w:t xml:space="preserve">: mapping support for water/wastewater infrastructure projects</w:t>
            </w:r>
          </w:p>
        </w:tc>
        <w:tc>
          <w:tcPr>
            <w:tcW w:type="dxa" w:w="4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ADA" w:color="F3EADA" w:val="clear"/>
            <w:tcMar>
              <w:top w:type="dxa" w:w="260"/>
              <w:left w:type="dxa" w:w="350"/>
              <w:bottom w:type="dxa" w:w="200"/>
              <w:right w:type="dxa" w:w="500"/>
            </w:tcMar>
          </w:tcPr>
          <w:p>
            <w:pPr>
              <w:pBdr>
                <w:bottom w:val="single" w:color="FFFFFF" w:sz="4" w:space="2"/>
              </w:pBdr>
              <w:spacing w:after="60" w:before="160"/>
            </w:pPr>
            <w:r>
              <w:rPr>
                <w:rFonts w:ascii="Cambria" w:cs="Cambria" w:eastAsia="Cambria" w:hAnsi="Cambria"/>
                <w:b/>
                <w:bCs/>
                <w:color w:val="6B7A3D"/>
                <w:spacing w:val="12"/>
                <w:sz w:val="19"/>
                <w:szCs w:val="19"/>
              </w:rPr>
              <w:t xml:space="preserve">CORPORATE DATA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8"/>
                <w:sz w:val="14"/>
                <w:szCs w:val="14"/>
              </w:rPr>
              <w:t xml:space="preserve">FOUNDED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3F4A23"/>
                <w:sz w:val="18"/>
                <w:szCs w:val="18"/>
              </w:rPr>
              <w:t xml:space="preserve">2026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8"/>
                <w:sz w:val="14"/>
                <w:szCs w:val="14"/>
              </w:rPr>
              <w:t xml:space="preserve">BUSINESS LOCATION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3F4A23"/>
                <w:sz w:val="18"/>
                <w:szCs w:val="18"/>
              </w:rPr>
              <w:t xml:space="preserve">Bloomfield, New Jersey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8"/>
                <w:sz w:val="14"/>
                <w:szCs w:val="14"/>
              </w:rPr>
              <w:t xml:space="preserve">NAICS CODES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3F4A23"/>
                <w:sz w:val="18"/>
                <w:szCs w:val="18"/>
              </w:rPr>
              <w:t xml:space="preserve">541370 – Surveying &amp; Mapping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3F4A23"/>
                <w:sz w:val="18"/>
                <w:szCs w:val="18"/>
              </w:rPr>
              <w:t xml:space="preserve">541511 – Custom Computer Programming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3F4A23"/>
                <w:sz w:val="18"/>
                <w:szCs w:val="18"/>
              </w:rPr>
              <w:t xml:space="preserve">541690 – Other Sci./Tech. Consulting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3F4A23"/>
                <w:sz w:val="18"/>
                <w:szCs w:val="18"/>
              </w:rPr>
              <w:t xml:space="preserve">(confirm registered codes)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8"/>
                <w:sz w:val="14"/>
                <w:szCs w:val="14"/>
              </w:rPr>
              <w:t xml:space="preserve">UEI NUMBER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3F4A23"/>
                <w:sz w:val="18"/>
                <w:szCs w:val="18"/>
              </w:rPr>
              <w:t xml:space="preserve">To be provided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8"/>
                <w:sz w:val="14"/>
                <w:szCs w:val="14"/>
              </w:rPr>
              <w:t xml:space="preserve">CAGE CODE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3F4A23"/>
                <w:sz w:val="18"/>
                <w:szCs w:val="18"/>
              </w:rPr>
              <w:t xml:space="preserve">To be provided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8"/>
                <w:sz w:val="14"/>
                <w:szCs w:val="14"/>
              </w:rPr>
              <w:t xml:space="preserve">SOCIO-ECONOMIC CERTIFICATIONS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3F4A23"/>
                <w:sz w:val="18"/>
                <w:szCs w:val="18"/>
              </w:rPr>
              <w:t xml:space="preserve">To be provided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C98A1D"/>
                <w:spacing w:val="8"/>
                <w:sz w:val="14"/>
                <w:szCs w:val="14"/>
              </w:rPr>
              <w:t xml:space="preserve">SECURITY CLEARANCE</w:t>
            </w:r>
            <w:r>
              <w:br/>
              <w:t xml:space="preserve"/>
            </w:r>
            <w:r>
              <w:rPr>
                <w:rFonts w:ascii="Calibri" w:cs="Calibri" w:eastAsia="Calibri" w:hAnsi="Calibri"/>
                <w:color w:val="3F4A23"/>
                <w:sz w:val="18"/>
                <w:szCs w:val="18"/>
              </w:rPr>
              <w:t xml:space="preserve">To be provided</w:t>
            </w:r>
          </w:p>
          <w:p>
            <w:pPr>
              <w:pBdr>
                <w:bottom w:val="single" w:color="FFFFFF" w:sz="4" w:space="2"/>
              </w:pBdr>
              <w:spacing w:after="60" w:before="160"/>
            </w:pPr>
            <w:r>
              <w:rPr>
                <w:rFonts w:ascii="Cambria" w:cs="Cambria" w:eastAsia="Cambria" w:hAnsi="Cambria"/>
                <w:b/>
                <w:bCs/>
                <w:color w:val="6B7A3D"/>
                <w:spacing w:val="12"/>
                <w:sz w:val="19"/>
                <w:szCs w:val="19"/>
              </w:rPr>
              <w:t xml:space="preserve">PAST PERFORMANCE</w:t>
            </w:r>
          </w:p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22"/>
                <w:sz w:val="15"/>
                <w:szCs w:val="15"/>
              </w:rPr>
              <w:t xml:space="preserve">Ansight is a newly established firm; a formal contract past-performance record is in development. Work quality is demonstrated through 5+ years of direct, hands-on GIS delivery at Esri and AWS.</w:t>
            </w:r>
          </w:p>
          <w:p>
            <w:pPr>
              <w:pBdr>
                <w:bottom w:val="single" w:color="FFFFFF" w:sz="4" w:space="2"/>
              </w:pBdr>
              <w:spacing w:after="60" w:before="160"/>
            </w:pPr>
            <w:r>
              <w:rPr>
                <w:rFonts w:ascii="Cambria" w:cs="Cambria" w:eastAsia="Cambria" w:hAnsi="Cambria"/>
                <w:b/>
                <w:bCs/>
                <w:color w:val="6B7A3D"/>
                <w:spacing w:val="12"/>
                <w:sz w:val="19"/>
                <w:szCs w:val="19"/>
              </w:rPr>
              <w:t xml:space="preserve">CONTACT</w:t>
            </w:r>
          </w:p>
          <w:p>
            <w:pPr>
              <w:spacing w:after="10" w:line="25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F4A23"/>
                <w:sz w:val="16"/>
                <w:szCs w:val="16"/>
              </w:rPr>
              <w:t xml:space="preserve">Adeyinka Adekunle</w:t>
            </w:r>
          </w:p>
          <w:p>
            <w:pPr>
              <w:spacing w:after="4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A3A22"/>
                <w:sz w:val="14"/>
                <w:szCs w:val="14"/>
              </w:rPr>
              <w:t xml:space="preserve">Founder / Principal Consultant</w:t>
            </w:r>
          </w:p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22"/>
                <w:sz w:val="15"/>
                <w:szCs w:val="15"/>
              </w:rPr>
              <w:t xml:space="preserve">Bloomfield, New Jersey</w:t>
            </w:r>
          </w:p>
          <w:p>
            <w:pPr>
              <w:spacing w:after="1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22"/>
                <w:sz w:val="15"/>
                <w:szCs w:val="15"/>
              </w:rPr>
              <w:t xml:space="preserve">443-815-1537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A22"/>
                <w:sz w:val="15"/>
                <w:szCs w:val="15"/>
              </w:rPr>
              <w:t xml:space="preserve">adekunledeyinka@gmail.com</w:t>
            </w:r>
          </w:p>
        </w:tc>
      </w:tr>
    </w:tbl>
    <w:sectPr>
      <w:footerReference w:type="default" r:id="rId7"/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22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2240"/>
    </w:tblGrid>
    <w:tr>
      <w:tc>
        <w:tcPr>
          <w:tcW w:type="dxa" w:w="12240"/>
          <w:tcBorders>
            <w:top w:val="single" w:color="C98A1D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140"/>
            <w:left w:type="dxa" w:w="500"/>
            <w:bottom w:type="dxa" w:w="0"/>
            <w:right w:type="dxa" w:w="500"/>
          </w:tcMar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color w:val="C98A1D"/>
              <w:spacing w:val="8"/>
              <w:sz w:val="13"/>
              <w:szCs w:val="13"/>
            </w:rPr>
            <w:t xml:space="preserve">GEOSPATIAL ANALYTICS   •   GIS ENABLEMENT   •   LOCATION INTELLIGENCE   •   QA/QC   •   SPATIAL DATA ENGINEERING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2026-09-02T19:57:23.921Z</dcterms:created>
  <dcterms:modified xsi:type="dcterms:W3CDTF">2026-09-02T19:57:23.921Z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