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7c738ef3f71de9e41007fbbf59b599e3b122d9d"/>
    <w:p>
      <w:pPr>
        <w:pStyle w:val="Heading1"/>
      </w:pPr>
      <w:r>
        <w:t xml:space="preserve">Proposal: automated AI review of GitLab merge requests — pilot</w:t>
      </w:r>
    </w:p>
    <w:p>
      <w:pPr>
        <w:pStyle w:val="FirstParagraph"/>
      </w:pPr>
      <w:r>
        <w:rPr>
          <w:iCs/>
          <w:i/>
        </w:rPr>
        <w:t xml:space="preserve">For: Team Leader, Gobierno de Santa Fe · Date: 2026-10-26 · Author: Bruno Aguilar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propose an 8-week pilot of</w:t>
      </w:r>
      <w:r>
        <w:t xml:space="preserve"> </w:t>
      </w:r>
      <w:r>
        <w:rPr>
          <w:bCs/>
          <w:b/>
        </w:rPr>
        <w:t xml:space="preserve">PR-Agent</w:t>
      </w:r>
      <w:r>
        <w:t xml:space="preserve"> </w:t>
      </w:r>
      <w:r>
        <w:t xml:space="preserve">(open source, MIT) as an automatic first-pass reviewer on two repositories at git.santafe.gov.ar. On every merge request it posts a summary, inline review comments on the affected lines, and one-click code suggestions, minutes before a human looks. It needs no change to Jenkins and never approves or merges.</w:t>
      </w:r>
    </w:p>
    <w:p>
      <w:pPr>
        <w:pStyle w:val="BodyText"/>
      </w:pPr>
      <w:r>
        <w:t xml:space="preserve">In a local demo the tool found 9 of 9 seeded defects with Model A. Of the 4 defects that need real reasoning, it found 4. It produced 0 false positives across 4 merge requests, cost about USD 0.012 per merge request (code suggestions not metered), and took a median of 48 s from opening to complete feedback.</w:t>
      </w:r>
    </w:p>
    <w:p>
      <w:pPr>
        <w:pStyle w:val="BodyText"/>
      </w:pPr>
      <w:r>
        <w:rPr>
          <w:bCs/>
          <w:b/>
        </w:rPr>
        <w:t xml:space="preserve">Limits of this evidence:</w:t>
      </w:r>
      <w:r>
        <w:t xml:space="preserve"> </w:t>
      </w:r>
      <w:r>
        <w:t xml:space="preserve">synthetic code that we wrote ourselves, n = 9 defects, one run per model, unblinded scoring, and small diffs (≤150 lines). The cheaper Model B also found 9 of 9, so this set does not separate models. Real results will differ.</w:t>
      </w:r>
    </w:p>
    <w:p>
      <w:pPr>
        <w:pStyle w:val="BodyText"/>
      </w:pPr>
      <w:r>
        <w:t xml:space="preserve">Code diffs are sent to an external model provider, so data protection must be resolved before use beyond the pilot (§5).</w:t>
      </w:r>
    </w:p>
    <w:bookmarkEnd w:id="20"/>
    <w:bookmarkStart w:id="21" w:name="what-was-demonstrated"/>
    <w:p>
      <w:pPr>
        <w:pStyle w:val="Heading2"/>
      </w:pPr>
      <w:r>
        <w:t xml:space="preserve">2. What was demonstrated</w:t>
      </w:r>
    </w:p>
    <w:p>
      <w:pPr>
        <w:pStyle w:val="FirstParagraph"/>
      </w:pPr>
      <w:r>
        <w:t xml:space="preserve">The setup was GitLab CE 19.5.1 and PR-Agent 0.48.0 in Docker on a laptop, reviewing a synthetic Java 21 repository: three merge requests with seeded defects, and one clean refactor to probe false positives. Only synthetic code was sent to the model provider; nothing from git.santafe.gov.ar.</w:t>
      </w:r>
    </w:p>
    <w:p>
      <w:pPr>
        <w:pStyle w:val="BodyText"/>
      </w:pPr>
      <w:r>
        <w:t xml:space="preserve">Two models were used, both via OpenCode Go (a subscription gateway to open-weights coding models):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</w:t>
      </w:r>
      <w:r>
        <w:t xml:space="preserve"> </w:t>
      </w:r>
      <w:r>
        <w:t xml:space="preserve">= GLM-5.3 (Z.ai)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= DeepSeek V4.1 Flash (open weights, cheaper per token)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 (definitions in</w:t>
            </w:r>
            <w:r>
              <w:t xml:space="preserve"> </w:t>
            </w:r>
            <w:r>
              <w:rPr>
                <w:rStyle w:val="VerbatimChar"/>
              </w:rPr>
              <w:t xml:space="preserve">docs/results.md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Seeded defects found by</w:t>
            </w:r>
            <w:r>
              <w:t xml:space="preserve"> </w:t>
            </w:r>
            <w:r>
              <w:rPr>
                <w:rStyle w:val="VerbatimChar"/>
              </w:rPr>
              <w:t xml:space="preserve">/review</w:t>
            </w:r>
            <w:r>
              <w:t xml:space="preserve"> </w:t>
            </w:r>
            <w:r>
              <w:t xml:space="preserve">(of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defects found (of 4: pagination ×2, null refund, stale cache)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positives (4 MRs; clean MR in brackets)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time to review comment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cost per</w:t>
            </w:r>
            <w:r>
              <w:t xml:space="preserve"> </w:t>
            </w:r>
            <w:r>
              <w:rPr>
                <w:rStyle w:val="VerbatimChar"/>
              </w:rPr>
              <w:t xml:space="preserve">/review</w:t>
            </w:r>
            <w:r>
              <w:t xml:space="preserve"> </w:t>
            </w:r>
            <w:r>
              <w:t xml:space="preserve">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0.0024</w:t>
            </w:r>
          </w:p>
        </w:tc>
      </w:tr>
    </w:tbl>
    <w:p>
      <w:pPr>
        <w:pStyle w:val="BodyText"/>
      </w:pPr>
      <w:r>
        <w:t xml:space="preserve">Also shown:</w:t>
      </w:r>
    </w:p>
    <w:p>
      <w:pPr>
        <w:numPr>
          <w:ilvl w:val="0"/>
          <w:numId w:val="1002"/>
        </w:numPr>
        <w:pStyle w:val="Compact"/>
      </w:pPr>
      <w:r>
        <w:t xml:space="preserve">Repository conventions supplied to the model through an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file.</w:t>
      </w:r>
    </w:p>
    <w:p>
      <w:pPr>
        <w:numPr>
          <w:ilvl w:val="0"/>
          <w:numId w:val="1002"/>
        </w:numPr>
        <w:pStyle w:val="Compact"/>
      </w:pPr>
      <w:r>
        <w:t xml:space="preserve">Model switching with one comment. PR-Agent reaches models through LiteLLM (100+ providers), so changing vendor, or moving to a self-hosted model, is a one-line setting.</w:t>
      </w:r>
    </w:p>
    <w:p>
      <w:pPr>
        <w:numPr>
          <w:ilvl w:val="0"/>
          <w:numId w:val="1002"/>
        </w:numPr>
        <w:pStyle w:val="Compact"/>
      </w:pPr>
      <w:r>
        <w:t xml:space="preserve">Automatic re-review after a pushed fix (10 s): fixed bugs moved to</w:t>
      </w:r>
      <w:r>
        <w:t xml:space="preserve"> </w:t>
      </w:r>
      <w:r>
        <w:t xml:space="preserve">“</w:t>
      </w:r>
      <w:r>
        <w:t xml:space="preserve">Resolved findings</w:t>
      </w:r>
      <w:r>
        <w:t xml:space="preserve">”</w:t>
      </w:r>
      <w:r>
        <w:t xml:space="preserve"> </w:t>
      </w:r>
      <w:r>
        <w:t xml:space="preserve">and unfixed ones stayed open. Inline threads close only when their own line changes.</w:t>
      </w:r>
    </w:p>
    <w:bookmarkEnd w:id="21"/>
    <w:bookmarkStart w:id="22" w:name="tool-choice-and-licences"/>
    <w:p>
      <w:pPr>
        <w:pStyle w:val="Heading2"/>
      </w:pPr>
      <w:r>
        <w:t xml:space="preserve">3. Tool choice and licences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/ commercial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PR-Agent</w:t>
            </w:r>
            <w:r>
              <w:t xml:space="preserve"> </w:t>
            </w:r>
            <w:r>
              <w:t xml:space="preserve">(github.com/The-PR-Agent/pr-agent)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~13.5k stars, 412 contributors. Community-maintained since Qodo moved its main product elsewhere (Qodo remains a sponsor). Releases about every 2 weeks (0.47.0 on 2026-10-02, 0.48.0 on 2026-10-16). Self-hosted webhook server for GitLab; any provider via LiteLLM.</w:t>
            </w:r>
            <w:r>
              <w:t xml:space="preserve"> </w:t>
            </w:r>
            <w:r>
              <w:rPr>
                <w:bCs/>
                <w:b/>
              </w:rPr>
              <w:t xml:space="preserve">Chosen.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AGPL-3.0 core + commercial enterprise 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Viable; AGPL duties if modified and offered over a network; some features paid.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GitLab Duo 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GitLab add-on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 tier varies by GitLab version (confirm with our account); data handled by GitLab’s model vendors.</w:t>
            </w:r>
          </w:p>
        </w:tc>
      </w:tr>
    </w:tbl>
    <w:p>
      <w:pPr>
        <w:pStyle w:val="BodyText"/>
      </w:pPr>
      <w:r>
        <w:t xml:space="preserve">Not evaluated: GitLab Duo Self-Hosted and Qodo’s commercial product.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for 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(PR-Agent)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Use, modify and run internally; keep the notice. Lowest risk; we can fork if upstream stops.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AGPL-3.0 + commercial EE (Kodus)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modified and offered to users over a network, we must publish our changes; paid features sit outside the open core.</w:t>
            </w:r>
          </w:p>
        </w:tc>
      </w:tr>
    </w:tbl>
    <w:p>
      <w:pPr>
        <w:pStyle w:val="BodyText"/>
      </w:pPr>
      <w:r>
        <w:t xml:space="preserve">Model licences and provider terms are separate from the tool’s licence.</w:t>
      </w:r>
    </w:p>
    <w:bookmarkEnd w:id="22"/>
    <w:bookmarkStart w:id="23" w:name="production-architecture"/>
    <w:p>
      <w:pPr>
        <w:pStyle w:val="Heading2"/>
      </w:pPr>
      <w:r>
        <w:t xml:space="preserve">4. Production architecture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Deployment.</w:t>
      </w:r>
      <w:r>
        <w:t xml:space="preserve"> </w:t>
      </w:r>
      <w:r>
        <w:t xml:space="preserve">One PR-Agent container on a VM in the DMZ behind a TLS reverse proxy.</w:t>
      </w:r>
    </w:p>
    <w:p>
      <w:pPr>
        <w:numPr>
          <w:ilvl w:val="1"/>
          <w:numId w:val="1004"/>
        </w:numPr>
        <w:pStyle w:val="Compact"/>
      </w:pPr>
      <w:r>
        <w:t xml:space="preserve">git.santafe.gov.ar sends webhooks (merge request and comment events) with a shared secret.</w:t>
      </w:r>
    </w:p>
    <w:p>
      <w:pPr>
        <w:numPr>
          <w:ilvl w:val="1"/>
          <w:numId w:val="1004"/>
        </w:numPr>
        <w:pStyle w:val="Compact"/>
      </w:pPr>
      <w:r>
        <w:t xml:space="preserve">Egress is allow-listed to git.santafe.gov.ar and the model endpoint only.</w:t>
      </w:r>
    </w:p>
    <w:p>
      <w:pPr>
        <w:numPr>
          <w:ilvl w:val="1"/>
          <w:numId w:val="1004"/>
        </w:numPr>
        <w:pStyle w:val="Compact"/>
      </w:pPr>
      <w:r>
        <w:t xml:space="preserve">The image is pinned by tag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@sha256</w:t>
      </w:r>
      <w:r>
        <w:t xml:space="preserve"> </w:t>
      </w:r>
      <w:r>
        <w:t xml:space="preserve">digest. The image disables LiteLLM’s remote price-list download.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Credentials.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project access token</w:t>
      </w:r>
      <w:r>
        <w:t xml:space="preserve"> </w:t>
      </w:r>
      <w:r>
        <w:t xml:space="preserve">(Developer role,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scope, with expiry), or a dedicated bot user, rotated on a calendar and kept in the VM’s secret store.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Webhooks.</w:t>
      </w:r>
      <w:r>
        <w:t xml:space="preserve"> </w:t>
      </w:r>
      <w:r>
        <w:t xml:space="preserve">Per project. If the VM address is internal, a GitLab admin must allow-list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Logging.</w:t>
      </w:r>
      <w:r>
        <w:t xml:space="preserve"> </w:t>
      </w:r>
      <w:r>
        <w:t xml:space="preserve">PR-Agent keeps no database. Set</w:t>
      </w:r>
      <w:r>
        <w:t xml:space="preserve"> </w:t>
      </w:r>
      <w:r>
        <w:rPr>
          <w:rStyle w:val="VerbatimChar"/>
        </w:rPr>
        <w:t xml:space="preserve">log_level=INFO</w:t>
      </w:r>
      <w:r>
        <w:t xml:space="preserve">: the default DEBUG logs full prompts, including code. Review comments are stored in GitLab like any human comment.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Version gap.</w:t>
      </w:r>
      <w:r>
        <w:t xml:space="preserve"> </w:t>
      </w:r>
      <w:r>
        <w:t xml:space="preserve">The demo used GitLab CE 19.5.1; our version is unknown (PR-Agent needs ≥ 15.7). Verify in week 1.</w:t>
      </w:r>
    </w:p>
    <w:bookmarkEnd w:id="23"/>
    <w:bookmarkStart w:id="24" w:name="data-protection"/>
    <w:p>
      <w:pPr>
        <w:pStyle w:val="Heading2"/>
      </w:pPr>
      <w:r>
        <w:t xml:space="preserve">5. Data protection</w:t>
      </w:r>
    </w:p>
    <w:p>
      <w:pPr>
        <w:pStyle w:val="FirstParagraph"/>
      </w:pPr>
      <w:r>
        <w:t xml:space="preserve">The current design sends</w:t>
      </w:r>
      <w:r>
        <w:t xml:space="preserve"> </w:t>
      </w:r>
      <w:r>
        <w:rPr>
          <w:bCs/>
          <w:b/>
        </w:rPr>
        <w:t xml:space="preserve">merge-request diffs and related file context</w:t>
      </w:r>
      <w:r>
        <w:t xml:space="preserve"> </w:t>
      </w:r>
      <w:r>
        <w:t xml:space="preserve">outside the government network:</w:t>
      </w:r>
    </w:p>
    <w:p>
      <w:pPr>
        <w:numPr>
          <w:ilvl w:val="0"/>
          <w:numId w:val="1005"/>
        </w:numPr>
        <w:pStyle w:val="Compact"/>
      </w:pPr>
      <w:r>
        <w:t xml:space="preserve">to the model vendor;</w:t>
      </w:r>
    </w:p>
    <w:p>
      <w:pPr>
        <w:numPr>
          <w:ilvl w:val="0"/>
          <w:numId w:val="1005"/>
        </w:numPr>
        <w:pStyle w:val="Compact"/>
      </w:pPr>
      <w:r>
        <w:t xml:space="preserve">in the demo route, additionally to</w:t>
      </w:r>
      <w:r>
        <w:t xml:space="preserve"> </w:t>
      </w:r>
      <w:r>
        <w:rPr>
          <w:bCs/>
          <w:b/>
        </w:rPr>
        <w:t xml:space="preserve">OpenCode Go</w:t>
      </w:r>
      <w:r>
        <w:t xml:space="preserve">, an intermediary gateway (single-user subscription; not usable for a team pilot).</w:t>
      </w:r>
    </w:p>
    <w:p>
      <w:pPr>
        <w:pStyle w:val="FirstParagraph"/>
      </w:pPr>
      <w:r>
        <w:t xml:space="preserve">Options: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Commercial API with zero-data-retention and no-training terms</w:t>
      </w:r>
      <w:r>
        <w:t xml:space="preserve">, contracted directly with the model vendor, removing the intermediary. This is the fastest option, but data still leaves the country.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Self-hosted open-weights model</w:t>
      </w:r>
      <w:r>
        <w:t xml:space="preserve"> </w:t>
      </w:r>
      <w:r>
        <w:t xml:space="preserve">(e.g. the GLM or DeepSeek families on vLLM) on a GPU server inside the network, so no code leaves. Demo results are indicative only (third-party hardware); quality on our hardware must be measured, and the GPU server quoted.</w:t>
      </w:r>
    </w:p>
    <w:p>
      <w:pPr>
        <w:pStyle w:val="FirstParagraph"/>
      </w:pPr>
      <w:r>
        <w:t xml:space="preserve">In every case:</w:t>
      </w:r>
    </w:p>
    <w:p>
      <w:pPr>
        <w:numPr>
          <w:ilvl w:val="0"/>
          <w:numId w:val="1007"/>
        </w:numPr>
        <w:pStyle w:val="Compact"/>
      </w:pPr>
      <w:r>
        <w:t xml:space="preserve">Exclude sensitive paths through PR-Agent’s ignore list.</w:t>
      </w:r>
    </w:p>
    <w:p>
      <w:pPr>
        <w:numPr>
          <w:ilvl w:val="0"/>
          <w:numId w:val="1007"/>
        </w:numPr>
        <w:pStyle w:val="Compact"/>
      </w:pPr>
      <w:r>
        <w:t xml:space="preserve">Pilot only on repositories without real personal data.</w:t>
      </w:r>
    </w:p>
    <w:p>
      <w:pPr>
        <w:numPr>
          <w:ilvl w:val="0"/>
          <w:numId w:val="1007"/>
        </w:numPr>
        <w:pStyle w:val="Compact"/>
      </w:pPr>
      <w:r>
        <w:t xml:space="preserve">Keep</w:t>
      </w:r>
      <w:r>
        <w:t xml:space="preserve"> </w:t>
      </w:r>
      <w:r>
        <w:rPr>
          <w:rStyle w:val="VerbatimChar"/>
        </w:rPr>
        <w:t xml:space="preserve">add_user_to_requests</w:t>
      </w:r>
      <w:r>
        <w:t xml:space="preserve"> </w:t>
      </w:r>
      <w:r>
        <w:t xml:space="preserve">off in production; it sends MR URLs to the provider.</w:t>
      </w:r>
    </w:p>
    <w:p>
      <w:pPr>
        <w:numPr>
          <w:ilvl w:val="0"/>
          <w:numId w:val="1007"/>
        </w:numPr>
        <w:pStyle w:val="Compact"/>
      </w:pPr>
      <w:r>
        <w:t xml:space="preserve">Keep DEBUG logging off.</w:t>
      </w:r>
    </w:p>
    <w:p>
      <w:pPr>
        <w:pStyle w:val="FirstParagraph"/>
      </w:pPr>
      <w:r>
        <w:t xml:space="preserve">We recommend a review under</w:t>
      </w:r>
      <w:r>
        <w:t xml:space="preserve"> </w:t>
      </w:r>
      <w:r>
        <w:rPr>
          <w:bCs/>
          <w:b/>
        </w:rPr>
        <w:t xml:space="preserve">Ley 25.326</w:t>
      </w:r>
      <w:r>
        <w:t xml:space="preserve"> </w:t>
      </w:r>
      <w:r>
        <w:t xml:space="preserve">and the government’s ICT and information-security policies, approved by legal, the information-security office and the infrastructure owner. This document makes no legal determination.</w:t>
      </w:r>
    </w:p>
    <w:bookmarkEnd w:id="24"/>
    <w:bookmarkStart w:id="25" w:name="costs-and-operations"/>
    <w:p>
      <w:pPr>
        <w:pStyle w:val="Heading2"/>
      </w:pPr>
      <w:r>
        <w:t xml:space="preserve">6. Costs and operations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Model usage.</w:t>
      </w:r>
      <w:r>
        <w:t xml:space="preserve"> </w:t>
      </w:r>
      <w:r>
        <w:t xml:space="preserve">About USD 0.012 per merge request with Model A (description + review, at list prices). Model B costs 0.36 × Model A per review.</w:t>
      </w:r>
    </w:p>
    <w:p>
      <w:pPr>
        <w:numPr>
          <w:ilvl w:val="1"/>
          <w:numId w:val="1009"/>
        </w:numPr>
        <w:pStyle w:val="Compact"/>
      </w:pPr>
      <w:r>
        <w:t xml:space="preserve">Real diffs are larger than the demo’s, so treat this as a floor.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Infrastructure.</w:t>
      </w:r>
      <w:r>
        <w:t xml:space="preserve"> </w:t>
      </w:r>
      <w:r>
        <w:t xml:space="preserve">One small VM. No licence fees.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Maintainability.</w:t>
      </w:r>
    </w:p>
    <w:p>
      <w:pPr>
        <w:numPr>
          <w:ilvl w:val="1"/>
          <w:numId w:val="1010"/>
        </w:numPr>
        <w:pStyle w:val="Compact"/>
      </w:pPr>
      <w:r>
        <w:t xml:space="preserve">Behaviour is configuration only (environment variables and</w:t>
      </w:r>
      <w:r>
        <w:t xml:space="preserve"> </w:t>
      </w:r>
      <w:r>
        <w:rPr>
          <w:rStyle w:val="VerbatimChar"/>
        </w:rPr>
        <w:t xml:space="preserve">.pr_agent.toml</w:t>
      </w:r>
      <w:r>
        <w:t xml:space="preserve">); there is no custom code.</w:t>
      </w:r>
    </w:p>
    <w:p>
      <w:pPr>
        <w:numPr>
          <w:ilvl w:val="1"/>
          <w:numId w:val="1010"/>
        </w:numPr>
        <w:pStyle w:val="Compact"/>
      </w:pPr>
      <w:r>
        <w:t xml:space="preserve">Model IDs that are not in PR-Agent’s registry need</w:t>
      </w:r>
      <w:r>
        <w:t xml:space="preserve"> </w:t>
      </w:r>
      <w:r>
        <w:rPr>
          <w:rStyle w:val="VerbatimChar"/>
        </w:rPr>
        <w:t xml:space="preserve">custom_model_max_tokens</w:t>
      </w:r>
      <w:r>
        <w:t xml:space="preserve">; reasoning models also need an explicit reasoning-effort setting, otherwise calls time out.</w:t>
      </w:r>
    </w:p>
    <w:p>
      <w:pPr>
        <w:numPr>
          <w:ilvl w:val="1"/>
          <w:numId w:val="1010"/>
        </w:numPr>
        <w:pStyle w:val="Compact"/>
      </w:pPr>
      <w:r>
        <w:t xml:space="preserve">The default fallback model must be overridden.</w:t>
      </w:r>
    </w:p>
    <w:p>
      <w:pPr>
        <w:numPr>
          <w:ilvl w:val="1"/>
          <w:numId w:val="1010"/>
        </w:numPr>
        <w:pStyle w:val="Compact"/>
      </w:pPr>
      <w:r>
        <w:t xml:space="preserve">Input is capped at 32k tokens per call.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Upgrades.</w:t>
      </w:r>
      <w:r>
        <w:t xml:space="preserve"> </w:t>
      </w:r>
      <w:r>
        <w:t xml:space="preserve">The demo repository and answer key are our regression suite. Re-run them on every PR-Agent upgrade or model change before rollout. Upgrade monthly, or when a security fix lands.</w:t>
      </w:r>
    </w:p>
    <w:bookmarkEnd w:id="25"/>
    <w:bookmarkStart w:id="26" w:name="pilot-plan-and-risks"/>
    <w:p>
      <w:pPr>
        <w:pStyle w:val="Heading2"/>
      </w:pPr>
      <w:r>
        <w:t xml:space="preserve">7. Pilot plan and risks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Weeks 1–8:</w:t>
      </w:r>
      <w:r>
        <w:t xml:space="preserve"> </w:t>
      </w:r>
      <w:r>
        <w:t xml:space="preserve">2 volunteer repositories. Baseline first: median time-to-first-review from the GitLab API. Every week, developers tag bot comments as useful, noise or wrong.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Success criteria (thresholds set by the Team Leader):</w:t>
      </w:r>
    </w:p>
    <w:p>
      <w:pPr>
        <w:numPr>
          <w:ilvl w:val="1"/>
          <w:numId w:val="1012"/>
        </w:numPr>
        <w:pStyle w:val="Compact"/>
      </w:pPr>
      <w:r>
        <w:t xml:space="preserve">Useful comments ≥ ___ %.</w:t>
      </w:r>
    </w:p>
    <w:p>
      <w:pPr>
        <w:numPr>
          <w:ilvl w:val="1"/>
          <w:numId w:val="1012"/>
        </w:numPr>
        <w:pStyle w:val="Compact"/>
      </w:pPr>
      <w:r>
        <w:t xml:space="preserve">Wrong comments ≤ ___ %.</w:t>
      </w:r>
    </w:p>
    <w:p>
      <w:pPr>
        <w:numPr>
          <w:ilvl w:val="1"/>
          <w:numId w:val="1012"/>
        </w:numPr>
        <w:pStyle w:val="Compact"/>
      </w:pPr>
      <w:r>
        <w:t xml:space="preserve">Spend ≤ cap.</w:t>
      </w:r>
    </w:p>
    <w:p>
      <w:pPr>
        <w:numPr>
          <w:ilvl w:val="1"/>
          <w:numId w:val="1012"/>
        </w:numPr>
        <w:pStyle w:val="Compact"/>
      </w:pPr>
      <w:r>
        <w:t xml:space="preserve">Zero data-protection incidents.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Stop rule:</w:t>
      </w:r>
      <w:r>
        <w:t xml:space="preserve"> </w:t>
      </w:r>
      <w:r>
        <w:t xml:space="preserve">any secret or personal-data incident, or a spend breach.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or data leaves the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1 or 2 in §5; ignore paths; legal and security review before extending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or noisy comments erode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 are advisory; findings capped; weekly precision tagging; tune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Upstream is community-maintained, not vendor-supported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by digest; MIT allows forking; regression suite on each upgrade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or secret 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Least-privilege project token with expiry; webhook secret; secrets outside repositories</w:t>
            </w:r>
          </w:p>
        </w:tc>
      </w:tr>
    </w:tbl>
    <w:p>
      <w:pPr>
        <w:pStyle w:val="BodyText"/>
      </w:pPr>
      <w:r>
        <w:t xml:space="preserve">PR-Agent never approves or merges. Human approval is enforced by GitLab approval rules (tier-dependent) or by the</w:t>
      </w:r>
      <w:r>
        <w:t xml:space="preserve"> </w:t>
      </w:r>
      <w:r>
        <w:t xml:space="preserve">“</w:t>
      </w:r>
      <w:r>
        <w:t xml:space="preserve">Allowed to merge</w:t>
      </w:r>
      <w:r>
        <w:t xml:space="preserve">”</w:t>
      </w:r>
      <w:r>
        <w:t xml:space="preserve"> </w:t>
      </w:r>
      <w:r>
        <w:t xml:space="preserve">setting on protected branches.</w:t>
      </w:r>
    </w:p>
    <w:bookmarkEnd w:id="26"/>
    <w:bookmarkStart w:id="27" w:name="decision-requested"/>
    <w:p>
      <w:pPr>
        <w:pStyle w:val="Heading2"/>
      </w:pPr>
      <w:r>
        <w:t xml:space="preserve">8. Decision requested</w:t>
      </w:r>
    </w:p>
    <w:p>
      <w:pPr>
        <w:numPr>
          <w:ilvl w:val="0"/>
          <w:numId w:val="1013"/>
        </w:numPr>
        <w:pStyle w:val="Compact"/>
      </w:pPr>
      <w:r>
        <w:t xml:space="preserve">Approve an 8-week pilot on 2 repositories named by the team.</w:t>
      </w:r>
    </w:p>
    <w:p>
      <w:pPr>
        <w:numPr>
          <w:ilvl w:val="0"/>
          <w:numId w:val="1013"/>
        </w:numPr>
        <w:pStyle w:val="Compact"/>
      </w:pPr>
      <w:r>
        <w:t xml:space="preserve">Provide one VM, plus network rules: inbound webhook from git.santafe.gov.ar, outbound HTTPS to the chosen provider.</w:t>
      </w:r>
    </w:p>
    <w:p>
      <w:pPr>
        <w:numPr>
          <w:ilvl w:val="0"/>
          <w:numId w:val="1013"/>
        </w:numPr>
        <w:pStyle w:val="Compact"/>
      </w:pPr>
      <w:r>
        <w:t xml:space="preserve">Approve a model spend cap of USD 50/month.</w:t>
      </w:r>
    </w:p>
    <w:p>
      <w:pPr>
        <w:numPr>
          <w:ilvl w:val="0"/>
          <w:numId w:val="1013"/>
        </w:numPr>
        <w:pStyle w:val="Compact"/>
      </w:pPr>
      <w:r>
        <w:t xml:space="preserve">Assign an owner and start the legal and information-security review.</w:t>
      </w:r>
    </w:p>
    <w:p>
      <w:pPr>
        <w:numPr>
          <w:ilvl w:val="0"/>
          <w:numId w:val="1013"/>
        </w:numPr>
        <w:pStyle w:val="Compact"/>
      </w:pPr>
      <w:r>
        <w:t xml:space="preserve">Choose the pilot model route: a commercial zero-retention API (fastest), or self-hosted (requires a GPU budget).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8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80" w:before="12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80" w:before="12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0"/>
      <w:szCs w:val="30"/>
    </w:rPr>
  </w:style>
  <w:style w:styleId="Subtitle" w:type="paragraph">
    <w:name w:val="Subtitle"/>
    <w:basedOn w:val="Title"/>
    <w:next w:val="BodyText"/>
    <w:qFormat/>
    <w:pPr>
      <w:keepNext/>
      <w:keepLines/>
      <w:spacing w:after="80" w:before="120"/>
      <w:jc w:val="center"/>
    </w:pPr>
    <w:rPr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120"/>
    </w:pPr>
    <w:rPr>
      <w:sz w:val="18"/>
      <w:szCs w:val="18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80" w:before="100"/>
    </w:pPr>
    <w:rPr>
      <w:sz w:val="18"/>
      <w:szCs w:val="18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12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12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2"/>
      <w:szCs w:val="22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12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0"/>
      <w:szCs w:val="2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12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0"/>
      <w:szCs w:val="2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120"/>
      <w:outlineLvl w:val="4"/>
    </w:pPr>
    <w:rPr>
      <w:rFonts w:asciiTheme="majorHAnsi" w:cstheme="majorBidi" w:eastAsiaTheme="majorEastAsia" w:hAnsiTheme="majorHAnsi"/>
      <w:iCs/>
      <w:color w:themeColor="accent1" w:val="4F81BD"/>
      <w:sz w:val="20"/>
      <w:szCs w:val="20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120"/>
      <w:outlineLvl w:val="5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120"/>
      <w:outlineLvl w:val="6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12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120"/>
      <w:outlineLvl w:val="8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8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12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2026-10-26T14:18:16Z</dcterms:created>
  <dcterms:modified xsi:type="dcterms:W3CDTF">2026-10-26T14:18:16Z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