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Implementación de un Módulo de Autenticación Biométrica Facial Basado en Machine Learning para Mejorar la Seguridad en el Acceso a la Plataforma Web de Avadtar S.A.C.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De la Cruz Robles Angel Fabian, Canales Quevedo Aldo Eric, Mendez Cavero Marcelo Roberto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Universidad Autónoma del Perú, Lima, Villa El Salvador</w:t>
      </w:r>
    </w:p>
    <w:p w:rsidR="00000000" w:rsidDel="00000000" w:rsidP="00000000" w:rsidRDefault="00000000" w:rsidRPr="00000000" w14:paraId="00000006">
      <w:pPr>
        <w:jc w:val="center"/>
        <w:rPr/>
      </w:pPr>
      <w:r w:rsidDel="00000000" w:rsidR="00000000" w:rsidRPr="00000000">
        <w:rPr>
          <w:rtl w:val="0"/>
        </w:rPr>
        <w:t xml:space="preserve">adelacruzr5@autonoma.edu.pe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566.9291338582675" w:right="526.0629921259857" w:firstLine="283.4645669291342"/>
        <w:jc w:val="both"/>
        <w:rPr/>
      </w:pPr>
      <w:r w:rsidDel="00000000" w:rsidR="00000000" w:rsidRPr="00000000">
        <w:rPr>
          <w:rtl w:val="0"/>
        </w:rPr>
        <w:t xml:space="preserve">Resumen—En el contexto de las crecientes amenazas de ciberseguridad, los métodos tradicionales de autenticación como contraseñas y PINs han demostrado ser vulnerables a accesos no autorizados y suplantación de identidad. Este estudio propone la implementación de un módulo de autenticación biométrica facial basado en machine learning para la plataforma web de Avadtar S.A.C., una empresa especializada en soluciones tecnológicas. El módulo busca mejorar la seguridad mediante el uso de redes neuronales convolucionales (CNNs) para verificar con precisión las identidades de los usuarios. La metodología incluye el análisis de vulnerabilidades en el sistema actual, la selección y entrenamiento de algoritmos de reconocimiento facial, y la integración del módulo en la infraestructura web existente. Los resultados demuestran una reducción significativa en intentos de acceso no autorizados (objetivo: 2%) y una mejora en la percepción de seguridad por parte de los usuarios (objetivo: 90%). El estudio destaca la viabilidad técnica y los beneficios de adoptar la autenticación biométrica en entornos empresariales, alineándose con estándares internacionales como ISO/IEC 27001 y NIST SP 800-63.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566.9291338582675" w:right="526.0629921259857" w:firstLine="0"/>
        <w:rPr/>
      </w:pPr>
      <w:r w:rsidDel="00000000" w:rsidR="00000000" w:rsidRPr="00000000">
        <w:rPr>
          <w:rtl w:val="0"/>
        </w:rPr>
        <w:t xml:space="preserve">Palabras clave: autenticación biométrica, reconocimiento facial, machine learning, ciberseguridad, redes neuronales convolucionales.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u w:val="none"/>
        </w:rPr>
      </w:pPr>
      <w:r w:rsidDel="00000000" w:rsidR="00000000" w:rsidRPr="00000000">
        <w:rPr>
          <w:b w:val="1"/>
          <w:rtl w:val="0"/>
        </w:rPr>
        <w:t xml:space="preserve">Introducción</w:t>
      </w:r>
    </w:p>
    <w:p w:rsidR="00000000" w:rsidDel="00000000" w:rsidP="00000000" w:rsidRDefault="00000000" w:rsidRPr="00000000" w14:paraId="0000000D">
      <w:pPr>
        <w:spacing w:after="240" w:before="240" w:lineRule="auto"/>
        <w:ind w:firstLine="425.19685039370086"/>
        <w:jc w:val="both"/>
        <w:rPr/>
      </w:pPr>
      <w:r w:rsidDel="00000000" w:rsidR="00000000" w:rsidRPr="00000000">
        <w:rPr>
          <w:rtl w:val="0"/>
        </w:rPr>
        <w:t xml:space="preserve">La transformación digital ha incrementado la dependencia de las plataformas web para las operaciones empresariales, exponiendo a las organizaciones a riesgos de ciberseguridad como accesos no autorizados, suplantación de identidad, ataques por fuerza bruta y filtraciones de datos. En la actualidad, las plataformas digitales concentran una gran cantidad de información confidencial que resulta atractiva para atacantes. La falta de mecanismos robustos de validación de identidad genera múltiples puntos de vulnerabilidad, especialmente en sectores donde la validación de usuarios es continua y sensible. Avadtar S.A.C., empresa peruana dedicada a soluciones tecnológicas, identificó que el 18% de los intentos de acceso a su plataforma web fueron no autorizados durante el último trimestre, reflejando una alarmante exposición ante brechas de seguridad. Asimismo, el 42% de los usuarios manifestó una percepción negativa respecto a la seguridad del sistema de autenticación actual [1].</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Los mecanismos tradicionales de acceso, como contraseñas, PINs o tokens, han demostrado ser insuficientes para garantizar una protección eficaz, ya que pueden ser robados, compartidos o descubiertos mediante técnicas como el phishing o el keylogging. Frente a ello, la autenticación biométrica se presenta como una solución más segura y conveniente, al basarse en características únicas e intransferibles del individuo [2]. Particularmente, el reconocimiento facial ha ganado relevancia debido a su carácter no invasivo y a la integración natural con dispositivos que ya cuentan con cámaras. Cuando este reconocimiento se potencia con algoritmos de aprendizaje profundo, como las redes neuronales convolucionales (CNN), se consigue una mejora sustancial en la precisión, la velocidad de respuesta y la detección de intentos de suplantación [3].</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En este contexto, la presente investigación tiene como propósito abordar esta problemática mediante el análisis de las vulnerabilidades del sistema actual de Avadtar S.A.C., el diseño e implementación de un módulo de autenticación biométrica facial utilizando técnicas de machine learning, e integrar dicho sistema a la plataforma web de la empresa para evaluar su impacto en la reducción de accesos no autorizados y en la mejora de la percepción de seguridad por parte de los usuarios.</w:t>
      </w:r>
    </w:p>
    <w:p w:rsidR="00000000" w:rsidDel="00000000" w:rsidP="00000000" w:rsidRDefault="00000000" w:rsidRPr="00000000" w14:paraId="00000010">
      <w:pPr>
        <w:spacing w:after="240" w:before="240" w:lineRule="auto"/>
        <w:jc w:val="both"/>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b w:val="1"/>
        </w:rPr>
      </w:pPr>
      <w:r w:rsidDel="00000000" w:rsidR="00000000" w:rsidRPr="00000000">
        <w:rPr>
          <w:b w:val="1"/>
          <w:rtl w:val="0"/>
        </w:rPr>
        <w:t xml:space="preserve">Marco Teórico</w:t>
      </w:r>
    </w:p>
    <w:p w:rsidR="00000000" w:rsidDel="00000000" w:rsidP="00000000" w:rsidRDefault="00000000" w:rsidRPr="00000000" w14:paraId="00000014">
      <w:pPr>
        <w:ind w:firstLine="425.19685039370086"/>
        <w:jc w:val="both"/>
        <w:rPr/>
      </w:pPr>
      <w:r w:rsidDel="00000000" w:rsidR="00000000" w:rsidRPr="00000000">
        <w:rPr>
          <w:rtl w:val="0"/>
        </w:rPr>
        <w:t xml:space="preserve">Los sistemas biométricos identifican a los usuarios basándose en rasgos fisiológicos (ej. características faciales) o de comportamiento únicos [4]. En comparación con los métodos tradicionales, la biometría ofrece mayor seguridad al mitigar riesgos como el robo de credenciales [5]. Las CNNs destacan en el procesamiento de imágenes al extraer automáticamente características jerárquicas [6]. Arquitecturas como ResNet y EfficientNet equilibran precisión y eficiencia computacional, haciéndolas adecuadas para aplicaciones en tiempo real [7]. El estudio se adhiere a la Ley de Ciberseguridad del Perú (No. 30999) y a estándares internacionales (ISO/IEC 27001), garantizando el cumplimiento en el manejo de datos y privacidad [8].</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u w:val="none"/>
        </w:rPr>
      </w:pPr>
      <w:r w:rsidDel="00000000" w:rsidR="00000000" w:rsidRPr="00000000">
        <w:rPr>
          <w:b w:val="1"/>
          <w:rtl w:val="0"/>
        </w:rPr>
        <w:t xml:space="preserve">Diseño de la Propuesta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both"/>
        <w:rPr>
          <w:b w:val="1"/>
        </w:rPr>
      </w:pPr>
      <w:r w:rsidDel="00000000" w:rsidR="00000000" w:rsidRPr="00000000">
        <w:rPr>
          <w:b w:val="1"/>
          <w:rtl w:val="0"/>
        </w:rPr>
        <w:t xml:space="preserve">3.1 Conjunto de Datos y Preprocesamiento</w:t>
      </w:r>
    </w:p>
    <w:p w:rsidR="00000000" w:rsidDel="00000000" w:rsidP="00000000" w:rsidRDefault="00000000" w:rsidRPr="00000000" w14:paraId="00000019">
      <w:pPr>
        <w:jc w:val="both"/>
        <w:rPr/>
      </w:pPr>
      <w:r w:rsidDel="00000000" w:rsidR="00000000" w:rsidRPr="00000000">
        <w:rPr>
          <w:rtl w:val="0"/>
        </w:rPr>
        <w:t xml:space="preserve">Para este estudio se utilizó un conjunto de imágenes faciales capturadas bajo diversas condiciones de iluminación y ángulos [9]. Cada imagen está asociada a un usuario mediante un identificador único y contiene metadatos relevantes como edad, sexo y ubicación anatómica del rostro. Los datos se almacenaron en formato estándar JPEG con resolución de 384x384 píxeles para garantizar consistencia en el procesamiento.</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Se aplicaron técnicas de aumento de datos incluyendo rotación (±15°), zoom (hasta 20%) y ajuste de contraste (±30%) para mejorar la robustez del modelo ante variaciones en las condiciones de captura [10]. Este preprocesamiento permitió incrementar el conjunto original de 15,000 imágenes a 45,000 muestras para entrenamiento.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b w:val="1"/>
        </w:rPr>
      </w:pPr>
      <w:r w:rsidDel="00000000" w:rsidR="00000000" w:rsidRPr="00000000">
        <w:rPr>
          <w:b w:val="1"/>
          <w:rtl w:val="0"/>
        </w:rPr>
        <w:t xml:space="preserve">3.2 Desarrollo del Modelo</w:t>
      </w:r>
    </w:p>
    <w:p w:rsidR="00000000" w:rsidDel="00000000" w:rsidP="00000000" w:rsidRDefault="00000000" w:rsidRPr="00000000" w14:paraId="0000001E">
      <w:pPr>
        <w:jc w:val="both"/>
        <w:rPr/>
      </w:pPr>
      <w:r w:rsidDel="00000000" w:rsidR="00000000" w:rsidRPr="00000000">
        <w:rPr>
          <w:rtl w:val="0"/>
        </w:rPr>
        <w:t xml:space="preserve">La arquitectura seleccionada combina EfficientNet-B4 (para extracción de características) y VGG-19 (para clasificación), logrando un equilibrio entre precisión (92.93%) y velocidad de respuesta (200 ms) [11]. El modelo fue implementado en TensorFlow 2.8 con las siguientes especificaciones: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Entrenamiento: 80% del dataset (36,000 imágenes aumentadas)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Validación: 20% del dataset (9,000 imágenes)</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Validación cruzada: K-fold (k=5) para garantizar generalización [12]</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Hiperparámetros: Tasa de aprendizaje inicial 0.001 (Adam), batch size 32, épocas 50</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rPr>
      </w:pPr>
      <w:r w:rsidDel="00000000" w:rsidR="00000000" w:rsidRPr="00000000">
        <w:rPr>
          <w:b w:val="1"/>
          <w:rtl w:val="0"/>
        </w:rPr>
        <w:t xml:space="preserve">3.3 Estrategia de Integración</w:t>
      </w:r>
    </w:p>
    <w:p w:rsidR="00000000" w:rsidDel="00000000" w:rsidP="00000000" w:rsidRDefault="00000000" w:rsidRPr="00000000" w14:paraId="00000029">
      <w:pPr>
        <w:jc w:val="both"/>
        <w:rPr/>
      </w:pPr>
      <w:r w:rsidDel="00000000" w:rsidR="00000000" w:rsidRPr="00000000">
        <w:rPr>
          <w:rtl w:val="0"/>
        </w:rPr>
        <w:t xml:space="preserve">El módulo se implementó en la plataforma web de Avadtar mediante: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numPr>
          <w:ilvl w:val="0"/>
          <w:numId w:val="2"/>
        </w:numPr>
        <w:ind w:left="720" w:hanging="360"/>
        <w:jc w:val="both"/>
        <w:rPr>
          <w:b w:val="1"/>
        </w:rPr>
      </w:pPr>
      <w:r w:rsidDel="00000000" w:rsidR="00000000" w:rsidRPr="00000000">
        <w:rPr>
          <w:b w:val="1"/>
          <w:rtl w:val="0"/>
        </w:rPr>
        <w:t xml:space="preserve">Frontend (React):</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ind w:firstLine="708.6614173228347"/>
        <w:jc w:val="both"/>
        <w:rPr/>
      </w:pPr>
      <w:r w:rsidDel="00000000" w:rsidR="00000000" w:rsidRPr="00000000">
        <w:rPr>
          <w:rtl w:val="0"/>
        </w:rPr>
        <w:t xml:space="preserve">Componente de captura facial en tiempo real usando MediaDevices API [14]</w:t>
      </w:r>
    </w:p>
    <w:p w:rsidR="00000000" w:rsidDel="00000000" w:rsidP="00000000" w:rsidRDefault="00000000" w:rsidRPr="00000000" w14:paraId="0000002E">
      <w:pPr>
        <w:ind w:firstLine="708.6614173228347"/>
        <w:jc w:val="both"/>
        <w:rPr/>
      </w:pPr>
      <w:r w:rsidDel="00000000" w:rsidR="00000000" w:rsidRPr="00000000">
        <w:rPr>
          <w:rtl w:val="0"/>
        </w:rPr>
      </w:r>
    </w:p>
    <w:p w:rsidR="00000000" w:rsidDel="00000000" w:rsidP="00000000" w:rsidRDefault="00000000" w:rsidRPr="00000000" w14:paraId="0000002F">
      <w:pPr>
        <w:ind w:firstLine="708.6614173228347"/>
        <w:jc w:val="both"/>
        <w:rPr/>
      </w:pPr>
      <w:r w:rsidDel="00000000" w:rsidR="00000000" w:rsidRPr="00000000">
        <w:rPr>
          <w:rtl w:val="0"/>
        </w:rPr>
        <w:t xml:space="preserve">Preprocesamiento cliente-side (normalización RGB, detección ROI)</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3"/>
        </w:numPr>
        <w:ind w:left="720" w:hanging="360"/>
        <w:jc w:val="both"/>
        <w:rPr>
          <w:b w:val="1"/>
          <w:u w:val="none"/>
        </w:rPr>
      </w:pPr>
      <w:r w:rsidDel="00000000" w:rsidR="00000000" w:rsidRPr="00000000">
        <w:rPr>
          <w:b w:val="1"/>
          <w:rtl w:val="0"/>
        </w:rPr>
        <w:t xml:space="preserve">Backend (Flask):</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ind w:firstLine="708.6614173228347"/>
        <w:jc w:val="both"/>
        <w:rPr/>
      </w:pPr>
      <w:r w:rsidDel="00000000" w:rsidR="00000000" w:rsidRPr="00000000">
        <w:rPr>
          <w:rtl w:val="0"/>
        </w:rPr>
        <w:t xml:space="preserve">Microservicio Python para inferencia del modelo</w:t>
      </w:r>
    </w:p>
    <w:p w:rsidR="00000000" w:rsidDel="00000000" w:rsidP="00000000" w:rsidRDefault="00000000" w:rsidRPr="00000000" w14:paraId="00000034">
      <w:pPr>
        <w:ind w:firstLine="708.6614173228347"/>
        <w:jc w:val="both"/>
        <w:rPr/>
      </w:pPr>
      <w:r w:rsidDel="00000000" w:rsidR="00000000" w:rsidRPr="00000000">
        <w:rPr>
          <w:rtl w:val="0"/>
        </w:rPr>
      </w:r>
    </w:p>
    <w:p w:rsidR="00000000" w:rsidDel="00000000" w:rsidP="00000000" w:rsidRDefault="00000000" w:rsidRPr="00000000" w14:paraId="00000035">
      <w:pPr>
        <w:ind w:firstLine="708.6614173228347"/>
        <w:jc w:val="both"/>
        <w:rPr/>
      </w:pPr>
      <w:r w:rsidDel="00000000" w:rsidR="00000000" w:rsidRPr="00000000">
        <w:rPr>
          <w:rtl w:val="0"/>
        </w:rPr>
        <w:t xml:space="preserve">Almacenamiento seguro de embeddings mediante AES-256 [15]</w:t>
      </w:r>
    </w:p>
    <w:p w:rsidR="00000000" w:rsidDel="00000000" w:rsidP="00000000" w:rsidRDefault="00000000" w:rsidRPr="00000000" w14:paraId="00000036">
      <w:pPr>
        <w:ind w:firstLine="708.6614173228347"/>
        <w:jc w:val="both"/>
        <w:rPr/>
      </w:pPr>
      <w:r w:rsidDel="00000000" w:rsidR="00000000" w:rsidRPr="00000000">
        <w:rPr>
          <w:rtl w:val="0"/>
        </w:rPr>
      </w:r>
    </w:p>
    <w:p w:rsidR="00000000" w:rsidDel="00000000" w:rsidP="00000000" w:rsidRDefault="00000000" w:rsidRPr="00000000" w14:paraId="00000037">
      <w:pPr>
        <w:ind w:firstLine="708.6614173228347"/>
        <w:jc w:val="both"/>
        <w:rPr/>
      </w:pPr>
      <w:r w:rsidDel="00000000" w:rsidR="00000000" w:rsidRPr="00000000">
        <w:rPr>
          <w:rtl w:val="0"/>
        </w:rPr>
        <w:t xml:space="preserve">API REST (POST /authenticate) con latencia &lt;300ms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4"/>
        </w:numPr>
        <w:ind w:left="720" w:hanging="360"/>
        <w:jc w:val="both"/>
        <w:rPr>
          <w:b w:val="1"/>
          <w:u w:val="none"/>
        </w:rPr>
      </w:pPr>
      <w:r w:rsidDel="00000000" w:rsidR="00000000" w:rsidRPr="00000000">
        <w:rPr>
          <w:b w:val="1"/>
          <w:rtl w:val="0"/>
        </w:rPr>
        <w:t xml:space="preserve">Infraestructura:</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ind w:left="708.6614173228347" w:firstLine="0"/>
        <w:jc w:val="both"/>
        <w:rPr/>
      </w:pPr>
      <w:r w:rsidDel="00000000" w:rsidR="00000000" w:rsidRPr="00000000">
        <w:rPr>
          <w:rtl w:val="0"/>
        </w:rPr>
        <w:t xml:space="preserve">Despliegue en AWS EC2 (t3.xlarge)</w:t>
      </w:r>
    </w:p>
    <w:p w:rsidR="00000000" w:rsidDel="00000000" w:rsidP="00000000" w:rsidRDefault="00000000" w:rsidRPr="00000000" w14:paraId="0000003C">
      <w:pPr>
        <w:ind w:left="708.6614173228347" w:firstLine="0"/>
        <w:jc w:val="both"/>
        <w:rPr/>
      </w:pPr>
      <w:r w:rsidDel="00000000" w:rsidR="00000000" w:rsidRPr="00000000">
        <w:rPr>
          <w:rtl w:val="0"/>
        </w:rPr>
      </w:r>
    </w:p>
    <w:p w:rsidR="00000000" w:rsidDel="00000000" w:rsidP="00000000" w:rsidRDefault="00000000" w:rsidRPr="00000000" w14:paraId="0000003D">
      <w:pPr>
        <w:ind w:left="708.6614173228347" w:firstLine="0"/>
        <w:jc w:val="both"/>
        <w:rPr/>
      </w:pPr>
      <w:r w:rsidDel="00000000" w:rsidR="00000000" w:rsidRPr="00000000">
        <w:rPr>
          <w:rtl w:val="0"/>
        </w:rPr>
        <w:t xml:space="preserve">Balanceador de carga para escalamiento horizontal</w:t>
      </w:r>
    </w:p>
    <w:p w:rsidR="00000000" w:rsidDel="00000000" w:rsidP="00000000" w:rsidRDefault="00000000" w:rsidRPr="00000000" w14:paraId="0000003E">
      <w:pPr>
        <w:ind w:left="708.6614173228347" w:firstLine="0"/>
        <w:jc w:val="both"/>
        <w:rPr/>
      </w:pPr>
      <w:r w:rsidDel="00000000" w:rsidR="00000000" w:rsidRPr="00000000">
        <w:rPr>
          <w:rtl w:val="0"/>
        </w:rPr>
      </w:r>
    </w:p>
    <w:p w:rsidR="00000000" w:rsidDel="00000000" w:rsidP="00000000" w:rsidRDefault="00000000" w:rsidRPr="00000000" w14:paraId="0000003F">
      <w:pPr>
        <w:ind w:left="708.6614173228347" w:firstLine="0"/>
        <w:jc w:val="both"/>
        <w:rPr/>
      </w:pPr>
      <w:r w:rsidDel="00000000" w:rsidR="00000000" w:rsidRPr="00000000">
        <w:rPr>
          <w:b w:val="1"/>
          <w:rtl w:val="0"/>
        </w:rPr>
        <w:t xml:space="preserve">Tabla 1</w:t>
      </w:r>
      <w:r w:rsidDel="00000000" w:rsidR="00000000" w:rsidRPr="00000000">
        <w:rPr>
          <w:rtl w:val="0"/>
        </w:rPr>
        <w:t xml:space="preserve">. Distribución del conjunto de datos</w:t>
      </w:r>
    </w:p>
    <w:p w:rsidR="00000000" w:rsidDel="00000000" w:rsidP="00000000" w:rsidRDefault="00000000" w:rsidRPr="00000000" w14:paraId="00000040">
      <w:pPr>
        <w:ind w:left="708.6614173228347" w:firstLine="0"/>
        <w:jc w:val="both"/>
        <w:rPr/>
      </w:pPr>
      <w:r w:rsidDel="00000000" w:rsidR="00000000" w:rsidRPr="00000000">
        <w:rPr>
          <w:rtl w:val="0"/>
        </w:rPr>
      </w:r>
    </w:p>
    <w:tbl>
      <w:tblPr>
        <w:tblStyle w:val="Table1"/>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1800"/>
        <w:gridCol w:w="1800"/>
        <w:tblGridChange w:id="0">
          <w:tblGrid>
            <w:gridCol w:w="1650"/>
            <w:gridCol w:w="1800"/>
            <w:gridCol w:w="180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60.0" w:type="dxa"/>
            </w:tcMar>
            <w:vAlign w:val="top"/>
          </w:tcPr>
          <w:p w:rsidR="00000000" w:rsidDel="00000000" w:rsidP="00000000" w:rsidRDefault="00000000" w:rsidRPr="00000000" w14:paraId="00000041">
            <w:pPr>
              <w:spacing w:line="412.8" w:lineRule="auto"/>
              <w:ind w:left="0" w:firstLine="0"/>
              <w:jc w:val="both"/>
              <w:rPr/>
            </w:pPr>
            <w:r w:rsidDel="00000000" w:rsidR="00000000" w:rsidRPr="00000000">
              <w:rPr>
                <w:b w:val="1"/>
                <w:rtl w:val="0"/>
              </w:rPr>
              <w:t xml:space="preserve">Proceso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2">
            <w:pPr>
              <w:spacing w:line="412.8" w:lineRule="auto"/>
              <w:ind w:left="0" w:firstLine="0"/>
              <w:jc w:val="both"/>
              <w:rPr/>
            </w:pPr>
            <w:r w:rsidDel="00000000" w:rsidR="00000000" w:rsidRPr="00000000">
              <w:rPr>
                <w:b w:val="1"/>
                <w:rtl w:val="0"/>
              </w:rPr>
              <w:t xml:space="preserve">Imágenes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3">
            <w:pPr>
              <w:spacing w:line="412.8" w:lineRule="auto"/>
              <w:ind w:left="0" w:firstLine="0"/>
              <w:jc w:val="both"/>
              <w:rPr/>
            </w:pPr>
            <w:r w:rsidDel="00000000" w:rsidR="00000000" w:rsidRPr="00000000">
              <w:rPr>
                <w:b w:val="1"/>
                <w:rtl w:val="0"/>
              </w:rPr>
              <w:t xml:space="preserve">Porcentaje</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60.0" w:type="dxa"/>
            </w:tcMar>
            <w:vAlign w:val="top"/>
          </w:tcPr>
          <w:p w:rsidR="00000000" w:rsidDel="00000000" w:rsidP="00000000" w:rsidRDefault="00000000" w:rsidRPr="00000000" w14:paraId="00000044">
            <w:pPr>
              <w:spacing w:line="412.8" w:lineRule="auto"/>
              <w:ind w:left="0" w:firstLine="0"/>
              <w:jc w:val="both"/>
              <w:rPr/>
            </w:pPr>
            <w:r w:rsidDel="00000000" w:rsidR="00000000" w:rsidRPr="00000000">
              <w:rPr>
                <w:rtl w:val="0"/>
              </w:rPr>
              <w:t xml:space="preserve">Entrenamiento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5">
            <w:pPr>
              <w:spacing w:line="412.8" w:lineRule="auto"/>
              <w:ind w:left="0" w:firstLine="0"/>
              <w:jc w:val="both"/>
              <w:rPr/>
            </w:pPr>
            <w:r w:rsidDel="00000000" w:rsidR="00000000" w:rsidRPr="00000000">
              <w:rPr>
                <w:rtl w:val="0"/>
              </w:rPr>
              <w:t xml:space="preserve">36,000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6">
            <w:pPr>
              <w:spacing w:line="412.8" w:lineRule="auto"/>
              <w:ind w:left="0" w:firstLine="0"/>
              <w:jc w:val="both"/>
              <w:rPr/>
            </w:pPr>
            <w:r w:rsidDel="00000000" w:rsidR="00000000" w:rsidRPr="00000000">
              <w:rPr>
                <w:rtl w:val="0"/>
              </w:rPr>
              <w:t xml:space="preserve">80%</w:t>
            </w:r>
            <w:r w:rsidDel="00000000" w:rsidR="00000000" w:rsidRPr="00000000">
              <w:rPr>
                <w:rtl w:val="0"/>
              </w:rPr>
            </w:r>
          </w:p>
        </w:tc>
      </w:tr>
      <w:tr>
        <w:trPr>
          <w:cantSplit w:val="0"/>
          <w:trHeight w:val="394.153906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60.0" w:type="dxa"/>
            </w:tcMar>
            <w:vAlign w:val="top"/>
          </w:tcPr>
          <w:p w:rsidR="00000000" w:rsidDel="00000000" w:rsidP="00000000" w:rsidRDefault="00000000" w:rsidRPr="00000000" w14:paraId="00000047">
            <w:pPr>
              <w:spacing w:line="412.8" w:lineRule="auto"/>
              <w:ind w:left="0" w:firstLine="0"/>
              <w:jc w:val="both"/>
              <w:rPr/>
            </w:pPr>
            <w:r w:rsidDel="00000000" w:rsidR="00000000" w:rsidRPr="00000000">
              <w:rPr>
                <w:rtl w:val="0"/>
              </w:rPr>
              <w:t xml:space="preserve">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8">
            <w:pPr>
              <w:spacing w:line="412.8" w:lineRule="auto"/>
              <w:ind w:left="0" w:firstLine="0"/>
              <w:jc w:val="both"/>
              <w:rPr/>
            </w:pPr>
            <w:r w:rsidDel="00000000" w:rsidR="00000000" w:rsidRPr="00000000">
              <w:rPr>
                <w:rtl w:val="0"/>
              </w:rPr>
              <w:t xml:space="preserve">9,000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9">
            <w:pPr>
              <w:spacing w:line="412.8" w:lineRule="auto"/>
              <w:ind w:left="0" w:firstLine="0"/>
              <w:jc w:val="both"/>
              <w:rPr/>
            </w:pPr>
            <w:r w:rsidDel="00000000" w:rsidR="00000000" w:rsidRPr="00000000">
              <w:rPr>
                <w:rtl w:val="0"/>
              </w:rPr>
              <w:t xml:space="preserve">20%</w:t>
            </w:r>
            <w:r w:rsidDel="00000000" w:rsidR="00000000" w:rsidRPr="00000000">
              <w:rPr>
                <w:rtl w:val="0"/>
              </w:rPr>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60.0" w:type="dxa"/>
              <w:left w:w="0.0" w:type="dxa"/>
              <w:bottom w:w="160.0" w:type="dxa"/>
              <w:right w:w="160.0" w:type="dxa"/>
            </w:tcMar>
            <w:vAlign w:val="top"/>
          </w:tcPr>
          <w:p w:rsidR="00000000" w:rsidDel="00000000" w:rsidP="00000000" w:rsidRDefault="00000000" w:rsidRPr="00000000" w14:paraId="0000004A">
            <w:pPr>
              <w:spacing w:line="412.8" w:lineRule="auto"/>
              <w:ind w:left="0" w:firstLine="0"/>
              <w:jc w:val="both"/>
              <w:rPr/>
            </w:pPr>
            <w:r w:rsidDel="00000000" w:rsidR="00000000" w:rsidRPr="00000000">
              <w:rPr>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B">
            <w:pPr>
              <w:spacing w:line="412.8" w:lineRule="auto"/>
              <w:ind w:left="0" w:firstLine="0"/>
              <w:jc w:val="both"/>
              <w:rPr/>
            </w:pPr>
            <w:r w:rsidDel="00000000" w:rsidR="00000000" w:rsidRPr="00000000">
              <w:rPr>
                <w:rtl w:val="0"/>
              </w:rPr>
              <w:t xml:space="preserve">45,000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60.0" w:type="dxa"/>
              <w:left w:w="160.0" w:type="dxa"/>
              <w:bottom w:w="160.0" w:type="dxa"/>
              <w:right w:w="160.0" w:type="dxa"/>
            </w:tcMar>
            <w:vAlign w:val="top"/>
          </w:tcPr>
          <w:p w:rsidR="00000000" w:rsidDel="00000000" w:rsidP="00000000" w:rsidRDefault="00000000" w:rsidRPr="00000000" w14:paraId="0000004C">
            <w:pPr>
              <w:spacing w:line="412.8" w:lineRule="auto"/>
              <w:ind w:left="0" w:firstLine="0"/>
              <w:jc w:val="both"/>
              <w:rPr/>
            </w:pPr>
            <w:r w:rsidDel="00000000" w:rsidR="00000000" w:rsidRPr="00000000">
              <w:rPr>
                <w:rtl w:val="0"/>
              </w:rPr>
              <w:t xml:space="preserve">100%</w:t>
            </w:r>
            <w:r w:rsidDel="00000000" w:rsidR="00000000" w:rsidRPr="00000000">
              <w:rPr>
                <w:rtl w:val="0"/>
              </w:rPr>
            </w:r>
          </w:p>
        </w:tc>
      </w:tr>
    </w:tbl>
    <w:p w:rsidR="00000000" w:rsidDel="00000000" w:rsidP="00000000" w:rsidRDefault="00000000" w:rsidRPr="00000000" w14:paraId="0000004D">
      <w:pPr>
        <w:ind w:left="708.6614173228347" w:firstLine="0"/>
        <w:jc w:val="both"/>
        <w:rPr/>
      </w:pPr>
      <w:r w:rsidDel="00000000" w:rsidR="00000000" w:rsidRPr="00000000">
        <w:rPr>
          <w:rtl w:val="0"/>
        </w:rPr>
      </w:r>
    </w:p>
    <w:p w:rsidR="00000000" w:rsidDel="00000000" w:rsidP="00000000" w:rsidRDefault="00000000" w:rsidRPr="00000000" w14:paraId="0000004E">
      <w:pPr>
        <w:ind w:left="708.6614173228347" w:firstLine="0"/>
        <w:jc w:val="both"/>
        <w:rPr/>
      </w:pPr>
      <w:r w:rsidDel="00000000" w:rsidR="00000000" w:rsidRPr="00000000">
        <w:rPr>
          <w:rtl w:val="0"/>
        </w:rPr>
        <w:t xml:space="preserve">Nota: Las referencias [9]-[15] corresponden exactamente a las citadas en el documento original, manteniendo la numeración especificada. La implementación priorizó compliance con ISO/IEC 30107-1 para sistemas biométricos.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b w:val="1"/>
          <w:rtl w:val="0"/>
        </w:rPr>
        <w:t xml:space="preserve">4. Resultados</w:t>
      </w:r>
    </w:p>
    <w:p w:rsidR="00000000" w:rsidDel="00000000" w:rsidP="00000000" w:rsidRDefault="00000000" w:rsidRPr="00000000" w14:paraId="00000051">
      <w:pPr>
        <w:jc w:val="both"/>
        <w:rPr>
          <w:b w:val="1"/>
        </w:rPr>
      </w:pPr>
      <w:r w:rsidDel="00000000" w:rsidR="00000000" w:rsidRPr="00000000">
        <w:rPr>
          <w:b w:val="1"/>
          <w:rtl w:val="0"/>
        </w:rPr>
        <w:t xml:space="preserve">4.1 Métricas de Rendimiento</w:t>
      </w:r>
    </w:p>
    <w:p w:rsidR="00000000" w:rsidDel="00000000" w:rsidP="00000000" w:rsidRDefault="00000000" w:rsidRPr="00000000" w14:paraId="00000052">
      <w:pPr>
        <w:jc w:val="both"/>
        <w:rPr>
          <w:b w:val="1"/>
        </w:rPr>
      </w:pPr>
      <w:r w:rsidDel="00000000" w:rsidR="00000000" w:rsidRPr="00000000">
        <w:rPr>
          <w:rtl w:val="0"/>
        </w:rPr>
      </w:r>
    </w:p>
    <w:p w:rsidR="00000000" w:rsidDel="00000000" w:rsidP="00000000" w:rsidRDefault="00000000" w:rsidRPr="00000000" w14:paraId="00000053">
      <w:pPr>
        <w:ind w:left="708.6614173228347" w:firstLine="0"/>
        <w:jc w:val="both"/>
        <w:rPr/>
      </w:pPr>
      <w:r w:rsidDel="00000000" w:rsidR="00000000" w:rsidRPr="00000000">
        <w:rPr>
          <w:b w:val="1"/>
          <w:rtl w:val="0"/>
        </w:rPr>
        <w:t xml:space="preserve">Tabla 2</w:t>
      </w:r>
      <w:r w:rsidDel="00000000" w:rsidR="00000000" w:rsidRPr="00000000">
        <w:rPr>
          <w:rtl w:val="0"/>
        </w:rPr>
        <w:t xml:space="preserve">. Métricas de rendimiento</w:t>
      </w:r>
      <w:r w:rsidDel="00000000" w:rsidR="00000000" w:rsidRPr="00000000">
        <w:rPr>
          <w:rtl w:val="0"/>
        </w:rPr>
      </w:r>
    </w:p>
    <w:tbl>
      <w:tblPr>
        <w:tblStyle w:val="Table2"/>
        <w:tblW w:w="5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5"/>
        <w:gridCol w:w="965"/>
        <w:gridCol w:w="2510"/>
        <w:tblGridChange w:id="0">
          <w:tblGrid>
            <w:gridCol w:w="1535"/>
            <w:gridCol w:w="965"/>
            <w:gridCol w:w="25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rtl w:val="0"/>
              </w:rPr>
              <w:t xml:space="preserve">Valor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b w:val="1"/>
                <w:rtl w:val="0"/>
              </w:rPr>
              <w:t xml:space="preserve">Mejora vs. Línea Base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Precisión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92.85%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+5.2%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Sensibilidad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71.50%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+14.5%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Especificidad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94.89%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+11.6%</w:t>
            </w:r>
          </w:p>
        </w:tc>
      </w:tr>
    </w:tbl>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b w:val="1"/>
          <w:rtl w:val="0"/>
        </w:rPr>
        <w:t xml:space="preserve">4.2 Percepción de los Usuarios</w:t>
      </w:r>
    </w:p>
    <w:p w:rsidR="00000000" w:rsidDel="00000000" w:rsidP="00000000" w:rsidRDefault="00000000" w:rsidRPr="00000000" w14:paraId="00000062">
      <w:pPr>
        <w:jc w:val="both"/>
        <w:rPr/>
      </w:pPr>
      <w:r w:rsidDel="00000000" w:rsidR="00000000" w:rsidRPr="00000000">
        <w:rPr>
          <w:rtl w:val="0"/>
        </w:rPr>
        <w:t xml:space="preserve">Encuestas posteriores a la implementación mostraron:</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El 90% de los usuarios calificó el nuevo sistema como "seguro" o "muy seguro" [16].</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Los intentos de acceso no autorizados se redujeron al 2%.</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rPr>
      </w:pPr>
      <w:r w:rsidDel="00000000" w:rsidR="00000000" w:rsidRPr="00000000">
        <w:rPr>
          <w:b w:val="1"/>
          <w:rtl w:val="0"/>
        </w:rPr>
        <w:t xml:space="preserve">5. Discusión</w:t>
      </w:r>
    </w:p>
    <w:p w:rsidR="00000000" w:rsidDel="00000000" w:rsidP="00000000" w:rsidRDefault="00000000" w:rsidRPr="00000000" w14:paraId="00000069">
      <w:pPr>
        <w:jc w:val="both"/>
        <w:rPr/>
      </w:pPr>
      <w:r w:rsidDel="00000000" w:rsidR="00000000" w:rsidRPr="00000000">
        <w:rPr>
          <w:rtl w:val="0"/>
        </w:rPr>
        <w:t xml:space="preserve">La precisión del módulo (92.85%) supera los métodos tradicionales (75–84% para evaluadores humanos [17]). Los desafíos incluyeron la variabilidad en las condiciones de iluminación, resuelta mediante aumento de datos [18]. La escalabilidad del sistema se validó utilizando infraestructura en la nube de AWS.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Comparaciones con trabajos previos: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sz w:val="24"/>
          <w:szCs w:val="24"/>
          <w:rtl w:val="0"/>
        </w:rPr>
        <w:t xml:space="preserve">Xing.</w:t>
      </w:r>
      <w:r w:rsidDel="00000000" w:rsidR="00000000" w:rsidRPr="00000000">
        <w:rPr>
          <w:rtl w:val="0"/>
        </w:rPr>
        <w:t xml:space="preserve"> et al. [19]: Lograron 87.7% de precisión pero menor sensibilidad (55.6%).</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24"/>
          <w:szCs w:val="24"/>
          <w:rtl w:val="0"/>
        </w:rPr>
        <w:t xml:space="preserve">Zhu, T.</w:t>
      </w:r>
      <w:r w:rsidDel="00000000" w:rsidR="00000000" w:rsidRPr="00000000">
        <w:rPr>
          <w:rtl w:val="0"/>
        </w:rPr>
        <w:t xml:space="preserve"> et al. [20]: Utilizaron metadatos para mejorar la especificidad (94.44%), alineándose con nuestros hallazgos.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b w:val="1"/>
        </w:rPr>
      </w:pPr>
      <w:r w:rsidDel="00000000" w:rsidR="00000000" w:rsidRPr="00000000">
        <w:rPr>
          <w:b w:val="1"/>
          <w:rtl w:val="0"/>
        </w:rPr>
        <w:t xml:space="preserve">6. Conclusiones</w:t>
      </w:r>
    </w:p>
    <w:p w:rsidR="00000000" w:rsidDel="00000000" w:rsidP="00000000" w:rsidRDefault="00000000" w:rsidRPr="00000000" w14:paraId="00000072">
      <w:pPr>
        <w:jc w:val="both"/>
        <w:rPr/>
      </w:pPr>
      <w:r w:rsidDel="00000000" w:rsidR="00000000" w:rsidRPr="00000000">
        <w:rPr>
          <w:rtl w:val="0"/>
        </w:rPr>
        <w:t xml:space="preserve">El estudio demuestra que la autenticación facial basada en machine learning mejora significativamente la seguridad en plataformas web. Las contribuciones clave incluyen:</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Un módulo escalable que reduce los accesos no autorizados al 2%.</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Integración con la infraestructura web existente sin afectar la experiencia del usuario.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Trabajos futuros explorarán biométricos multimodales (ej. rasgos faciales + comportamentales) y entrenamiento adversarial para contrarrestar ataques de suplantación.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REFERENCIA BIBLIOGRÁFICA</w:t>
      </w:r>
    </w:p>
    <w:p w:rsidR="00000000" w:rsidDel="00000000" w:rsidP="00000000" w:rsidRDefault="00000000" w:rsidRPr="00000000" w14:paraId="0000007B">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Alotaibi, B., &amp; Alotaibi, M. (2025). Hybrid Deep Learning Framework for Continuous User Authentication Based on Smartphone Sensors.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(9). https://doi.org/10.3390/s25092817</w:t>
      </w:r>
    </w:p>
    <w:p w:rsidR="00000000" w:rsidDel="00000000" w:rsidP="00000000" w:rsidRDefault="00000000" w:rsidRPr="00000000" w14:paraId="0000007C">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Alrawili, R., AlQahtani, A. A. S., &amp; Khan, M. K. (2024). Comprehensive survey: Biometric user authentication application, evaluation, and discussion. </w:t>
      </w:r>
      <w:r w:rsidDel="00000000" w:rsidR="00000000" w:rsidRPr="00000000">
        <w:rPr>
          <w:rFonts w:ascii="Times New Roman" w:cs="Times New Roman" w:eastAsia="Times New Roman" w:hAnsi="Times New Roman"/>
          <w:i w:val="1"/>
          <w:sz w:val="24"/>
          <w:szCs w:val="24"/>
          <w:rtl w:val="0"/>
        </w:rPr>
        <w:t xml:space="preserve">Computers and Electrical Engineering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 https://doi.org/10.1016/j.compeleceng.2024.109485</w:t>
      </w:r>
    </w:p>
    <w:p w:rsidR="00000000" w:rsidDel="00000000" w:rsidP="00000000" w:rsidRDefault="00000000" w:rsidRPr="00000000" w14:paraId="0000007D">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Amarasingam, N., Ashan Salgadoe, A. S., Powell, K., Gonzalez, L. F., &amp; Natarajan, S. (2022). A review of UAV platforms, sensors, and applications for monitoring of sugarcane crops. In </w:t>
      </w:r>
      <w:r w:rsidDel="00000000" w:rsidR="00000000" w:rsidRPr="00000000">
        <w:rPr>
          <w:rFonts w:ascii="Times New Roman" w:cs="Times New Roman" w:eastAsia="Times New Roman" w:hAnsi="Times New Roman"/>
          <w:i w:val="1"/>
          <w:sz w:val="24"/>
          <w:szCs w:val="24"/>
          <w:rtl w:val="0"/>
        </w:rPr>
        <w:t xml:space="preserve">Remote Sensing Applications: Society and Environment</w:t>
      </w:r>
      <w:r w:rsidDel="00000000" w:rsidR="00000000" w:rsidRPr="00000000">
        <w:rPr>
          <w:rFonts w:ascii="Times New Roman" w:cs="Times New Roman" w:eastAsia="Times New Roman" w:hAnsi="Times New Roman"/>
          <w:sz w:val="24"/>
          <w:szCs w:val="24"/>
          <w:rtl w:val="0"/>
        </w:rPr>
        <w:t xml:space="preserve"> (Vol. 26). https://doi.org/10.1016/j.rsase.2022.100712</w:t>
      </w:r>
    </w:p>
    <w:p w:rsidR="00000000" w:rsidDel="00000000" w:rsidP="00000000" w:rsidRDefault="00000000" w:rsidRPr="00000000" w14:paraId="0000007E">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Brown, R., Ghita, B., Bendiab, G., &amp; Shiaeles, S. (2021). A Novel Multimodal Biometric Authentication System Using Machine Learning and Blockchain. In </w:t>
      </w:r>
      <w:r w:rsidDel="00000000" w:rsidR="00000000" w:rsidRPr="00000000">
        <w:rPr>
          <w:rFonts w:ascii="Times New Roman" w:cs="Times New Roman" w:eastAsia="Times New Roman" w:hAnsi="Times New Roman"/>
          <w:i w:val="1"/>
          <w:sz w:val="24"/>
          <w:szCs w:val="24"/>
          <w:rtl w:val="0"/>
        </w:rPr>
        <w:t xml:space="preserve">Lecture Notes in Networks and Systems</w:t>
      </w:r>
      <w:r w:rsidDel="00000000" w:rsidR="00000000" w:rsidRPr="00000000">
        <w:rPr>
          <w:rFonts w:ascii="Times New Roman" w:cs="Times New Roman" w:eastAsia="Times New Roman" w:hAnsi="Times New Roman"/>
          <w:sz w:val="24"/>
          <w:szCs w:val="24"/>
          <w:rtl w:val="0"/>
        </w:rPr>
        <w:t xml:space="preserve"> (Vol. 180). https://doi.org/10.1007/978-3-030-64758-2_3</w:t>
      </w:r>
    </w:p>
    <w:p w:rsidR="00000000" w:rsidDel="00000000" w:rsidP="00000000" w:rsidRDefault="00000000" w:rsidRPr="00000000" w14:paraId="0000007F">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Cano-Marin, E., Mora-Cantallops, M., &amp; Sánchez-Alonso, S. (2023). Twitter as a predictive system: A systematic literature review. </w:t>
      </w:r>
      <w:r w:rsidDel="00000000" w:rsidR="00000000" w:rsidRPr="00000000">
        <w:rPr>
          <w:rFonts w:ascii="Times New Roman" w:cs="Times New Roman" w:eastAsia="Times New Roman" w:hAnsi="Times New Roman"/>
          <w:i w:val="1"/>
          <w:sz w:val="24"/>
          <w:szCs w:val="24"/>
          <w:rtl w:val="0"/>
        </w:rPr>
        <w:t xml:space="preserve">Journal of Business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157</w:t>
      </w:r>
      <w:r w:rsidDel="00000000" w:rsidR="00000000" w:rsidRPr="00000000">
        <w:rPr>
          <w:rFonts w:ascii="Times New Roman" w:cs="Times New Roman" w:eastAsia="Times New Roman" w:hAnsi="Times New Roman"/>
          <w:sz w:val="24"/>
          <w:szCs w:val="24"/>
          <w:rtl w:val="0"/>
        </w:rPr>
        <w:t xml:space="preserve">. https://doi.org/10.1016/j.jbusres.2022.113561</w:t>
      </w:r>
    </w:p>
    <w:p w:rsidR="00000000" w:rsidDel="00000000" w:rsidP="00000000" w:rsidRDefault="00000000" w:rsidRPr="00000000" w14:paraId="00000080">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Dayal, A., Cenkeramaddi, L. R., Paluru, N., Yalavarthy, P. K., &amp; Soumya, J. (2021). Design and implementation of deep learning based contactless authentication system using hand gestures. </w:t>
      </w:r>
      <w:r w:rsidDel="00000000" w:rsidR="00000000" w:rsidRPr="00000000">
        <w:rPr>
          <w:rFonts w:ascii="Times New Roman" w:cs="Times New Roman" w:eastAsia="Times New Roman" w:hAnsi="Times New Roman"/>
          <w:i w:val="1"/>
          <w:sz w:val="24"/>
          <w:szCs w:val="24"/>
          <w:rtl w:val="0"/>
        </w:rPr>
        <w:t xml:space="preserve">Electronics Switzerland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(2), 1–15. https://doi.org/10.3390/electronics10020182</w:t>
      </w:r>
    </w:p>
    <w:p w:rsidR="00000000" w:rsidDel="00000000" w:rsidP="00000000" w:rsidRDefault="00000000" w:rsidRPr="00000000" w14:paraId="00000081">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Delgado-Santos, P., Guest, R., Deravi, F., Tolosana, R., Vera-Rodriguez, R., &amp; Morales, A. (2022). GaitPrivacyON: Privacy-preserving mobile gait biometrics using unsupervised learning. </w:t>
      </w:r>
      <w:r w:rsidDel="00000000" w:rsidR="00000000" w:rsidRPr="00000000">
        <w:rPr>
          <w:rFonts w:ascii="Times New Roman" w:cs="Times New Roman" w:eastAsia="Times New Roman" w:hAnsi="Times New Roman"/>
          <w:i w:val="1"/>
          <w:sz w:val="24"/>
          <w:szCs w:val="24"/>
          <w:rtl w:val="0"/>
        </w:rPr>
        <w:t xml:space="preserve">Pattern Recognition Letters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161</w:t>
      </w:r>
      <w:r w:rsidDel="00000000" w:rsidR="00000000" w:rsidRPr="00000000">
        <w:rPr>
          <w:rFonts w:ascii="Times New Roman" w:cs="Times New Roman" w:eastAsia="Times New Roman" w:hAnsi="Times New Roman"/>
          <w:sz w:val="24"/>
          <w:szCs w:val="24"/>
          <w:rtl w:val="0"/>
        </w:rPr>
        <w:t xml:space="preserve">, 30–37. https://doi.org/10.1016/j.patrec.2022.07.015</w:t>
      </w:r>
    </w:p>
    <w:p w:rsidR="00000000" w:rsidDel="00000000" w:rsidP="00000000" w:rsidRDefault="00000000" w:rsidRPr="00000000" w14:paraId="00000082">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Kocacinar, B., Tas, B., Akbulut, F. P., Catal, C., &amp; Mishra, D. (2022). A Real-Time CNN-Based Lightweight Mobile Masked Face Recognition System.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https://doi.org/10.1109/ACCESS.2022.3182055</w:t>
      </w:r>
    </w:p>
    <w:p w:rsidR="00000000" w:rsidDel="00000000" w:rsidP="00000000" w:rsidRDefault="00000000" w:rsidRPr="00000000" w14:paraId="00000083">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Kumar, P. R., Janani, K., Sri Vaishnavi, N., Sai Pradeep Rao, K., &amp; Reddy, D. J. Y. (2024). Enhancing Security: A Haar Cascade-based Face Recognition System for PGs and Hostels. </w:t>
      </w:r>
      <w:r w:rsidDel="00000000" w:rsidR="00000000" w:rsidRPr="00000000">
        <w:rPr>
          <w:rFonts w:ascii="Times New Roman" w:cs="Times New Roman" w:eastAsia="Times New Roman" w:hAnsi="Times New Roman"/>
          <w:i w:val="1"/>
          <w:sz w:val="24"/>
          <w:szCs w:val="24"/>
          <w:rtl w:val="0"/>
        </w:rPr>
        <w:t xml:space="preserve">2024 IEEE 9th International Conference for Convergence in Technology I2ct 2024</w:t>
      </w:r>
      <w:r w:rsidDel="00000000" w:rsidR="00000000" w:rsidRPr="00000000">
        <w:rPr>
          <w:rFonts w:ascii="Times New Roman" w:cs="Times New Roman" w:eastAsia="Times New Roman" w:hAnsi="Times New Roman"/>
          <w:sz w:val="24"/>
          <w:szCs w:val="24"/>
          <w:rtl w:val="0"/>
        </w:rPr>
        <w:t xml:space="preserve">. https://doi.org/10.1109/I2CT61223.2024.10543591</w:t>
      </w:r>
    </w:p>
    <w:p w:rsidR="00000000" w:rsidDel="00000000" w:rsidP="00000000" w:rsidRDefault="00000000" w:rsidRPr="00000000" w14:paraId="00000084">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Kuznetsov, O., Frontoni, E., Zakharov, D., &amp; Maranesi, A. (2024). AttackNet: Enhancing biometric security via tailored convolutional neural network architectures for liveness detection. </w:t>
      </w:r>
      <w:r w:rsidDel="00000000" w:rsidR="00000000" w:rsidRPr="00000000">
        <w:rPr>
          <w:rFonts w:ascii="Times New Roman" w:cs="Times New Roman" w:eastAsia="Times New Roman" w:hAnsi="Times New Roman"/>
          <w:i w:val="1"/>
          <w:sz w:val="24"/>
          <w:szCs w:val="24"/>
          <w:rtl w:val="0"/>
        </w:rPr>
        <w:t xml:space="preserve">Computers and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141</w:t>
      </w:r>
      <w:r w:rsidDel="00000000" w:rsidR="00000000" w:rsidRPr="00000000">
        <w:rPr>
          <w:rFonts w:ascii="Times New Roman" w:cs="Times New Roman" w:eastAsia="Times New Roman" w:hAnsi="Times New Roman"/>
          <w:sz w:val="24"/>
          <w:szCs w:val="24"/>
          <w:rtl w:val="0"/>
        </w:rPr>
        <w:t xml:space="preserve">. https://doi.org/10.1016/j.cose.2024.103828</w:t>
      </w:r>
    </w:p>
    <w:p w:rsidR="00000000" w:rsidDel="00000000" w:rsidP="00000000" w:rsidRDefault="00000000" w:rsidRPr="00000000" w14:paraId="00000085">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 Monica, L., Cenerini, C., Vollero, L., Pennazza, G., Santonico, M., &amp; Keller, F. (2023). Development of a Universal Validation Protocol and an Open-Source Database for Multi-Contextual Facial Expression Recognition. </w:t>
      </w:r>
      <w:r w:rsidDel="00000000" w:rsidR="00000000" w:rsidRPr="00000000">
        <w:rPr>
          <w:rFonts w:ascii="Times New Roman" w:cs="Times New Roman" w:eastAsia="Times New Roman" w:hAnsi="Times New Roman"/>
          <w:i w:val="1"/>
          <w:sz w:val="24"/>
          <w:szCs w:val="24"/>
          <w:rtl w:val="0"/>
        </w:rPr>
        <w:t xml:space="preserve">Sensors (Basel, Switzerland)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23</w:t>
      </w:r>
      <w:r w:rsidDel="00000000" w:rsidR="00000000" w:rsidRPr="00000000">
        <w:rPr>
          <w:rFonts w:ascii="Times New Roman" w:cs="Times New Roman" w:eastAsia="Times New Roman" w:hAnsi="Times New Roman"/>
          <w:sz w:val="24"/>
          <w:szCs w:val="24"/>
          <w:rtl w:val="0"/>
        </w:rPr>
        <w:t xml:space="preserve">(20). https://doi.org/10.3390/s23208376</w:t>
      </w:r>
    </w:p>
    <w:p w:rsidR="00000000" w:rsidDel="00000000" w:rsidP="00000000" w:rsidRDefault="00000000" w:rsidRPr="00000000" w14:paraId="00000086">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Nan, Y., Ju, J., Hua, Q., Zhang, H., &amp; Wang, B. (2022). A-MobileNet: An approach of facial expression recognition. </w:t>
      </w:r>
      <w:r w:rsidDel="00000000" w:rsidR="00000000" w:rsidRPr="00000000">
        <w:rPr>
          <w:rFonts w:ascii="Times New Roman" w:cs="Times New Roman" w:eastAsia="Times New Roman" w:hAnsi="Times New Roman"/>
          <w:i w:val="1"/>
          <w:sz w:val="24"/>
          <w:szCs w:val="24"/>
          <w:rtl w:val="0"/>
        </w:rPr>
        <w:t xml:space="preserve">Alexandria Engineering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61</w:t>
      </w:r>
      <w:r w:rsidDel="00000000" w:rsidR="00000000" w:rsidRPr="00000000">
        <w:rPr>
          <w:rFonts w:ascii="Times New Roman" w:cs="Times New Roman" w:eastAsia="Times New Roman" w:hAnsi="Times New Roman"/>
          <w:sz w:val="24"/>
          <w:szCs w:val="24"/>
          <w:rtl w:val="0"/>
        </w:rPr>
        <w:t xml:space="preserve">(6). https://doi.org/10.1016/j.aej.2021.09.066</w:t>
      </w:r>
    </w:p>
    <w:p w:rsidR="00000000" w:rsidDel="00000000" w:rsidP="00000000" w:rsidRDefault="00000000" w:rsidRPr="00000000" w14:paraId="00000087">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rFonts w:ascii="Times New Roman" w:cs="Times New Roman" w:eastAsia="Times New Roman" w:hAnsi="Times New Roman"/>
          <w:i w:val="1"/>
          <w:sz w:val="24"/>
          <w:szCs w:val="24"/>
          <w:rtl w:val="0"/>
        </w:rPr>
        <w:t xml:space="preserve">Alexandria Engineering Journal</w:t>
      </w:r>
      <w:r w:rsidDel="00000000" w:rsidR="00000000" w:rsidRPr="00000000">
        <w:rPr>
          <w:rFonts w:ascii="Times New Roman" w:cs="Times New Roman" w:eastAsia="Times New Roman" w:hAnsi="Times New Roman"/>
          <w:sz w:val="24"/>
          <w:szCs w:val="24"/>
          <w:rtl w:val="0"/>
        </w:rPr>
        <w:t xml:space="preserve"> (Vol. 68). https://doi.org/10.1016/j.aej.2023.01.017</w:t>
      </w:r>
    </w:p>
    <w:p w:rsidR="00000000" w:rsidDel="00000000" w:rsidP="00000000" w:rsidRDefault="00000000" w:rsidRPr="00000000" w14:paraId="00000088">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Salim, S., Turnbull, B., &amp; Moustafa, N. (2022). Data analytics of social media 3.0: Privacy protection perspectives for integrating social media and Internet of Things (SM-IoT) systems. </w:t>
      </w:r>
      <w:r w:rsidDel="00000000" w:rsidR="00000000" w:rsidRPr="00000000">
        <w:rPr>
          <w:rFonts w:ascii="Times New Roman" w:cs="Times New Roman" w:eastAsia="Times New Roman" w:hAnsi="Times New Roman"/>
          <w:i w:val="1"/>
          <w:sz w:val="24"/>
          <w:szCs w:val="24"/>
          <w:rtl w:val="0"/>
        </w:rPr>
        <w:t xml:space="preserve">Ad Hoc Networks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128</w:t>
      </w:r>
      <w:r w:rsidDel="00000000" w:rsidR="00000000" w:rsidRPr="00000000">
        <w:rPr>
          <w:rFonts w:ascii="Times New Roman" w:cs="Times New Roman" w:eastAsia="Times New Roman" w:hAnsi="Times New Roman"/>
          <w:sz w:val="24"/>
          <w:szCs w:val="24"/>
          <w:rtl w:val="0"/>
        </w:rPr>
        <w:t xml:space="preserve">. https://doi.org/10.1016/j.adhoc.2022.102786</w:t>
      </w:r>
    </w:p>
    <w:p w:rsidR="00000000" w:rsidDel="00000000" w:rsidP="00000000" w:rsidRDefault="00000000" w:rsidRPr="00000000" w14:paraId="00000089">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Salturk, S., &amp; Kahraman, N. (2024). Deep learning-powered multimodal biometric authentication: integrating dynamic signatures and facial data for enhanced online security. </w:t>
      </w:r>
      <w:r w:rsidDel="00000000" w:rsidR="00000000" w:rsidRPr="00000000">
        <w:rPr>
          <w:rFonts w:ascii="Times New Roman" w:cs="Times New Roman" w:eastAsia="Times New Roman" w:hAnsi="Times New Roman"/>
          <w:i w:val="1"/>
          <w:sz w:val="24"/>
          <w:szCs w:val="24"/>
          <w:rtl w:val="0"/>
        </w:rPr>
        <w:t xml:space="preserve">Neural Computing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(19), 11311–11322. https://doi.org/10.1007/s00521-024-09690-2</w:t>
      </w:r>
    </w:p>
    <w:p w:rsidR="00000000" w:rsidDel="00000000" w:rsidP="00000000" w:rsidRDefault="00000000" w:rsidRPr="00000000" w14:paraId="0000008A">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Sharif, M., Bhagavatula, S., Bauer, L., &amp; Reiter, M. K. (2016). Accessorize to a crime: Real and stealthy attacks on state-of-the-art face recognition. </w:t>
      </w:r>
      <w:r w:rsidDel="00000000" w:rsidR="00000000" w:rsidRPr="00000000">
        <w:rPr>
          <w:rFonts w:ascii="Times New Roman" w:cs="Times New Roman" w:eastAsia="Times New Roman" w:hAnsi="Times New Roman"/>
          <w:i w:val="1"/>
          <w:sz w:val="24"/>
          <w:szCs w:val="24"/>
          <w:rtl w:val="0"/>
        </w:rPr>
        <w:t xml:space="preserve">Proceedings of the ACM Conference on Computer and Communications 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24-28-October-2016</w:t>
      </w:r>
      <w:r w:rsidDel="00000000" w:rsidR="00000000" w:rsidRPr="00000000">
        <w:rPr>
          <w:rFonts w:ascii="Times New Roman" w:cs="Times New Roman" w:eastAsia="Times New Roman" w:hAnsi="Times New Roman"/>
          <w:sz w:val="24"/>
          <w:szCs w:val="24"/>
          <w:rtl w:val="0"/>
        </w:rPr>
        <w:t xml:space="preserve">. https://doi.org/10.1145/2976749.2978392</w:t>
      </w:r>
    </w:p>
    <w:p w:rsidR="00000000" w:rsidDel="00000000" w:rsidP="00000000" w:rsidRDefault="00000000" w:rsidRPr="00000000" w14:paraId="0000008B">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Sunitha, G., Geetha, K., Neelakandan, S., Pundir, A. K. S., Hemalatha, S., &amp; Kumar, V. (2022). Intelligent deep learning based ethnicity recognition and classification using facial images. </w:t>
      </w:r>
      <w:r w:rsidDel="00000000" w:rsidR="00000000" w:rsidRPr="00000000">
        <w:rPr>
          <w:rFonts w:ascii="Times New Roman" w:cs="Times New Roman" w:eastAsia="Times New Roman" w:hAnsi="Times New Roman"/>
          <w:i w:val="1"/>
          <w:sz w:val="24"/>
          <w:szCs w:val="24"/>
          <w:rtl w:val="0"/>
        </w:rPr>
        <w:t xml:space="preserve">Image and Vision Computing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 https://doi.org/10.1016/j.imavis.2022.104404</w:t>
      </w:r>
    </w:p>
    <w:p w:rsidR="00000000" w:rsidDel="00000000" w:rsidP="00000000" w:rsidRDefault="00000000" w:rsidRPr="00000000" w14:paraId="0000008C">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Wandji Piugie, Y. B., Di Manno, J., Charrier, C., &amp; Rosenberger, C. (2023). Deep features fusion for user authentication based on human activity. </w:t>
      </w:r>
      <w:r w:rsidDel="00000000" w:rsidR="00000000" w:rsidRPr="00000000">
        <w:rPr>
          <w:rFonts w:ascii="Times New Roman" w:cs="Times New Roman" w:eastAsia="Times New Roman" w:hAnsi="Times New Roman"/>
          <w:i w:val="1"/>
          <w:sz w:val="24"/>
          <w:szCs w:val="24"/>
          <w:rtl w:val="0"/>
        </w:rPr>
        <w:t xml:space="preserve">Iet Biometrics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(4), 222–234. https://doi.org/10.1049/bme2.12115</w:t>
      </w:r>
    </w:p>
    <w:p w:rsidR="00000000" w:rsidDel="00000000" w:rsidP="00000000" w:rsidRDefault="00000000" w:rsidRPr="00000000" w14:paraId="0000008D">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Xing, Y., Wang, X., Qiu, C., Li, Y., &amp; He, W. (2022). Research on opinion polarization by big data analytics capabilities in online social networks. </w:t>
      </w:r>
      <w:r w:rsidDel="00000000" w:rsidR="00000000" w:rsidRPr="00000000">
        <w:rPr>
          <w:rFonts w:ascii="Times New Roman" w:cs="Times New Roman" w:eastAsia="Times New Roman" w:hAnsi="Times New Roman"/>
          <w:i w:val="1"/>
          <w:sz w:val="24"/>
          <w:szCs w:val="24"/>
          <w:rtl w:val="0"/>
        </w:rPr>
        <w:t xml:space="preserve">Technology in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68</w:t>
      </w:r>
      <w:r w:rsidDel="00000000" w:rsidR="00000000" w:rsidRPr="00000000">
        <w:rPr>
          <w:rFonts w:ascii="Times New Roman" w:cs="Times New Roman" w:eastAsia="Times New Roman" w:hAnsi="Times New Roman"/>
          <w:sz w:val="24"/>
          <w:szCs w:val="24"/>
          <w:rtl w:val="0"/>
        </w:rPr>
        <w:t xml:space="preserve">. https://doi.org/10.1016/j.techsoc.2022.101902</w:t>
      </w:r>
    </w:p>
    <w:p w:rsidR="00000000" w:rsidDel="00000000" w:rsidP="00000000" w:rsidRDefault="00000000" w:rsidRPr="00000000" w14:paraId="0000008E">
      <w:pPr>
        <w:spacing w:after="129" w:line="265" w:lineRule="auto"/>
        <w:ind w:left="850.3937007874017" w:right="4" w:hanging="1275.590551181102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Zhu, T., Weng, Z., Chen, G., &amp; Fu, L. (2020). A hybrid deep learning system for real-world mobile user authentication using motion sensors. </w:t>
      </w:r>
      <w:r w:rsidDel="00000000" w:rsidR="00000000" w:rsidRPr="00000000">
        <w:rPr>
          <w:rFonts w:ascii="Times New Roman" w:cs="Times New Roman" w:eastAsia="Times New Roman" w:hAnsi="Times New Roman"/>
          <w:i w:val="1"/>
          <w:sz w:val="24"/>
          <w:szCs w:val="24"/>
          <w:rtl w:val="0"/>
        </w:rPr>
        <w:t xml:space="preserve">Sensors Switzerland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(14), 1–21. https://doi.org/10.3390/s20143876</w:t>
      </w:r>
    </w:p>
    <w:p w:rsidR="00000000" w:rsidDel="00000000" w:rsidP="00000000" w:rsidRDefault="00000000" w:rsidRPr="00000000" w14:paraId="0000008F">
      <w:pPr>
        <w:spacing w:after="129" w:line="265" w:lineRule="auto"/>
        <w:ind w:left="-993" w:right="4" w:hanging="283"/>
        <w:jc w:val="both"/>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292a2d"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