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064580"/>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xml:space="preserve">"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064582"/>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064583"/>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5" w:name="_Ref346046677"/>
      <w:bookmarkStart w:id="6" w:name="_Toc346064584"/>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7" w:name="_Toc345575918"/>
      <w:bookmarkStart w:id="8" w:name="_Toc346064585"/>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BC2F67">
        <w:rPr>
          <w:b/>
          <w:i/>
          <w:lang w:val="en-US"/>
        </w:rPr>
        <w:t xml:space="preserve">page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9"/>
      <w:bookmarkStart w:id="10" w:name="_Toc346064586"/>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1" w:name="_Toc345575920"/>
      <w:bookmarkStart w:id="12" w:name="_Toc346064587"/>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3" w:name="_Toc346064588"/>
      <w:r w:rsidRPr="00BC2F67">
        <w:rPr>
          <w:lang w:val="en-US"/>
        </w:rPr>
        <w:t>Application architecture</w:t>
      </w:r>
      <w:bookmarkEnd w:id="13"/>
    </w:p>
    <w:p w:rsidR="003A29B2" w:rsidRPr="00BC2F67" w:rsidRDefault="003A29B2" w:rsidP="008B7933">
      <w:pPr>
        <w:pStyle w:val="Titre2"/>
        <w:numPr>
          <w:ilvl w:val="0"/>
          <w:numId w:val="14"/>
        </w:numPr>
        <w:jc w:val="both"/>
        <w:rPr>
          <w:lang w:val="en-US"/>
        </w:rPr>
      </w:pPr>
      <w:bookmarkStart w:id="14" w:name="_Toc346064589"/>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5" w:name="_Toc346064590"/>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6" w:name="_Toc346064591"/>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7" w:name="_Toc346064592"/>
      <w:r w:rsidRPr="00BC2F67">
        <w:rPr>
          <w:lang w:val="en-US"/>
        </w:rPr>
        <w:t>Managing concurrent applications</w:t>
      </w:r>
      <w:bookmarkEnd w:id="17"/>
    </w:p>
    <w:p w:rsidR="008E2405" w:rsidRPr="00BC2F67" w:rsidRDefault="008E2405" w:rsidP="008B7933">
      <w:pPr>
        <w:pStyle w:val="Titre2"/>
        <w:numPr>
          <w:ilvl w:val="0"/>
          <w:numId w:val="23"/>
        </w:numPr>
        <w:jc w:val="both"/>
        <w:rPr>
          <w:lang w:val="en-US"/>
        </w:rPr>
      </w:pPr>
      <w:bookmarkStart w:id="18" w:name="_Toc346064593"/>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19" w:name="_Toc346064594"/>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proofErr w:type="spellStart"/>
      <w:r w:rsidRPr="00BC2F67">
        <w:rPr>
          <w:b/>
          <w:i/>
          <w:lang w:val="en-US"/>
        </w:rPr>
        <w:t>Résolution</w:t>
      </w:r>
      <w:proofErr w:type="spellEnd"/>
      <w:r w:rsidRPr="00BC2F67">
        <w:rPr>
          <w:b/>
          <w:i/>
          <w:lang w:val="en-US"/>
        </w:rPr>
        <w:t xml:space="preserve"> de </w:t>
      </w:r>
      <w:proofErr w:type="spellStart"/>
      <w:r w:rsidRPr="00BC2F67">
        <w:rPr>
          <w:b/>
          <w:i/>
          <w:lang w:val="en-US"/>
        </w:rPr>
        <w:t>dépendance</w:t>
      </w:r>
      <w:proofErr w:type="spellEnd"/>
      <w:r w:rsidRPr="00BC2F67">
        <w:rPr>
          <w:b/>
          <w:i/>
          <w:lang w:val="en-US"/>
        </w:rPr>
        <w:t xml:space="preserve"> </w:t>
      </w:r>
      <w:proofErr w:type="gramStart"/>
      <w:r w:rsidRPr="00BC2F67">
        <w:rPr>
          <w:b/>
          <w:i/>
          <w:lang w:val="en-US"/>
        </w:rPr>
        <w:t>et</w:t>
      </w:r>
      <w:proofErr w:type="gramEnd"/>
      <w:r w:rsidRPr="00BC2F67">
        <w:rPr>
          <w:b/>
          <w:i/>
          <w:lang w:val="en-US"/>
        </w:rPr>
        <w:t xml:space="preserve"> </w:t>
      </w:r>
      <w:proofErr w:type="spellStart"/>
      <w:r w:rsidRPr="00BC2F67">
        <w:rPr>
          <w:b/>
          <w:i/>
          <w:lang w:val="en-US"/>
        </w:rPr>
        <w:t>extensibilité</w:t>
      </w:r>
      <w:proofErr w:type="spellEnd"/>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0" w:name="_Toc346064595"/>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 xml:space="preserve">(see </w:t>
      </w:r>
      <w:proofErr w:type="gramStart"/>
      <w:r w:rsidRPr="00BC2F67">
        <w:rPr>
          <w:lang w:val="en-US"/>
        </w:rPr>
        <w:t>section  </w:t>
      </w:r>
      <w:proofErr w:type="gramEnd"/>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1" w:name="_Toc346064596"/>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w:t>
      </w:r>
      <w:proofErr w:type="gramStart"/>
      <w:r w:rsidR="002E1EA6" w:rsidRPr="00BC2F67">
        <w:rPr>
          <w:rStyle w:val="hps"/>
          <w:lang w:val="en-US"/>
        </w:rPr>
        <w:t>abstraction</w:t>
      </w:r>
      <w:proofErr w:type="gramEnd"/>
      <w:r w:rsidR="002E1EA6" w:rsidRPr="00BC2F67">
        <w:rPr>
          <w:rStyle w:val="hps"/>
          <w:lang w:val="en-US"/>
        </w:rPr>
        <w:t xml:space="preserve">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2" w:name="_Toc346064597"/>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Pr="00BC2F67">
        <w:rPr>
          <w:lang w:val="en-US"/>
        </w:rPr>
        <w:t>src</w:t>
      </w:r>
      <w:proofErr w:type="spellEnd"/>
      <w:r w:rsidRPr="00BC2F67">
        <w:rPr>
          <w:lang w:val="en-US"/>
        </w:rPr>
        <w:t>/main/resources/Metadada.xml,  or it is indicated in the .</w:t>
      </w:r>
      <w:proofErr w:type="spellStart"/>
      <w:r w:rsidRPr="00BC2F67">
        <w:rPr>
          <w:lang w:val="en-US"/>
        </w:rPr>
        <w:t>pom</w:t>
      </w:r>
      <w:proofErr w:type="spellEnd"/>
      <w:r w:rsidRPr="00BC2F67">
        <w:rPr>
          <w:lang w:val="en-US"/>
        </w:rPr>
        <w:t xml:space="preserve">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3" w:name="_Ref345249672"/>
      <w:bookmarkStart w:id="24" w:name="_Ref345249681"/>
      <w:bookmarkStart w:id="25" w:name="_Ref345249696"/>
      <w:bookmarkStart w:id="26" w:name="_Toc346064598"/>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7" w:name="_Toc346064599"/>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29" w:name="_Toc346064600"/>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5843C6" w:rsidRDefault="00605B56" w:rsidP="00A12C5D">
      <w:pPr>
        <w:autoSpaceDE w:val="0"/>
        <w:autoSpaceDN w:val="0"/>
        <w:adjustRightInd w:val="0"/>
        <w:spacing w:after="0"/>
        <w:ind w:left="708"/>
        <w:jc w:val="both"/>
        <w:rPr>
          <w:rFonts w:ascii="Courier New" w:hAnsi="Courier New" w:cs="Courier New"/>
          <w:color w:val="000000"/>
          <w:sz w:val="20"/>
          <w:szCs w:val="20"/>
        </w:rPr>
      </w:pPr>
      <w:proofErr w:type="gramStart"/>
      <w:r w:rsidRPr="005843C6">
        <w:rPr>
          <w:rFonts w:ascii="Courier New" w:hAnsi="Courier New" w:cs="Courier New"/>
          <w:color w:val="7F007F"/>
          <w:sz w:val="20"/>
          <w:szCs w:val="20"/>
        </w:rPr>
        <w:t>interfaces</w:t>
      </w:r>
      <w:proofErr w:type="gramEnd"/>
      <w:r w:rsidRPr="005843C6">
        <w:rPr>
          <w:rFonts w:ascii="Courier New" w:hAnsi="Courier New" w:cs="Courier New"/>
          <w:color w:val="000000"/>
          <w:sz w:val="20"/>
          <w:szCs w:val="20"/>
        </w:rPr>
        <w:t>=</w:t>
      </w:r>
      <w:r w:rsidRPr="005843C6">
        <w:rPr>
          <w:rFonts w:ascii="Courier New" w:hAnsi="Courier New" w:cs="Courier New"/>
          <w:i/>
          <w:iCs/>
          <w:color w:val="2A00FF"/>
          <w:sz w:val="20"/>
          <w:szCs w:val="20"/>
        </w:rPr>
        <w:t>"apam.test.AC"</w:t>
      </w:r>
      <w:r w:rsidRPr="005843C6">
        <w:rPr>
          <w:rFonts w:ascii="Courier New" w:hAnsi="Courier New" w:cs="Courier New"/>
          <w:sz w:val="20"/>
          <w:szCs w:val="20"/>
        </w:rPr>
        <w:t xml:space="preserve"> </w:t>
      </w:r>
      <w:r w:rsidRPr="005843C6">
        <w:rPr>
          <w:rFonts w:ascii="Courier New" w:hAnsi="Courier New" w:cs="Courier New"/>
          <w:color w:val="008080"/>
          <w:sz w:val="20"/>
          <w:szCs w:val="20"/>
        </w:rPr>
        <w:t>&gt;</w:t>
      </w:r>
      <w:r w:rsidRPr="005843C6">
        <w:rPr>
          <w:rFonts w:ascii="Courier New" w:hAnsi="Courier New" w:cs="Courier New"/>
          <w:color w:val="000000"/>
          <w:sz w:val="20"/>
          <w:szCs w:val="20"/>
        </w:rPr>
        <w:tab/>
      </w:r>
    </w:p>
    <w:p w:rsidR="00605B56" w:rsidRPr="005843C6" w:rsidRDefault="00605B56" w:rsidP="00A12C5D">
      <w:pPr>
        <w:autoSpaceDE w:val="0"/>
        <w:autoSpaceDN w:val="0"/>
        <w:adjustRightInd w:val="0"/>
        <w:spacing w:after="0"/>
        <w:jc w:val="both"/>
        <w:rPr>
          <w:rFonts w:ascii="Courier New" w:hAnsi="Courier New" w:cs="Courier New"/>
          <w:color w:val="000000"/>
          <w:sz w:val="20"/>
          <w:szCs w:val="20"/>
        </w:rPr>
      </w:pPr>
      <w:r w:rsidRPr="005843C6">
        <w:rPr>
          <w:rFonts w:ascii="Courier New" w:hAnsi="Courier New" w:cs="Courier New"/>
          <w:color w:val="008080"/>
          <w:sz w:val="20"/>
          <w:szCs w:val="20"/>
        </w:rPr>
        <w:t>&lt;/</w:t>
      </w:r>
      <w:proofErr w:type="spellStart"/>
      <w:proofErr w:type="gramStart"/>
      <w:r w:rsidRPr="005843C6">
        <w:rPr>
          <w:rFonts w:ascii="Courier New" w:hAnsi="Courier New" w:cs="Courier New"/>
          <w:color w:val="3F7F7F"/>
          <w:sz w:val="20"/>
          <w:szCs w:val="20"/>
        </w:rPr>
        <w:t>implementation</w:t>
      </w:r>
      <w:proofErr w:type="spellEnd"/>
      <w:proofErr w:type="gramEnd"/>
      <w:r w:rsidRPr="005843C6">
        <w:rPr>
          <w:rFonts w:ascii="Courier New" w:hAnsi="Courier New" w:cs="Courier New"/>
          <w:color w:val="3F7F7F"/>
          <w:sz w:val="20"/>
          <w:szCs w:val="20"/>
        </w:rPr>
        <w:t>&gt;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1" w:name="_Toc346064601"/>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2" w:name="_Toc346064602"/>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3" w:name="_Ref343854809"/>
      <w:bookmarkStart w:id="34" w:name="_Ref343854840"/>
      <w:bookmarkStart w:id="35" w:name="_Ref343854849"/>
      <w:bookmarkStart w:id="36" w:name="_Ref343854889"/>
      <w:bookmarkStart w:id="37" w:name="_Ref343854912"/>
      <w:bookmarkStart w:id="38" w:name="_Toc346064603"/>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C2F67" w:rsidRDefault="00605B56" w:rsidP="00A12C5D">
      <w:pPr>
        <w:pStyle w:val="Titre2"/>
        <w:jc w:val="both"/>
        <w:rPr>
          <w:lang w:val="en-US"/>
        </w:rPr>
      </w:pPr>
      <w:bookmarkStart w:id="39" w:name="_Toc346064604"/>
      <w:r w:rsidRPr="00BC2F67">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“integer”,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 braces.  The value of the “OS</w:t>
      </w:r>
      <w:proofErr w:type="gramStart"/>
      <w:r w:rsidRPr="00BC2F67">
        <w:rPr>
          <w:lang w:val="en-US"/>
        </w:rPr>
        <w:t>”  property</w:t>
      </w:r>
      <w:proofErr w:type="gramEnd"/>
      <w:r w:rsidRPr="00BC2F67">
        <w:rPr>
          <w:lang w:val="en-US"/>
        </w:rPr>
        <w:t xml:space="preserve">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Instantiation can be performed in the component definition as in the following example, by API when creating the component, or by API calling the method “</w:t>
      </w:r>
      <w:proofErr w:type="spellStart"/>
      <w:r w:rsidRPr="00BC2F67">
        <w:rPr>
          <w:lang w:val="en-US"/>
        </w:rPr>
        <w:t>C.setProperty</w:t>
      </w:r>
      <w:proofErr w:type="spellEnd"/>
      <w:r w:rsidRPr="00BC2F67">
        <w:rPr>
          <w:lang w:val="en-US"/>
        </w:rPr>
        <w:t xml:space="preserve"> (String name, Object value)”.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ind w:left="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fieldAttr</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myField</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1416"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”2”</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605B56" w:rsidRPr="00BC2F67" w:rsidRDefault="00605B56" w:rsidP="00A12C5D">
      <w:pPr>
        <w:jc w:val="both"/>
        <w:rPr>
          <w:lang w:val="en-US"/>
        </w:rPr>
      </w:pPr>
      <w:r w:rsidRPr="00BC2F67">
        <w:rPr>
          <w:lang w:val="en-US"/>
        </w:rPr>
        <w:t>In this</w:t>
      </w:r>
      <w:r w:rsidR="006E7B5A">
        <w:rPr>
          <w:lang w:val="en-US"/>
        </w:rPr>
        <w:t xml:space="preserve"> implementation, the attribute </w:t>
      </w:r>
      <w:proofErr w:type="spellStart"/>
      <w:r w:rsidRPr="00BC2F67">
        <w:rPr>
          <w:rFonts w:ascii="Courier New" w:hAnsi="Courier New" w:cs="Courier New"/>
          <w:i/>
          <w:iCs/>
          <w:color w:val="2A00FF"/>
          <w:sz w:val="20"/>
          <w:szCs w:val="20"/>
          <w:lang w:val="en-US"/>
        </w:rPr>
        <w:t>fieldAttr</w:t>
      </w:r>
      <w:proofErr w:type="spellEnd"/>
      <w:r w:rsidRPr="00BC2F67">
        <w:rPr>
          <w:lang w:val="en-US"/>
        </w:rPr>
        <w:t xml:space="preserve"> is associated with the </w:t>
      </w:r>
      <w:proofErr w:type="gramStart"/>
      <w:r w:rsidRPr="00BC2F67">
        <w:rPr>
          <w:lang w:val="en-US"/>
        </w:rPr>
        <w:t xml:space="preserve">field  </w:t>
      </w:r>
      <w:proofErr w:type="spellStart"/>
      <w:r w:rsidRPr="00BC2F67">
        <w:rPr>
          <w:rFonts w:ascii="Courier New" w:hAnsi="Courier New" w:cs="Courier New"/>
          <w:i/>
          <w:iCs/>
          <w:color w:val="2A00FF"/>
          <w:sz w:val="20"/>
          <w:szCs w:val="20"/>
          <w:lang w:val="en-US"/>
        </w:rPr>
        <w:t>myField</w:t>
      </w:r>
      <w:proofErr w:type="spellEnd"/>
      <w:proofErr w:type="gramEnd"/>
      <w:r w:rsidRPr="00BC2F67">
        <w:rPr>
          <w:lang w:val="en-US"/>
        </w:rPr>
        <w:t xml:space="preserve"> in the java source code of class “XY.java”. By default (internal=”false”) the value of the attribute and the value of the java field are synchronized, both ways (it can be set either by the XY class, assigning a value to the variable, of by the </w:t>
      </w:r>
      <w:r w:rsidR="00614180">
        <w:rPr>
          <w:lang w:val="en-US"/>
        </w:rPr>
        <w:t>APAM</w:t>
      </w:r>
      <w:r w:rsidRPr="00BC2F67">
        <w:rPr>
          <w:lang w:val="en-US"/>
        </w:rPr>
        <w:t xml:space="preserve"> API using the method “</w:t>
      </w:r>
      <w:proofErr w:type="spellStart"/>
      <w:r w:rsidRPr="00BC2F67">
        <w:rPr>
          <w:lang w:val="en-US"/>
        </w:rPr>
        <w:t>setProperty</w:t>
      </w:r>
      <w:proofErr w:type="spellEnd"/>
      <w:r w:rsidRPr="00BC2F67">
        <w:rPr>
          <w:lang w:val="en-US"/>
        </w:rPr>
        <w:t xml:space="preserve"> (“</w:t>
      </w:r>
      <w:proofErr w:type="spellStart"/>
      <w:r w:rsidRPr="00BC2F67">
        <w:rPr>
          <w:lang w:val="en-US"/>
        </w:rPr>
        <w:t>fieldAttr</w:t>
      </w:r>
      <w:proofErr w:type="spellEnd"/>
      <w:r w:rsidRPr="00BC2F67">
        <w:rPr>
          <w:lang w:val="en-US"/>
        </w:rPr>
        <w:t>”, “</w:t>
      </w:r>
      <w:proofErr w:type="spellStart"/>
      <w:r w:rsidRPr="00BC2F67">
        <w:rPr>
          <w:lang w:val="en-US"/>
        </w:rPr>
        <w:t>aValue</w:t>
      </w:r>
      <w:proofErr w:type="spellEnd"/>
      <w:r w:rsidRPr="00BC2F67">
        <w:rPr>
          <w:lang w:val="en-US"/>
        </w:rPr>
        <w:t xml:space="preserve">”)”. If internal=”true”, only the program can set the attribute value, but the attribute value is visible. </w:t>
      </w:r>
      <w:r w:rsidR="005843C6">
        <w:rPr>
          <w:lang w:val="en-US"/>
        </w:rPr>
        <w:tab/>
      </w:r>
      <w:r w:rsidR="005843C6">
        <w:rPr>
          <w:lang w:val="en-US"/>
        </w:rPr>
        <w:br/>
      </w:r>
      <w:r w:rsidRPr="00BC2F67">
        <w:rPr>
          <w:lang w:val="en-US"/>
        </w:rPr>
        <w:t>If a value is indicated, it will be the initial value of the variable, even if internal.</w:t>
      </w:r>
      <w:r w:rsidR="005843C6">
        <w:rPr>
          <w:lang w:val="en-US"/>
        </w:rPr>
        <w:t xml:space="preserve"> If the variable is initialized in the Java code, this initialization is ignored.</w:t>
      </w:r>
    </w:p>
    <w:p w:rsidR="00605B56" w:rsidRPr="00BC2F67" w:rsidRDefault="00605B56" w:rsidP="00A12C5D">
      <w:pPr>
        <w:autoSpaceDE w:val="0"/>
        <w:autoSpaceDN w:val="0"/>
        <w:adjustRightInd w:val="0"/>
        <w:jc w:val="both"/>
        <w:rPr>
          <w:lang w:val="en-US"/>
        </w:rPr>
      </w:pPr>
      <w:r w:rsidRPr="00BC2F67">
        <w:rPr>
          <w:lang w:val="en-US"/>
        </w:rPr>
        <w:t>Specification attributes must be both declared and instantiated at the specification level.</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the only valid properties for S1 are S1-Enum and S1-Attr, and they are inherited by all S1 implementations and instances.</w:t>
      </w:r>
    </w:p>
    <w:p w:rsidR="00605B56" w:rsidRPr="00BC2F67" w:rsidRDefault="00605B56" w:rsidP="00A12C5D">
      <w:pPr>
        <w:pStyle w:val="Titre2"/>
        <w:jc w:val="both"/>
        <w:rPr>
          <w:lang w:val="en-US"/>
        </w:rPr>
      </w:pPr>
      <w:bookmarkStart w:id="40" w:name="_Toc346064605"/>
      <w:proofErr w:type="gramStart"/>
      <w:r w:rsidRPr="00BC2F67">
        <w:rPr>
          <w:lang w:val="en-US"/>
        </w:rPr>
        <w:t>Property inheritance.</w:t>
      </w:r>
      <w:bookmarkEnd w:id="40"/>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1" w:name="_Toc346064606"/>
      <w:r w:rsidRPr="00BC2F67">
        <w:rPr>
          <w:lang w:val="en-US"/>
        </w:rPr>
        <w:t>Technical Domain properties</w:t>
      </w:r>
      <w:bookmarkEnd w:id="41"/>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w:t>
      </w:r>
      <w:proofErr w:type="spellStart"/>
      <w:r w:rsidRPr="00BC2F67">
        <w:rPr>
          <w:lang w:val="en-US"/>
        </w:rPr>
        <w:t>boolean</w:t>
      </w:r>
      <w:proofErr w:type="spellEnd"/>
      <w:r w:rsidRPr="00BC2F67">
        <w:rPr>
          <w:lang w:val="en-US"/>
        </w:rPr>
        <w:t>”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r>
      <w:proofErr w:type="spellStart"/>
      <w:r w:rsidRPr="00BC2F67">
        <w:rPr>
          <w:lang w:val="en-US"/>
        </w:rPr>
        <w:t>instanciable</w:t>
      </w:r>
      <w:proofErr w:type="spellEnd"/>
      <w:r w:rsidRPr="00BC2F67">
        <w:rPr>
          <w:lang w:val="en-US"/>
        </w:rPr>
        <w:t xml:space="preserv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2" w:name="_Toc346064607"/>
      <w:r w:rsidRPr="00BC2F67">
        <w:rPr>
          <w:lang w:val="en-US"/>
        </w:rPr>
        <w:t>Callback method</w:t>
      </w:r>
      <w:bookmarkEnd w:id="42"/>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proofErr w:type="gramStart"/>
      <w:r w:rsidRPr="00BC2F67">
        <w:rPr>
          <w:lang w:val="en-US"/>
        </w:rPr>
        <w:t xml:space="preserve">The  </w:t>
      </w:r>
      <w:proofErr w:type="spellStart"/>
      <w:r w:rsidRPr="00BC2F67">
        <w:rPr>
          <w:lang w:val="en-US"/>
        </w:rPr>
        <w:t>onInit</w:t>
      </w:r>
      <w:proofErr w:type="spellEnd"/>
      <w:proofErr w:type="gram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3" w:name="_Toc346064608"/>
      <w:r w:rsidRPr="00BC2F67">
        <w:rPr>
          <w:lang w:val="en-US"/>
        </w:rPr>
        <w:t>Execution and OSGi bundle repositories (OBR)</w:t>
      </w:r>
      <w:bookmarkEnd w:id="43"/>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lastRenderedPageBreak/>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proofErr w:type="gramStart"/>
      <w:r w:rsidRPr="00BC2F67">
        <w:rPr>
          <w:lang w:val="en-US"/>
        </w:rPr>
        <w:t xml:space="preserve">Attribute  </w:t>
      </w:r>
      <w:r w:rsidRPr="00BC2F67">
        <w:rPr>
          <w:rFonts w:ascii="Courier New" w:hAnsi="Courier New" w:cs="Courier New"/>
          <w:color w:val="3F7F7F"/>
          <w:sz w:val="20"/>
          <w:szCs w:val="20"/>
          <w:lang w:val="en-US"/>
        </w:rPr>
        <w:t>Composites</w:t>
      </w:r>
      <w:proofErr w:type="gramEnd"/>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Titre1"/>
        <w:jc w:val="both"/>
        <w:rPr>
          <w:lang w:val="en-US"/>
        </w:rPr>
      </w:pPr>
      <w:bookmarkStart w:id="44" w:name="_Ref343855281"/>
      <w:bookmarkStart w:id="45" w:name="_Ref343855596"/>
      <w:bookmarkStart w:id="46" w:name="_Ref345171543"/>
      <w:bookmarkStart w:id="47" w:name="_Ref345171552"/>
      <w:bookmarkStart w:id="48" w:name="_Ref345171594"/>
      <w:bookmarkStart w:id="49" w:name="_Ref345171616"/>
      <w:bookmarkStart w:id="50" w:name="_Ref345172851"/>
      <w:bookmarkStart w:id="51" w:name="_Ref345172866"/>
      <w:bookmarkStart w:id="52" w:name="_Toc346064609"/>
      <w:r w:rsidRPr="00BC2F67">
        <w:rPr>
          <w:lang w:val="en-US"/>
        </w:rPr>
        <w:lastRenderedPageBreak/>
        <w:t>Dependency management and resolution strategies</w:t>
      </w:r>
      <w:bookmarkEnd w:id="44"/>
      <w:bookmarkEnd w:id="45"/>
      <w:bookmarkEnd w:id="46"/>
      <w:bookmarkEnd w:id="47"/>
      <w:bookmarkEnd w:id="48"/>
      <w:bookmarkEnd w:id="49"/>
      <w:bookmarkEnd w:id="50"/>
      <w:bookmarkEnd w:id="51"/>
      <w:bookmarkEnd w:id="52"/>
    </w:p>
    <w:p w:rsidR="005843C6" w:rsidRPr="005843C6" w:rsidRDefault="005843C6" w:rsidP="005843C6">
      <w:pPr>
        <w:pStyle w:val="Titre2"/>
        <w:numPr>
          <w:ilvl w:val="0"/>
          <w:numId w:val="28"/>
        </w:numPr>
        <w:rPr>
          <w:lang w:val="en-US"/>
        </w:rPr>
      </w:pPr>
      <w:r w:rsidRPr="005843C6">
        <w:rPr>
          <w:lang w:val="en-US"/>
        </w:rPr>
        <w:t>The concept of dependency</w:t>
      </w:r>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lastRenderedPageBreak/>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t xml:space="preserve">If, for any reason (failure, </w:t>
      </w:r>
      <w:proofErr w:type="gramStart"/>
      <w:r w:rsidRPr="00BC2F67">
        <w:rPr>
          <w:lang w:val="en-US"/>
        </w:rPr>
        <w:t>disconnection, …)</w:t>
      </w:r>
      <w:proofErr w:type="gramEnd"/>
      <w:r w:rsidRPr="00BC2F67">
        <w:rPr>
          <w:lang w:val="en-US"/>
        </w:rPr>
        <w:t xml:space="preserve">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Titre2"/>
        <w:rPr>
          <w:lang w:val="en-US"/>
        </w:rPr>
      </w:pPr>
      <w:bookmarkStart w:id="53" w:name="_Toc346064610"/>
      <w:r>
        <w:rPr>
          <w:lang w:val="en-US"/>
        </w:rPr>
        <w:t xml:space="preserve">Dependency </w:t>
      </w:r>
      <w:r w:rsidR="006E7E04">
        <w:rPr>
          <w:lang w:val="en-US"/>
        </w:rPr>
        <w:t>refinement</w:t>
      </w:r>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6E7E04" w:rsidRPr="006E7E04">
        <w:rPr>
          <w:rFonts w:ascii="Courier New" w:hAnsi="Courier New" w:cs="Courier New"/>
          <w:color w:val="7F007F"/>
          <w:sz w:val="20"/>
          <w:szCs w:val="20"/>
          <w:lang w:val="en-US"/>
        </w:rPr>
        <w:t>fail</w:t>
      </w:r>
      <w:r w:rsidR="006E7E04">
        <w:rPr>
          <w:rFonts w:ascii="Courier New" w:hAnsi="Courier New" w:cs="Courier New"/>
          <w:i/>
          <w:iCs/>
          <w:color w:val="2A00FF"/>
          <w:sz w:val="20"/>
          <w:szCs w:val="20"/>
          <w:lang w:val="en-US"/>
        </w:rPr>
        <w:t>=”wait”</w:t>
      </w:r>
      <w:r>
        <w:rPr>
          <w:rFonts w:ascii="Courier New" w:hAnsi="Courier New" w:cs="Courier New"/>
          <w:i/>
          <w:iCs/>
          <w:color w:val="2A00FF"/>
          <w:sz w:val="20"/>
          <w:szCs w:val="20"/>
          <w:lang w:val="en-US"/>
        </w:rPr>
        <w:t>/&gt;</w:t>
      </w:r>
      <w:r w:rsidRPr="00BC2F67">
        <w:rPr>
          <w:rFonts w:ascii="Courier New" w:hAnsi="Courier New" w:cs="Courier New"/>
          <w:color w:val="000000"/>
          <w:sz w:val="20"/>
          <w:szCs w:val="20"/>
          <w:lang w:val="en-US"/>
        </w:rPr>
        <w:tab/>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bookmarkStart w:id="54" w:name="_GoBack"/>
      <w:bookmarkEnd w:id="54"/>
      <w:r w:rsidR="006E7E04">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Paragraphedeliste"/>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Paragraphedeliste"/>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Paragraphedeliste"/>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21314D" w:rsidRPr="0021314D" w:rsidRDefault="00E27D3A" w:rsidP="00E27D3A">
      <w:pPr>
        <w:spacing w:after="0"/>
        <w:rPr>
          <w:lang w:val="en-US"/>
        </w:rPr>
      </w:pPr>
      <w:r>
        <w:rPr>
          <w:lang w:val="en-US"/>
        </w:rPr>
        <w:t xml:space="preserve">The fact it is the same dependency means that the characteristics, constraints and cardinality defined at a level will be inherited at the other levels. </w:t>
      </w:r>
    </w:p>
    <w:p w:rsidR="00605B56" w:rsidRPr="00BC2F67" w:rsidRDefault="00605B56" w:rsidP="005843C6">
      <w:pPr>
        <w:pStyle w:val="Titre2"/>
        <w:jc w:val="both"/>
        <w:rPr>
          <w:lang w:val="en-US"/>
        </w:rPr>
      </w:pPr>
      <w:r w:rsidRPr="00BC2F67">
        <w:rPr>
          <w:lang w:val="en-US"/>
        </w:rPr>
        <w:t>Dependency cardinality</w:t>
      </w:r>
      <w:bookmarkEnd w:id="53"/>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xml:space="preserve">, the dependency is associated with all the instances </w:t>
      </w:r>
      <w:r w:rsidRPr="00BC2F67">
        <w:rPr>
          <w:lang w:val="en-US"/>
        </w:rPr>
        <w:lastRenderedPageBreak/>
        <w:t>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6E7B5A">
        <w:rPr>
          <w:rFonts w:ascii="Courier New" w:hAnsi="Courier New" w:cs="Courier New"/>
          <w:i/>
          <w:iCs/>
          <w:color w:val="2A00FF"/>
          <w:sz w:val="20"/>
          <w:szCs w:val="20"/>
          <w:lang w:val="en-US"/>
        </w:rPr>
        <w:t>fieldT</w:t>
      </w:r>
      <w:proofErr w:type="spellEnd"/>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and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(names are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proofErr w:type="spellStart"/>
      <w:r w:rsidRPr="006E7B5A">
        <w:rPr>
          <w:rFonts w:ascii="Courier New" w:hAnsi="Courier New" w:cs="Courier New"/>
          <w:i/>
          <w:iCs/>
          <w:color w:val="2A00FF"/>
          <w:sz w:val="20"/>
          <w:szCs w:val="20"/>
          <w:lang w:val="en-US"/>
        </w:rPr>
        <w:t>fr.imag.apam.Instance</w:t>
      </w:r>
      <w:proofErr w:type="spellEnd"/>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w:t>
      </w:r>
      <w:r w:rsidRPr="00BC2F67">
        <w:rPr>
          <w:lang w:val="en-US"/>
        </w:rPr>
        <w:lastRenderedPageBreak/>
        <w:t xml:space="preserve">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proofErr w:type="spellStart"/>
      <w:r w:rsidRPr="006E7B5A">
        <w:rPr>
          <w:rFonts w:ascii="Courier New" w:hAnsi="Courier New" w:cs="Courier New"/>
          <w:i/>
          <w:iCs/>
          <w:color w:val="2A00FF"/>
          <w:sz w:val="20"/>
          <w:szCs w:val="20"/>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proofErr w:type="spellStart"/>
      <w:r w:rsidRPr="006E7B5A">
        <w:rPr>
          <w:rFonts w:ascii="Courier New" w:hAnsi="Courier New" w:cs="Courier New"/>
          <w:i/>
          <w:iCs/>
          <w:color w:val="2A00FF"/>
          <w:sz w:val="20"/>
          <w:szCs w:val="20"/>
          <w:lang w:val="en-US"/>
        </w:rPr>
        <w:t>java.util.Queue</w:t>
      </w:r>
      <w:proofErr w:type="spellEnd"/>
      <w:r w:rsidRPr="006E7B5A">
        <w:rPr>
          <w:rFonts w:ascii="Courier New" w:hAnsi="Courier New" w:cs="Courier New"/>
          <w:i/>
          <w:iCs/>
          <w:color w:val="2A00FF"/>
          <w:sz w:val="20"/>
          <w:szCs w:val="20"/>
          <w:lang w:val="en-US"/>
        </w:rPr>
        <w:t xml:space="preserv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5843C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5843C6">
        <w:rPr>
          <w:rFonts w:ascii="Courier New" w:hAnsi="Courier New" w:cs="Courier New"/>
          <w:sz w:val="20"/>
          <w:szCs w:val="20"/>
        </w:rPr>
        <w:t xml:space="preserve">public </w:t>
      </w:r>
      <w:proofErr w:type="spellStart"/>
      <w:r w:rsidRPr="005843C6">
        <w:rPr>
          <w:rFonts w:ascii="Courier New" w:hAnsi="Courier New" w:cs="Courier New"/>
          <w:sz w:val="20"/>
          <w:szCs w:val="20"/>
        </w:rPr>
        <w:t>void</w:t>
      </w:r>
      <w:proofErr w:type="spellEnd"/>
      <w:r w:rsidRPr="005843C6">
        <w:rPr>
          <w:rFonts w:ascii="Courier New" w:hAnsi="Courier New" w:cs="Courier New"/>
          <w:sz w:val="20"/>
          <w:szCs w:val="20"/>
        </w:rPr>
        <w:t xml:space="preserve"> gotM2 (M2 m2) </w:t>
      </w:r>
      <w:proofErr w:type="gramStart"/>
      <w:r w:rsidRPr="005843C6">
        <w:rPr>
          <w:rFonts w:ascii="Courier New" w:hAnsi="Courier New" w:cs="Courier New"/>
          <w:sz w:val="20"/>
          <w:szCs w:val="20"/>
        </w:rPr>
        <w:t>{ .....</w:t>
      </w:r>
      <w:proofErr w:type="gramEnd"/>
      <w:r w:rsidRPr="005843C6">
        <w:rPr>
          <w:rFonts w:ascii="Courier New" w:hAnsi="Courier New" w:cs="Courier New"/>
          <w:sz w:val="20"/>
          <w:szCs w:val="20"/>
        </w:rPr>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lastRenderedPageBreak/>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w:t>
      </w:r>
      <w:proofErr w:type="gramStart"/>
      <w:r w:rsidRPr="00F045F0">
        <w:rPr>
          <w:lang w:val="en-US"/>
        </w:rPr>
        <w:t>|(</w:t>
      </w:r>
      <w:proofErr w:type="gramEnd"/>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w:t>
      </w:r>
      <w:proofErr w:type="spellStart"/>
      <w:r w:rsidRPr="00F045F0">
        <w:rPr>
          <w:lang w:val="en-US"/>
        </w:rPr>
        <w:t>givenName</w:t>
      </w:r>
      <w:proofErr w:type="spellEnd"/>
      <w:r w:rsidRPr="00F045F0">
        <w:rPr>
          <w:lang w:val="en-US"/>
        </w:rPr>
        <w:t>=Sandra).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w:t>
      </w:r>
      <w:proofErr w:type="spellStart"/>
      <w:r w:rsidRPr="00F045F0">
        <w:rPr>
          <w:lang w:val="en-US"/>
        </w:rPr>
        <w:t>abc</w:t>
      </w:r>
      <w:proofErr w:type="spellEnd"/>
      <w:r w:rsidRPr="00F045F0">
        <w:rPr>
          <w:lang w:val="en-US"/>
        </w:rPr>
        <w:t>)     , e.g. (</w:t>
      </w:r>
      <w:proofErr w:type="gramStart"/>
      <w:r w:rsidRPr="00F045F0">
        <w:rPr>
          <w:lang w:val="en-US"/>
        </w:rPr>
        <w:t>&amp;(</w:t>
      </w:r>
      <w:proofErr w:type="spellStart"/>
      <w:proofErr w:type="gramEnd"/>
      <w:r w:rsidRPr="00F045F0">
        <w:rPr>
          <w:lang w:val="en-US"/>
        </w:rPr>
        <w:t>objectclass</w:t>
      </w:r>
      <w:proofErr w:type="spellEnd"/>
      <w:r w:rsidRPr="00F045F0">
        <w:rPr>
          <w:lang w:val="en-US"/>
        </w:rPr>
        <w:t>=user)(</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w:t>
      </w:r>
      <w:proofErr w:type="gramStart"/>
      <w:r w:rsidRPr="00F045F0">
        <w:rPr>
          <w:lang w:val="en-US"/>
        </w:rPr>
        <w:t>!(</w:t>
      </w:r>
      <w:proofErr w:type="gramEnd"/>
      <w:r w:rsidRPr="00F045F0">
        <w:rPr>
          <w:lang w:val="en-US"/>
        </w:rPr>
        <w:t>attribute=</w:t>
      </w:r>
      <w:proofErr w:type="spellStart"/>
      <w:r w:rsidRPr="00F045F0">
        <w:rPr>
          <w:lang w:val="en-US"/>
        </w:rPr>
        <w:t>abc</w:t>
      </w:r>
      <w:proofErr w:type="spellEnd"/>
      <w:r w:rsidRPr="00F045F0">
        <w:rPr>
          <w:lang w:val="en-US"/>
        </w:rPr>
        <w:t>))     , e.g. (!</w:t>
      </w:r>
      <w:proofErr w:type="spellStart"/>
      <w:r w:rsidRPr="00F045F0">
        <w:rPr>
          <w:lang w:val="en-US"/>
        </w:rPr>
        <w:t>objectClass</w:t>
      </w:r>
      <w:proofErr w:type="spellEnd"/>
      <w:r w:rsidRPr="00F045F0">
        <w:rPr>
          <w:lang w:val="en-US"/>
        </w:rPr>
        <w:t>=group)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w:t>
      </w:r>
      <w:proofErr w:type="spellStart"/>
      <w:r w:rsidRPr="00F045F0">
        <w:rPr>
          <w:lang w:val="en-US"/>
        </w:rPr>
        <w:t>mailNickName</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w:t>
      </w:r>
      <w:proofErr w:type="gramStart"/>
      <w:r w:rsidRPr="00F045F0">
        <w:rPr>
          <w:lang w:val="en-US"/>
        </w:rPr>
        <w:t>!(</w:t>
      </w:r>
      <w:proofErr w:type="gramEnd"/>
      <w:r w:rsidRPr="00F045F0">
        <w:rPr>
          <w:lang w:val="en-US"/>
        </w:rPr>
        <w:t>attribute=*))        , e.g. (!</w:t>
      </w:r>
      <w:proofErr w:type="spellStart"/>
      <w:r w:rsidRPr="00F045F0">
        <w:rPr>
          <w:lang w:val="en-US"/>
        </w:rPr>
        <w:t>proxyAddresses</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(attribute~=</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 xml:space="preserve">)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w:t>
      </w:r>
      <w:proofErr w:type="spellStart"/>
      <w:proofErr w:type="gramStart"/>
      <w:r w:rsidRPr="00F045F0">
        <w:rPr>
          <w:lang w:val="en-US"/>
        </w:rPr>
        <w:t>sn</w:t>
      </w:r>
      <w:proofErr w:type="spellEnd"/>
      <w:r w:rsidRPr="00F045F0">
        <w:rPr>
          <w:lang w:val="en-US"/>
        </w:rPr>
        <w:t>=</w:t>
      </w:r>
      <w:proofErr w:type="gramEnd"/>
      <w:r w:rsidRPr="00F045F0">
        <w:rPr>
          <w:lang w:val="en-US"/>
        </w:rPr>
        <w:t>F*) or (</w:t>
      </w:r>
      <w:proofErr w:type="spellStart"/>
      <w:r w:rsidRPr="00F045F0">
        <w:rPr>
          <w:lang w:val="en-US"/>
        </w:rPr>
        <w:t>givenName</w:t>
      </w:r>
      <w:proofErr w:type="spellEnd"/>
      <w:r w:rsidRPr="00F045F0">
        <w:rPr>
          <w:lang w:val="en-US"/>
        </w:rPr>
        <w:t>=*Paul*)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Despite the constraints, the resolution process can return more than one implementation, and more than one instance. If the dependency is multiple, all these instances are solutions. However, for a simple dependency, only one instance must be selected: which </w:t>
      </w:r>
      <w:proofErr w:type="gramStart"/>
      <w:r w:rsidRPr="00BC2F67">
        <w:rPr>
          <w:lang w:val="en-US"/>
        </w:rPr>
        <w:t>one ?</w:t>
      </w:r>
      <w:proofErr w:type="gramEnd"/>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lastRenderedPageBreak/>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lastRenderedPageBreak/>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lastRenderedPageBreak/>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t xml:space="preserve">Conflict access management: </w:t>
      </w:r>
      <w:proofErr w:type="spellStart"/>
      <w:r w:rsidRPr="00BC2F67">
        <w:rPr>
          <w:lang w:val="en-US"/>
        </w:rPr>
        <w:t>ConflictMan</w:t>
      </w:r>
      <w:bookmarkEnd w:id="70"/>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w:t>
      </w:r>
      <w:r w:rsidRPr="008568B1">
        <w:rPr>
          <w:rFonts w:cs="Times New Roman"/>
          <w:lang w:val="en-US"/>
        </w:rPr>
        <w:lastRenderedPageBreak/>
        <w:t xml:space="preserve">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lastRenderedPageBreak/>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F2F" w:rsidRDefault="00412F2F" w:rsidP="004A063C">
      <w:pPr>
        <w:spacing w:after="0" w:line="240" w:lineRule="auto"/>
      </w:pPr>
      <w:r>
        <w:separator/>
      </w:r>
    </w:p>
  </w:endnote>
  <w:endnote w:type="continuationSeparator" w:id="0">
    <w:p w:rsidR="00412F2F" w:rsidRDefault="00412F2F"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5843C6" w:rsidRDefault="005843C6">
        <w:pPr>
          <w:pStyle w:val="Pieddepage"/>
        </w:pPr>
        <w:r>
          <w:fldChar w:fldCharType="begin"/>
        </w:r>
        <w:r>
          <w:instrText>PAGE   \* MERGEFORMAT</w:instrText>
        </w:r>
        <w:r>
          <w:fldChar w:fldCharType="separate"/>
        </w:r>
        <w:r w:rsidR="006E7E04">
          <w:rPr>
            <w:noProof/>
          </w:rPr>
          <w:t>25</w:t>
        </w:r>
        <w:r>
          <w:fldChar w:fldCharType="end"/>
        </w:r>
      </w:p>
    </w:sdtContent>
  </w:sdt>
  <w:p w:rsidR="005843C6" w:rsidRDefault="005843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F2F" w:rsidRDefault="00412F2F" w:rsidP="004A063C">
      <w:pPr>
        <w:spacing w:after="0" w:line="240" w:lineRule="auto"/>
      </w:pPr>
      <w:r>
        <w:separator/>
      </w:r>
    </w:p>
  </w:footnote>
  <w:footnote w:type="continuationSeparator" w:id="0">
    <w:p w:rsidR="00412F2F" w:rsidRDefault="00412F2F" w:rsidP="004A063C">
      <w:pPr>
        <w:spacing w:after="0" w:line="240" w:lineRule="auto"/>
      </w:pPr>
      <w:r>
        <w:continuationSeparator/>
      </w:r>
    </w:p>
  </w:footnote>
  <w:footnote w:id="1">
    <w:p w:rsidR="005843C6" w:rsidRPr="00682951" w:rsidRDefault="005843C6"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5843C6" w:rsidRPr="007A24D3" w:rsidRDefault="005843C6"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5843C6" w:rsidRPr="008004E4" w:rsidRDefault="005843C6"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5843C6" w:rsidRPr="008568B1" w:rsidRDefault="005843C6"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5843C6" w:rsidRPr="00EE7B55" w:rsidRDefault="005843C6"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5843C6" w:rsidRPr="008568B1" w:rsidRDefault="005843C6"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5843C6" w:rsidRPr="00D931B2" w:rsidRDefault="005843C6"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02F823F8"/>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lvlOverride w:ilvl="0">
      <w:startOverride w:val="1"/>
    </w:lvlOverride>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62BD"/>
    <w:rsid w:val="00056CB6"/>
    <w:rsid w:val="0005727D"/>
    <w:rsid w:val="000666D2"/>
    <w:rsid w:val="00080BD1"/>
    <w:rsid w:val="0008550B"/>
    <w:rsid w:val="00090246"/>
    <w:rsid w:val="000975E5"/>
    <w:rsid w:val="000A7C29"/>
    <w:rsid w:val="000B0075"/>
    <w:rsid w:val="000B6FEF"/>
    <w:rsid w:val="000C12E5"/>
    <w:rsid w:val="000C4002"/>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45A7"/>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2F2F"/>
    <w:rsid w:val="00415A78"/>
    <w:rsid w:val="0041701D"/>
    <w:rsid w:val="0041759E"/>
    <w:rsid w:val="00446234"/>
    <w:rsid w:val="00452CEF"/>
    <w:rsid w:val="004536E3"/>
    <w:rsid w:val="00462173"/>
    <w:rsid w:val="004633C5"/>
    <w:rsid w:val="0046407F"/>
    <w:rsid w:val="0046717B"/>
    <w:rsid w:val="00490C05"/>
    <w:rsid w:val="00493E09"/>
    <w:rsid w:val="00496CBD"/>
    <w:rsid w:val="004A014B"/>
    <w:rsid w:val="004A0263"/>
    <w:rsid w:val="004A063C"/>
    <w:rsid w:val="004A24FA"/>
    <w:rsid w:val="004A2569"/>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D1727"/>
    <w:rsid w:val="006D5E61"/>
    <w:rsid w:val="006E0B6B"/>
    <w:rsid w:val="006E6ACF"/>
    <w:rsid w:val="006E7AB8"/>
    <w:rsid w:val="006E7B5A"/>
    <w:rsid w:val="006E7E04"/>
    <w:rsid w:val="006F776D"/>
    <w:rsid w:val="00701EC2"/>
    <w:rsid w:val="0070367E"/>
    <w:rsid w:val="0071331E"/>
    <w:rsid w:val="00715DC4"/>
    <w:rsid w:val="0072281F"/>
    <w:rsid w:val="0072416B"/>
    <w:rsid w:val="00737801"/>
    <w:rsid w:val="00752576"/>
    <w:rsid w:val="007525C4"/>
    <w:rsid w:val="00752AB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6547"/>
    <w:rsid w:val="00A41C6B"/>
    <w:rsid w:val="00A51007"/>
    <w:rsid w:val="00A61BB5"/>
    <w:rsid w:val="00A7000E"/>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93C67"/>
    <w:rsid w:val="00E96C11"/>
    <w:rsid w:val="00EB4908"/>
    <w:rsid w:val="00EC1126"/>
    <w:rsid w:val="00EC4DFA"/>
    <w:rsid w:val="00EC5176"/>
    <w:rsid w:val="00ED155C"/>
    <w:rsid w:val="00EE1328"/>
    <w:rsid w:val="00EE4E6D"/>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930F1"/>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73313E0-8F11-43A2-AE51-4D1654A8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43</Pages>
  <Words>16008</Words>
  <Characters>88046</Characters>
  <Application>Microsoft Office Word</Application>
  <DocSecurity>0</DocSecurity>
  <Lines>733</Lines>
  <Paragraphs>207</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jacky</cp:lastModifiedBy>
  <cp:revision>3</cp:revision>
  <dcterms:created xsi:type="dcterms:W3CDTF">2013-02-12T12:11:00Z</dcterms:created>
  <dcterms:modified xsi:type="dcterms:W3CDTF">2013-02-13T08:19:00Z</dcterms:modified>
</cp:coreProperties>
</file>