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Bericht</w:t>
      </w:r>
    </w:p>
    <w:p>
      <w:pPr>
        <w:spacing w:after="80" w:before="0"/>
        <w:jc w:val="center"/>
      </w:pPr>
      <w:r>
        <w:rPr>
          <w:rFonts w:ascii="Arial" w:cs="Arial" w:eastAsia="Arial" w:hAnsi="Arial"/>
          <w:color w:val="555555"/>
          <w:sz w:val="28"/>
          <w:szCs w:val="28"/>
        </w:rPr>
        <w:t xml:space="preserve">Modellierung einer terminologischen Datenbank in XAMPP</w:t>
      </w:r>
    </w:p>
    <w:p>
      <w:pPr>
        <w:spacing w:after="320" w:before="0"/>
        <w:jc w:val="center"/>
      </w:pPr>
      <w:r>
        <w:rPr>
          <w:rFonts w:ascii="Arial" w:cs="Arial" w:eastAsia="Arial" w:hAnsi="Arial"/>
          <w:color w:val="888888"/>
          <w:sz w:val="22"/>
          <w:szCs w:val="22"/>
        </w:rPr>
        <w:t xml:space="preserve">EMLex A3: Data Modelling  –  April 2026, UL Nancy</w:t>
      </w:r>
    </w:p>
    <w:p>
      <w:pPr>
        <w:pBdr>
          <w:bottom w:val="single" w:color="1F4E79" w:sz="6" w:space="1"/>
        </w:pBdr>
        <w:spacing w:after="120" w:before="120"/>
      </w:pPr>
    </w:p>
    <w:p>
      <w:pPr>
        <w:spacing w:after="100" w:before="100"/>
      </w:pPr>
    </w:p>
    <w:p>
      <w:pPr>
        <w:pStyle w:val="Heading1"/>
        <w:spacing w:after="160" w:before="320"/>
      </w:pPr>
      <w:r>
        <w:rPr>
          <w:rFonts w:ascii="Arial" w:cs="Arial" w:eastAsia="Arial" w:hAnsi="Arial"/>
          <w:b/>
          <w:bCs/>
          <w:color w:val="1F4E79"/>
          <w:sz w:val="28"/>
          <w:szCs w:val="28"/>
        </w:rPr>
        <w:t xml:space="preserve">1.  Domäne, Thema und Zielgruppe</w:t>
      </w:r>
    </w:p>
    <w:p>
      <w:pPr>
        <w:spacing w:after="80" w:before="80"/>
      </w:pPr>
      <w:r>
        <w:rPr>
          <w:rFonts w:ascii="Arial" w:cs="Arial" w:eastAsia="Arial" w:hAnsi="Arial"/>
          <w:color w:val="2C3E50"/>
          <w:sz w:val="22"/>
          <w:szCs w:val="22"/>
        </w:rPr>
        <w:t xml:space="preserve">Die Datenbank wurde im Bereich </w:t>
      </w:r>
    </w:p>
    <w:p>
      <w:pPr>
        <w:spacing w:after="80" w:before="80"/>
      </w:pPr>
      <w:r>
        <w:rPr>
          <w:rFonts w:ascii="Arial" w:cs="Arial" w:eastAsia="Arial" w:hAnsi="Arial"/>
          <w:b/>
          <w:bCs/>
          <w:sz w:val="22"/>
          <w:szCs w:val="22"/>
        </w:rPr>
        <w:t xml:space="preserve">Domäne: </w:t>
      </w:r>
      <w:r>
        <w:rPr>
          <w:rFonts w:ascii="Arial" w:cs="Arial" w:eastAsia="Arial" w:hAnsi="Arial"/>
          <w:sz w:val="22"/>
          <w:szCs w:val="22"/>
        </w:rPr>
        <w:t xml:space="preserve">Zoologie / Natur</w:t>
      </w:r>
    </w:p>
    <w:p>
      <w:pPr>
        <w:spacing w:after="80" w:before="80"/>
      </w:pPr>
      <w:r>
        <w:rPr>
          <w:rFonts w:ascii="Arial" w:cs="Arial" w:eastAsia="Arial" w:hAnsi="Arial"/>
          <w:b/>
          <w:bCs/>
          <w:sz w:val="22"/>
          <w:szCs w:val="22"/>
        </w:rPr>
        <w:t xml:space="preserve">Thema: </w:t>
      </w:r>
      <w:r>
        <w:rPr>
          <w:rFonts w:ascii="Arial" w:cs="Arial" w:eastAsia="Arial" w:hAnsi="Arial"/>
          <w:sz w:val="22"/>
          <w:szCs w:val="22"/>
        </w:rPr>
        <w:t xml:space="preserve">Tierarten – mehrsprachige Terminologie (Deutsch, Englisch, Französisch, Latein)</w:t>
      </w:r>
    </w:p>
    <w:p>
      <w:pPr>
        <w:spacing w:after="80" w:before="80"/>
      </w:pPr>
      <w:r>
        <w:rPr>
          <w:rFonts w:ascii="Arial" w:cs="Arial" w:eastAsia="Arial" w:hAnsi="Arial"/>
          <w:b/>
          <w:bCs/>
          <w:sz w:val="22"/>
          <w:szCs w:val="22"/>
        </w:rPr>
        <w:t xml:space="preserve">Zielgruppe: </w:t>
      </w:r>
      <w:r>
        <w:rPr>
          <w:rFonts w:ascii="Arial" w:cs="Arial" w:eastAsia="Arial" w:hAnsi="Arial"/>
          <w:sz w:val="22"/>
          <w:szCs w:val="22"/>
        </w:rPr>
        <w:t xml:space="preserve">Übersetzerinnen und Übersetzer, Terminologinnen und Terminologen sowie Lernende im Bereich Natur- und Umweltwissenschaften, die mehrsprachige Fachbegriffe für Tierarten nachschlagen möchten.</w:t>
      </w:r>
    </w:p>
    <w:p>
      <w:pPr>
        <w:spacing w:after="100" w:before="100"/>
      </w:pPr>
    </w:p>
    <w:p>
      <w:pPr>
        <w:pStyle w:val="Heading1"/>
        <w:spacing w:after="160" w:before="320"/>
      </w:pPr>
      <w:r>
        <w:rPr>
          <w:rFonts w:ascii="Arial" w:cs="Arial" w:eastAsia="Arial" w:hAnsi="Arial"/>
          <w:b/>
          <w:bCs/>
          <w:color w:val="1F4E79"/>
          <w:sz w:val="28"/>
          <w:szCs w:val="28"/>
        </w:rPr>
        <w:t xml:space="preserve">2.  Angaben und Ausgangstabelle</w:t>
      </w:r>
    </w:p>
    <w:p>
      <w:pPr>
        <w:pStyle w:val="Heading2"/>
        <w:spacing w:after="120" w:before="240"/>
      </w:pPr>
      <w:r>
        <w:rPr>
          <w:rFonts w:ascii="Arial" w:cs="Arial" w:eastAsia="Arial" w:hAnsi="Arial"/>
          <w:b/>
          <w:bCs/>
          <w:color w:val="1A5276"/>
          <w:sz w:val="24"/>
          <w:szCs w:val="24"/>
        </w:rPr>
        <w:t xml:space="preserve">2a. Festgelegte Angaben (Attribute)</w:t>
      </w:r>
    </w:p>
    <w:p>
      <w:pPr>
        <w:spacing w:after="80" w:before="80"/>
      </w:pPr>
      <w:r>
        <w:rPr>
          <w:rFonts w:ascii="Arial" w:cs="Arial" w:eastAsia="Arial" w:hAnsi="Arial"/>
          <w:color w:val="2C3E50"/>
          <w:sz w:val="22"/>
          <w:szCs w:val="22"/>
        </w:rPr>
        <w:t xml:space="preserve">Für die Ausgangstabelle wurden folgende Attribute festgelegt:</w:t>
      </w:r>
    </w:p>
    <w:p>
      <w:pPr>
        <w:spacing w:after="100" w:before="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Beispielwert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Tierart_DE / EN / FR / LA</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Mehrsprachige Benennung; LA = Wissenschaftlicher Name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Löwe / Lion / Lion / Panthera leo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Tierklasse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Biologische Klassifizierung (z.B. Säugetier, Fisch)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Säugetier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Lebensraum</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Natürliches Habitat des Tieres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Savanne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Kontinent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Geografische Verbreitung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Afrika</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Ernährungsweise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Klassifizierung der Ernährung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Fleischfresser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Körpergröße / Gewicht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Biologische Messwerte zur Einordnung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200 cm / 190 kg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Bedrohungsstatus</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IUCN-Kategorie (LC, VU, EN, CR)</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Gefährdet (VU)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Quelle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Nachweis der Daten (Belegbarkeit)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IUCN Red List 2023</w:t>
            </w:r>
          </w:p>
        </w:tc>
      </w:tr>
    </w:tbl>
    <w:p>
      <w:pPr>
        <w:spacing w:after="100" w:before="100"/>
      </w:pPr>
    </w:p>
    <w:p>
      <w:pPr>
        <w:pStyle w:val="Heading2"/>
        <w:spacing w:after="120" w:before="240"/>
      </w:pPr>
      <w:r>
        <w:rPr>
          <w:rFonts w:ascii="Arial" w:cs="Arial" w:eastAsia="Arial" w:hAnsi="Arial"/>
          <w:b/>
          <w:bCs/>
          <w:color w:val="1A5276"/>
          <w:sz w:val="24"/>
          <w:szCs w:val="24"/>
        </w:rPr>
        <w:t xml:space="preserve">2b. Ausgangstabelle</w:t>
      </w:r>
    </w:p>
    <w:p>
      <w:pPr>
        <w:spacing w:after="80" w:before="80"/>
      </w:pPr>
      <w:r>
        <w:rPr>
          <w:rFonts w:ascii="Arial" w:cs="Arial" w:eastAsia="Arial" w:hAnsi="Arial"/>
          <w:color w:val="2C3E50"/>
          <w:sz w:val="22"/>
          <w:szCs w:val="22"/>
        </w:rPr>
        <w:t xml:space="preserve">Die Ausgangstabelle (Datei: Ausgangstabelle.xlsx) enthält alle Attribute in einer einzigen, noch nicht normalisierten Tabelle. Sie dient als Ausgangspunkt für den Normalisierungsprozess. Redundanzen sind bewusst vorhanden, um den Normalisierungsbedarf zu demonstrieren.</w:t>
      </w:r>
    </w:p>
    <w:p>
      <w:pPr>
        <w:spacing w:after="100" w:before="100"/>
      </w:pPr>
    </w:p>
    <w:p>
      <w:pPr>
        <w:pStyle w:val="Heading1"/>
        <w:spacing w:after="160" w:before="320"/>
      </w:pPr>
      <w:r>
        <w:rPr>
          <w:rFonts w:ascii="Arial" w:cs="Arial" w:eastAsia="Arial" w:hAnsi="Arial"/>
          <w:b/>
          <w:bCs/>
          <w:color w:val="1F4E79"/>
          <w:sz w:val="28"/>
          <w:szCs w:val="28"/>
        </w:rPr>
        <w:t xml:space="preserve">3.  Datensätze (10 Einträge)</w:t>
      </w:r>
    </w:p>
    <w:p>
      <w:pPr>
        <w:spacing w:after="80" w:before="80"/>
      </w:pPr>
      <w:r>
        <w:rPr>
          <w:rFonts w:ascii="Arial" w:cs="Arial" w:eastAsia="Arial" w:hAnsi="Arial"/>
          <w:color w:val="2C3E50"/>
          <w:sz w:val="22"/>
          <w:szCs w:val="22"/>
        </w:rPr>
        <w:t xml:space="preserve">Die zehn Datensätze wurden aus folgenden Quellen entnommen:</w:t>
      </w:r>
    </w:p>
    <w:p>
      <w:pPr>
        <w:pStyle w:val="ListParagraph"/>
        <w:numPr>
          <w:ilvl w:val="0"/>
          <w:numId w:val="2"/>
        </w:numPr>
        <w:spacing w:after="60" w:before="60"/>
      </w:pPr>
      <w:r>
        <w:rPr>
          <w:rFonts w:ascii="Arial" w:cs="Arial" w:eastAsia="Arial" w:hAnsi="Arial"/>
          <w:color w:val="2C3E50"/>
          <w:sz w:val="22"/>
          <w:szCs w:val="22"/>
        </w:rPr>
        <w:t xml:space="preserve">IUCN Red List of Threatened Species (iucnredlist.org) – Bedrohungsstatus, Körperdaten</w:t>
      </w:r>
    </w:p>
    <w:p>
      <w:pPr>
        <w:pStyle w:val="ListParagraph"/>
        <w:numPr>
          <w:ilvl w:val="0"/>
          <w:numId w:val="2"/>
        </w:numPr>
        <w:spacing w:after="60" w:before="60"/>
      </w:pPr>
      <w:r>
        <w:rPr>
          <w:rFonts w:ascii="Arial" w:cs="Arial" w:eastAsia="Arial" w:hAnsi="Arial"/>
          <w:color w:val="2C3E50"/>
          <w:sz w:val="22"/>
          <w:szCs w:val="22"/>
        </w:rPr>
        <w:t xml:space="preserve">WWF – World Wildlife Fund (wwf.org) – Gewicht, Lebensraum</w:t>
      </w:r>
    </w:p>
    <w:p>
      <w:pPr>
        <w:pStyle w:val="ListParagraph"/>
        <w:numPr>
          <w:ilvl w:val="0"/>
          <w:numId w:val="2"/>
        </w:numPr>
        <w:spacing w:after="60" w:before="60"/>
      </w:pPr>
      <w:r>
        <w:rPr>
          <w:rFonts w:ascii="Arial" w:cs="Arial" w:eastAsia="Arial" w:hAnsi="Arial"/>
          <w:color w:val="2C3E50"/>
          <w:sz w:val="22"/>
          <w:szCs w:val="22"/>
        </w:rPr>
        <w:t xml:space="preserve">BirdLife International (birdlife.org) – Kaiserpinguin</w:t>
      </w:r>
    </w:p>
    <w:p>
      <w:pPr>
        <w:pStyle w:val="ListParagraph"/>
        <w:numPr>
          <w:ilvl w:val="0"/>
          <w:numId w:val="2"/>
        </w:numPr>
        <w:spacing w:after="60" w:before="60"/>
      </w:pPr>
      <w:r>
        <w:rPr>
          <w:rFonts w:ascii="Arial" w:cs="Arial" w:eastAsia="Arial" w:hAnsi="Arial"/>
          <w:color w:val="2C3E50"/>
          <w:sz w:val="22"/>
          <w:szCs w:val="22"/>
        </w:rPr>
        <w:t xml:space="preserve">NOAA Fisheries (fisheries.noaa.gov) – Pazifischer Lachs</w:t>
      </w:r>
    </w:p>
    <w:p>
      <w:pPr>
        <w:spacing w:after="100" w:before="100"/>
      </w:pPr>
    </w:p>
    <w:p>
      <w:pPr>
        <w:spacing w:after="80" w:before="80"/>
      </w:pPr>
      <w:r>
        <w:rPr>
          <w:rFonts w:ascii="Arial" w:cs="Arial" w:eastAsia="Arial" w:hAnsi="Arial"/>
          <w:color w:val="2C3E50"/>
          <w:sz w:val="22"/>
          <w:szCs w:val="22"/>
        </w:rPr>
        <w:t xml:space="preserve">Folgende Tierarten wurden erfasst: Löwe, Elefant, Weißer Hai, Kaiserpinguin, Grüne Meeresschildkröte, Amurtiger, Gorilla, Polarfuchs, Pazifischer Lachs, Komododrache.</w:t>
      </w:r>
    </w:p>
    <w:p>
      <w:pPr>
        <w:spacing w:after="100" w:before="100"/>
      </w:pPr>
    </w:p>
    <w:p>
      <w:pPr>
        <w:pStyle w:val="Heading1"/>
        <w:spacing w:after="160" w:before="320"/>
      </w:pPr>
      <w:r>
        <w:rPr>
          <w:rFonts w:ascii="Arial" w:cs="Arial" w:eastAsia="Arial" w:hAnsi="Arial"/>
          <w:b/>
          <w:bCs/>
          <w:color w:val="1F4E79"/>
          <w:sz w:val="28"/>
          <w:szCs w:val="28"/>
        </w:rPr>
        <w:t xml:space="preserve">4.  Normalisierung und konzeptuelles Datenbankmodell</w:t>
      </w:r>
    </w:p>
    <w:p>
      <w:pPr>
        <w:pStyle w:val="Heading2"/>
        <w:spacing w:after="120" w:before="240"/>
      </w:pPr>
      <w:r>
        <w:rPr>
          <w:rFonts w:ascii="Arial" w:cs="Arial" w:eastAsia="Arial" w:hAnsi="Arial"/>
          <w:b/>
          <w:bCs/>
          <w:color w:val="1A5276"/>
          <w:sz w:val="24"/>
          <w:szCs w:val="24"/>
        </w:rPr>
        <w:t xml:space="preserve">4a. Normalisierung</w:t>
      </w:r>
    </w:p>
    <w:p>
      <w:pPr>
        <w:spacing w:after="80" w:before="80"/>
      </w:pPr>
      <w:r>
        <w:rPr>
          <w:rFonts w:ascii="Arial" w:cs="Arial" w:eastAsia="Arial" w:hAnsi="Arial"/>
          <w:color w:val="2C3E50"/>
          <w:sz w:val="22"/>
          <w:szCs w:val="22"/>
        </w:rPr>
        <w:t xml:space="preserve">Die Ausgangstabelle wurde schrittweise in die dritte Normalform (3NF) überführt. Die folgende Tabelle fasst die einzelnen Schritte zusammen:</w:t>
      </w:r>
    </w:p>
    <w:p>
      <w:pPr>
        <w:spacing w:after="10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Normalform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 in der Ausgangstabelle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Lösung / Ergebnis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1NF</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Alle Werte bereits atomar; keine Mehrfachwerte in Zellen</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Tabelle bereits in 1NF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2NF</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Tierklasse, Ernaehrung, Bedrohungsstatus nur vom Tier abhängig, nicht vom Lebensraum → partielle Abhängigkeit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Ausgelagert in Tabellen klasse, ernaehrung, bedrohung; FK in tierart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3NF</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Kontinent und Lebensraum hängen transitiv von Tier_ID über den Lebensraum ab</w:t>
            </w:r>
          </w:p>
        </w:tc>
        <w:tc>
          <w:tcPr>
            <w:tcW w:type="dxa" w:w="3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Kontinent in eigene Tabelle kontinent ausgelagert; FK Kontinent_ID in lebensraum</w:t>
            </w:r>
          </w:p>
        </w:tc>
      </w:tr>
    </w:tbl>
    <w:p>
      <w:pPr>
        <w:spacing w:after="100" w:before="100"/>
      </w:pPr>
    </w:p>
    <w:p>
      <w:pPr>
        <w:spacing w:after="80" w:before="80"/>
      </w:pPr>
      <w:r>
        <w:rPr>
          <w:rFonts w:ascii="Arial" w:cs="Arial" w:eastAsia="Arial" w:hAnsi="Arial"/>
          <w:color w:val="2C3E50"/>
          <w:sz w:val="22"/>
          <w:szCs w:val="22"/>
        </w:rPr>
        <w:t xml:space="preserve">Das Ergebnis sind sechs normalisierte Tabellen:</w:t>
      </w:r>
    </w:p>
    <w:p>
      <w:pPr>
        <w:pStyle w:val="ListParagraph"/>
        <w:numPr>
          <w:ilvl w:val="0"/>
          <w:numId w:val="2"/>
        </w:numPr>
        <w:spacing w:after="60" w:before="60"/>
      </w:pPr>
      <w:r>
        <w:rPr>
          <w:rFonts w:ascii="Arial" w:cs="Arial" w:eastAsia="Arial" w:hAnsi="Arial"/>
          <w:color w:val="2C3E50"/>
          <w:sz w:val="22"/>
          <w:szCs w:val="22"/>
        </w:rPr>
        <w:t xml:space="preserve">tierart – Zentrale Begriffstabelle mit mehrsprachigen Benennungen und FK-Verweisen</w:t>
      </w:r>
    </w:p>
    <w:p>
      <w:pPr>
        <w:pStyle w:val="ListParagraph"/>
        <w:numPr>
          <w:ilvl w:val="0"/>
          <w:numId w:val="2"/>
        </w:numPr>
        <w:spacing w:after="60" w:before="60"/>
      </w:pPr>
      <w:r>
        <w:rPr>
          <w:rFonts w:ascii="Arial" w:cs="Arial" w:eastAsia="Arial" w:hAnsi="Arial"/>
          <w:color w:val="2C3E50"/>
          <w:sz w:val="22"/>
          <w:szCs w:val="22"/>
        </w:rPr>
        <w:t xml:space="preserve">lebensraum – Habitat und Messdaten pro Tier</w:t>
      </w:r>
    </w:p>
    <w:p>
      <w:pPr>
        <w:pStyle w:val="ListParagraph"/>
        <w:numPr>
          <w:ilvl w:val="0"/>
          <w:numId w:val="2"/>
        </w:numPr>
        <w:spacing w:after="60" w:before="60"/>
      </w:pPr>
      <w:r>
        <w:rPr>
          <w:rFonts w:ascii="Arial" w:cs="Arial" w:eastAsia="Arial" w:hAnsi="Arial"/>
          <w:color w:val="2C3E50"/>
          <w:sz w:val="22"/>
          <w:szCs w:val="22"/>
        </w:rPr>
        <w:t xml:space="preserve">klasse – Lookup-Tabelle für biologische Klassen (mehrsprachig)</w:t>
      </w:r>
    </w:p>
    <w:p>
      <w:pPr>
        <w:pStyle w:val="ListParagraph"/>
        <w:numPr>
          <w:ilvl w:val="0"/>
          <w:numId w:val="2"/>
        </w:numPr>
        <w:spacing w:after="60" w:before="60"/>
      </w:pPr>
      <w:r>
        <w:rPr>
          <w:rFonts w:ascii="Arial" w:cs="Arial" w:eastAsia="Arial" w:hAnsi="Arial"/>
          <w:color w:val="2C3E50"/>
          <w:sz w:val="22"/>
          <w:szCs w:val="22"/>
        </w:rPr>
        <w:t xml:space="preserve">kontinent – Lookup-Tabelle für Kontinente (mehrsprachig)</w:t>
      </w:r>
    </w:p>
    <w:p>
      <w:pPr>
        <w:pStyle w:val="ListParagraph"/>
        <w:numPr>
          <w:ilvl w:val="0"/>
          <w:numId w:val="2"/>
        </w:numPr>
        <w:spacing w:after="60" w:before="60"/>
      </w:pPr>
      <w:r>
        <w:rPr>
          <w:rFonts w:ascii="Arial" w:cs="Arial" w:eastAsia="Arial" w:hAnsi="Arial"/>
          <w:color w:val="2C3E50"/>
          <w:sz w:val="22"/>
          <w:szCs w:val="22"/>
        </w:rPr>
        <w:t xml:space="preserve">ernaehrung – Lookup-Tabelle für Ernährungstypen (mehrsprachig)</w:t>
      </w:r>
    </w:p>
    <w:p>
      <w:pPr>
        <w:pStyle w:val="ListParagraph"/>
        <w:numPr>
          <w:ilvl w:val="0"/>
          <w:numId w:val="2"/>
        </w:numPr>
        <w:spacing w:after="60" w:before="60"/>
      </w:pPr>
      <w:r>
        <w:rPr>
          <w:rFonts w:ascii="Arial" w:cs="Arial" w:eastAsia="Arial" w:hAnsi="Arial"/>
          <w:color w:val="2C3E50"/>
          <w:sz w:val="22"/>
          <w:szCs w:val="22"/>
        </w:rPr>
        <w:t xml:space="preserve">bedrohung – IUCN-Bedrohungskategorien (mehrsprachig)</w:t>
      </w:r>
    </w:p>
    <w:p>
      <w:pPr>
        <w:spacing w:after="100" w:before="100"/>
      </w:pPr>
    </w:p>
    <w:p>
      <w:pPr>
        <w:pStyle w:val="Heading2"/>
        <w:spacing w:after="120" w:before="240"/>
      </w:pPr>
      <w:r>
        <w:rPr>
          <w:rFonts w:ascii="Arial" w:cs="Arial" w:eastAsia="Arial" w:hAnsi="Arial"/>
          <w:b/>
          <w:bCs/>
          <w:color w:val="1A5276"/>
          <w:sz w:val="24"/>
          <w:szCs w:val="24"/>
        </w:rPr>
        <w:t xml:space="preserve">4b. Konzeptuelles Datenbankmodell (UML)</w:t>
      </w:r>
    </w:p>
    <w:p>
      <w:pPr>
        <w:spacing w:after="80" w:before="80"/>
      </w:pPr>
      <w:r>
        <w:rPr>
          <w:rFonts w:ascii="Arial" w:cs="Arial" w:eastAsia="Arial" w:hAnsi="Arial"/>
          <w:color w:val="2C3E50"/>
          <w:sz w:val="22"/>
          <w:szCs w:val="22"/>
        </w:rPr>
        <w:t xml:space="preserve">Die folgende Tabelle zeigt die Schlüsselbeziehungen zwischen den Tabellen (vereinfachtes UML-ähnliches Beziehungsdiagramm):</w:t>
      </w:r>
    </w:p>
    <w:p>
      <w:pPr>
        <w:spacing w:after="10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Primärschlüssel (PK)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Fremdschlüssel (FK)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Beziehung</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tierart</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Tier_ID</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Klasse_ID, Ernaehrung_ID, Bedrohungs_ID</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Zentrale Tabelle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lebensraum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Lebensraum_ID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Tier_ID, Kontinent_ID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1:1 zu tierart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klasse</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Klasse_ID</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1:n zu tierart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kontinent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Kontinent_ID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1:n zu lebensraum</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ernaehrung</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Ernaehrung_ID</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3E50"/>
                <w:sz w:val="20"/>
                <w:szCs w:val="20"/>
              </w:rPr>
              <w:t xml:space="preserve">1:n zu tierart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bedrohung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Bedrohungs_ID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1:n zu tierart</w:t>
            </w:r>
          </w:p>
        </w:tc>
      </w:tr>
    </w:tbl>
    <w:p>
      <w:pPr>
        <w:spacing w:after="100" w:before="100"/>
      </w:pPr>
    </w:p>
    <w:p>
      <w:pPr>
        <w:spacing w:after="80" w:before="80"/>
      </w:pPr>
      <w:r>
        <w:rPr>
          <w:rFonts w:ascii="Arial" w:cs="Arial" w:eastAsia="Arial" w:hAnsi="Arial"/>
          <w:b/>
          <w:bCs/>
          <w:color w:val="555555"/>
          <w:sz w:val="20"/>
          <w:szCs w:val="20"/>
        </w:rPr>
        <w:t xml:space="preserve">Legende: </w:t>
      </w:r>
      <w:r>
        <w:rPr>
          <w:rFonts w:ascii="Arial" w:cs="Arial" w:eastAsia="Arial" w:hAnsi="Arial"/>
          <w:color w:val="555555"/>
          <w:sz w:val="20"/>
          <w:szCs w:val="20"/>
        </w:rPr>
        <w:t xml:space="preserve">PK = Primärschlüssel (eindeutige Identifikation eines Datensatzes)  |  FK = Fremdschlüssel (Verweis auf PK einer anderen Tabelle)  |  1:n = Eine Klasse/Kategorie → viele Tierarten</w:t>
      </w:r>
    </w:p>
    <w:p>
      <w:pPr>
        <w:spacing w:after="100" w:before="100"/>
      </w:pPr>
    </w:p>
    <w:p>
      <w:pPr>
        <w:pStyle w:val="Heading1"/>
        <w:spacing w:after="160" w:before="320"/>
      </w:pPr>
      <w:r>
        <w:rPr>
          <w:rFonts w:ascii="Arial" w:cs="Arial" w:eastAsia="Arial" w:hAnsi="Arial"/>
          <w:b/>
          <w:bCs/>
          <w:color w:val="1F4E79"/>
          <w:sz w:val="28"/>
          <w:szCs w:val="28"/>
        </w:rPr>
        <w:t xml:space="preserve">5.  CSV-Konvertierung</w:t>
      </w:r>
    </w:p>
    <w:p>
      <w:pPr>
        <w:spacing w:after="80" w:before="80"/>
      </w:pPr>
      <w:r>
        <w:rPr>
          <w:rFonts w:ascii="Arial" w:cs="Arial" w:eastAsia="Arial" w:hAnsi="Arial"/>
          <w:color w:val="2C3E50"/>
          <w:sz w:val="22"/>
          <w:szCs w:val="22"/>
        </w:rPr>
        <w:t xml:space="preserve">Jede der sechs normalisierten Tabellen wurde als separate CSV-Datei (UTF-8, Komma-getrennt) exportiert:</w:t>
      </w:r>
    </w:p>
    <w:p>
      <w:pPr>
        <w:pStyle w:val="ListParagraph"/>
        <w:numPr>
          <w:ilvl w:val="0"/>
          <w:numId w:val="2"/>
        </w:numPr>
        <w:spacing w:after="60" w:before="60"/>
      </w:pPr>
      <w:r>
        <w:rPr>
          <w:rFonts w:ascii="Arial" w:cs="Arial" w:eastAsia="Arial" w:hAnsi="Arial"/>
          <w:color w:val="2C3E50"/>
          <w:sz w:val="22"/>
          <w:szCs w:val="22"/>
        </w:rPr>
        <w:t xml:space="preserve">tierart.csv</w:t>
      </w:r>
    </w:p>
    <w:p>
      <w:pPr>
        <w:pStyle w:val="ListParagraph"/>
        <w:numPr>
          <w:ilvl w:val="0"/>
          <w:numId w:val="2"/>
        </w:numPr>
        <w:spacing w:after="60" w:before="60"/>
      </w:pPr>
      <w:r>
        <w:rPr>
          <w:rFonts w:ascii="Arial" w:cs="Arial" w:eastAsia="Arial" w:hAnsi="Arial"/>
          <w:color w:val="2C3E50"/>
          <w:sz w:val="22"/>
          <w:szCs w:val="22"/>
        </w:rPr>
        <w:t xml:space="preserve">lebensraum.csv</w:t>
      </w:r>
    </w:p>
    <w:p>
      <w:pPr>
        <w:pStyle w:val="ListParagraph"/>
        <w:numPr>
          <w:ilvl w:val="0"/>
          <w:numId w:val="2"/>
        </w:numPr>
        <w:spacing w:after="60" w:before="60"/>
      </w:pPr>
      <w:r>
        <w:rPr>
          <w:rFonts w:ascii="Arial" w:cs="Arial" w:eastAsia="Arial" w:hAnsi="Arial"/>
          <w:color w:val="2C3E50"/>
          <w:sz w:val="22"/>
          <w:szCs w:val="22"/>
        </w:rPr>
        <w:t xml:space="preserve">klasse.csv</w:t>
      </w:r>
    </w:p>
    <w:p>
      <w:pPr>
        <w:pStyle w:val="ListParagraph"/>
        <w:numPr>
          <w:ilvl w:val="0"/>
          <w:numId w:val="2"/>
        </w:numPr>
        <w:spacing w:after="60" w:before="60"/>
      </w:pPr>
      <w:r>
        <w:rPr>
          <w:rFonts w:ascii="Arial" w:cs="Arial" w:eastAsia="Arial" w:hAnsi="Arial"/>
          <w:color w:val="2C3E50"/>
          <w:sz w:val="22"/>
          <w:szCs w:val="22"/>
        </w:rPr>
        <w:t xml:space="preserve">kontinent.csv</w:t>
      </w:r>
    </w:p>
    <w:p>
      <w:pPr>
        <w:pStyle w:val="ListParagraph"/>
        <w:numPr>
          <w:ilvl w:val="0"/>
          <w:numId w:val="2"/>
        </w:numPr>
        <w:spacing w:after="60" w:before="60"/>
      </w:pPr>
      <w:r>
        <w:rPr>
          <w:rFonts w:ascii="Arial" w:cs="Arial" w:eastAsia="Arial" w:hAnsi="Arial"/>
          <w:color w:val="2C3E50"/>
          <w:sz w:val="22"/>
          <w:szCs w:val="22"/>
        </w:rPr>
        <w:t xml:space="preserve">ernaehrung.csv</w:t>
      </w:r>
    </w:p>
    <w:p>
      <w:pPr>
        <w:pStyle w:val="ListParagraph"/>
        <w:numPr>
          <w:ilvl w:val="0"/>
          <w:numId w:val="2"/>
        </w:numPr>
        <w:spacing w:after="60" w:before="60"/>
      </w:pPr>
      <w:r>
        <w:rPr>
          <w:rFonts w:ascii="Arial" w:cs="Arial" w:eastAsia="Arial" w:hAnsi="Arial"/>
          <w:color w:val="2C3E50"/>
          <w:sz w:val="22"/>
          <w:szCs w:val="22"/>
        </w:rPr>
        <w:t xml:space="preserve">bedrohung.csv</w:t>
      </w:r>
    </w:p>
    <w:p>
      <w:pPr>
        <w:spacing w:after="100" w:before="100"/>
      </w:pPr>
    </w:p>
    <w:p>
      <w:pPr>
        <w:spacing w:after="80" w:before="80"/>
      </w:pPr>
      <w:r>
        <w:rPr>
          <w:rFonts w:ascii="Arial" w:cs="Arial" w:eastAsia="Arial" w:hAnsi="Arial"/>
          <w:color w:val="2C3E50"/>
          <w:sz w:val="22"/>
          <w:szCs w:val="22"/>
        </w:rPr>
        <w:t xml:space="preserve">Die Primär- und Fremdschlüssel sind in jeder CSV-Datei in den Spaltenköpfen angegeben. Primärschlüssel sind als *_ID in der ersten Spalte erkennbar.</w:t>
      </w:r>
    </w:p>
    <w:p>
      <w:pPr>
        <w:spacing w:after="100" w:before="100"/>
      </w:pPr>
    </w:p>
    <w:p>
      <w:pPr>
        <w:pStyle w:val="Heading1"/>
        <w:spacing w:after="160" w:before="320"/>
      </w:pPr>
      <w:r>
        <w:rPr>
          <w:rFonts w:ascii="Arial" w:cs="Arial" w:eastAsia="Arial" w:hAnsi="Arial"/>
          <w:b/>
          <w:bCs/>
          <w:color w:val="1F4E79"/>
          <w:sz w:val="28"/>
          <w:szCs w:val="28"/>
        </w:rPr>
        <w:t xml:space="preserve">6. &amp; 7.  XAMPP – Datenbank anlegen und SQL-Export</w:t>
      </w:r>
    </w:p>
    <w:p>
      <w:pPr>
        <w:pStyle w:val="Heading2"/>
        <w:spacing w:after="120" w:before="240"/>
      </w:pPr>
      <w:r>
        <w:rPr>
          <w:rFonts w:ascii="Arial" w:cs="Arial" w:eastAsia="Arial" w:hAnsi="Arial"/>
          <w:b/>
          <w:bCs/>
          <w:color w:val="1A5276"/>
          <w:sz w:val="24"/>
          <w:szCs w:val="24"/>
        </w:rPr>
        <w:t xml:space="preserve">Schritt 6 – Datenbank und Tabellen anlegen</w:t>
      </w:r>
    </w:p>
    <w:p>
      <w:pPr>
        <w:spacing w:after="80" w:before="80"/>
      </w:pPr>
      <w:r>
        <w:rPr>
          <w:rFonts w:ascii="Arial" w:cs="Arial" w:eastAsia="Arial" w:hAnsi="Arial"/>
          <w:color w:val="2C3E50"/>
          <w:sz w:val="22"/>
          <w:szCs w:val="22"/>
        </w:rPr>
        <w:t xml:space="preserve">In phpMyAdmin (XAMPP) wurde die Datenbank tdb_tiere angelegt. Die CSV-Dateien wurden über den Import-Dialog hochgeladen. Folgende Anpassungen wurden vorgenommen:</w:t>
      </w:r>
    </w:p>
    <w:p>
      <w:pPr>
        <w:pStyle w:val="ListParagraph"/>
        <w:numPr>
          <w:ilvl w:val="0"/>
          <w:numId w:val="2"/>
        </w:numPr>
        <w:spacing w:after="60" w:before="60"/>
      </w:pPr>
      <w:r>
        <w:rPr>
          <w:rFonts w:ascii="Arial" w:cs="Arial" w:eastAsia="Arial" w:hAnsi="Arial"/>
          <w:color w:val="2C3E50"/>
          <w:sz w:val="22"/>
          <w:szCs w:val="22"/>
        </w:rPr>
        <w:t xml:space="preserve">Datentypen: Tier_ID, Klasse_ID etc. → INT; Namen → VARCHAR(100); Gewicht → DECIMAL(8,1)</w:t>
      </w:r>
    </w:p>
    <w:p>
      <w:pPr>
        <w:pStyle w:val="ListParagraph"/>
        <w:numPr>
          <w:ilvl w:val="0"/>
          <w:numId w:val="2"/>
        </w:numPr>
        <w:spacing w:after="60" w:before="60"/>
      </w:pPr>
      <w:r>
        <w:rPr>
          <w:rFonts w:ascii="Arial" w:cs="Arial" w:eastAsia="Arial" w:hAnsi="Arial"/>
          <w:color w:val="2C3E50"/>
          <w:sz w:val="22"/>
          <w:szCs w:val="22"/>
        </w:rPr>
        <w:t xml:space="preserve">Zeichensatz: utf8 / utf8_general_ci (Standard-Zeichensatz des phpMyAdmin-Exports; Umlaute und Sonderzeichen werden korrekt gespeichert)</w:t>
      </w:r>
    </w:p>
    <w:p>
      <w:pPr>
        <w:pStyle w:val="ListParagraph"/>
        <w:numPr>
          <w:ilvl w:val="0"/>
          <w:numId w:val="2"/>
        </w:numPr>
        <w:spacing w:after="60" w:before="60"/>
      </w:pPr>
      <w:r>
        <w:rPr>
          <w:rFonts w:ascii="Arial" w:cs="Arial" w:eastAsia="Arial" w:hAnsi="Arial"/>
          <w:color w:val="2C3E50"/>
          <w:sz w:val="22"/>
          <w:szCs w:val="22"/>
        </w:rPr>
        <w:t xml:space="preserve">Primärschlüssel: ID-Spalten als NOT NULL INT definiert; PRIMARY KEY für alle Tabellen über ALTER TABLE gesetzt</w:t>
      </w:r>
    </w:p>
    <w:p>
      <w:pPr>
        <w:pStyle w:val="ListParagraph"/>
        <w:numPr>
          <w:ilvl w:val="0"/>
          <w:numId w:val="2"/>
        </w:numPr>
        <w:spacing w:after="60" w:before="60"/>
      </w:pPr>
      <w:r>
        <w:rPr>
          <w:rFonts w:ascii="Arial" w:cs="Arial" w:eastAsia="Arial" w:hAnsi="Arial"/>
          <w:color w:val="2C3E50"/>
          <w:sz w:val="22"/>
          <w:szCs w:val="22"/>
        </w:rPr>
        <w:t xml:space="preserve">Fremdschlüssel: Constraints mit InnoDB-Engine gesetzt</w:t>
      </w:r>
    </w:p>
    <w:p>
      <w:pPr>
        <w:spacing w:after="100" w:before="100"/>
      </w:pPr>
    </w:p>
    <w:p>
      <w:pPr>
        <w:pStyle w:val="Heading2"/>
        <w:spacing w:after="120" w:before="240"/>
      </w:pPr>
      <w:r>
        <w:rPr>
          <w:rFonts w:ascii="Arial" w:cs="Arial" w:eastAsia="Arial" w:hAnsi="Arial"/>
          <w:b/>
          <w:bCs/>
          <w:color w:val="1A5276"/>
          <w:sz w:val="24"/>
          <w:szCs w:val="24"/>
        </w:rPr>
        <w:t xml:space="preserve">Schritt 7 – SQL-Export</w:t>
      </w:r>
    </w:p>
    <w:p>
      <w:pPr>
        <w:spacing w:after="80" w:before="80"/>
      </w:pPr>
      <w:r>
        <w:rPr>
          <w:rFonts w:ascii="Arial" w:cs="Arial" w:eastAsia="Arial" w:hAnsi="Arial"/>
          <w:color w:val="2C3E50"/>
          <w:sz w:val="22"/>
          <w:szCs w:val="22"/>
        </w:rPr>
        <w:t xml:space="preserve">Die Datenbank wurde über phpMyAdmin im SQL-Format exportiert. Die Datei tdb_tiere.sql enthält alle CREATE TABLE-Anweisungen, Constraint-Definitionen sowie die INSERT-Statements mit allen 10 Datensätzen.</w:t>
      </w:r>
    </w:p>
    <w:p>
      <w:pPr>
        <w:spacing w:after="100" w:before="100"/>
      </w:pPr>
    </w:p>
    <w:p>
      <w:pPr>
        <w:pBdr>
          <w:bottom w:val="single" w:color="1F4E79" w:sz="6" w:space="1"/>
        </w:pBdr>
        <w:spacing w:after="120" w:before="120"/>
      </w:pPr>
    </w:p>
    <w:p>
      <w:pPr>
        <w:spacing w:after="100" w:before="100"/>
      </w:pPr>
    </w:p>
    <w:p>
      <w:pPr>
        <w:pStyle w:val="Heading1"/>
        <w:spacing w:after="160" w:before="320"/>
      </w:pPr>
      <w:r>
        <w:rPr>
          <w:rFonts w:ascii="Arial" w:cs="Arial" w:eastAsia="Arial" w:hAnsi="Arial"/>
          <w:b/>
          <w:bCs/>
          <w:color w:val="1F4E79"/>
          <w:sz w:val="28"/>
          <w:szCs w:val="28"/>
        </w:rPr>
        <w:t xml:space="preserve">Reflexion</w:t>
      </w:r>
    </w:p>
    <w:p>
      <w:pPr>
        <w:spacing w:after="80" w:before="80"/>
      </w:pPr>
      <w:r>
        <w:rPr>
          <w:rFonts w:ascii="Arial" w:cs="Arial" w:eastAsia="Arial" w:hAnsi="Arial"/>
          <w:color w:val="2C3E50"/>
          <w:sz w:val="22"/>
          <w:szCs w:val="22"/>
        </w:rPr>
        <w:t xml:space="preserve">Die Modellierung einer mehrsprachigen terminologischen Datenbank machte deutlich, dass eine sorgfältige Normalisierung die Datenkonsistenz wesentlich verbessert. Durch das Auslagern von Lookup-Werten (Klasse, Ernährung, Bedrohungsstatus, Kontinent) in eigene Tabellen werden Redundanzen vermieden und Aktualisierungen vereinfacht: Ändert sich z.B. die IUCN-Kategorie eines Tieres, genügt eine einzige Änderung in der Tabelle bedrohung.</w:t>
      </w:r>
    </w:p>
    <w:p>
      <w:pPr>
        <w:spacing w:after="100" w:before="100"/>
      </w:pPr>
    </w:p>
    <w:p>
      <w:pPr>
        <w:spacing w:after="80" w:before="80"/>
      </w:pPr>
      <w:r>
        <w:rPr>
          <w:rFonts w:ascii="Arial" w:cs="Arial" w:eastAsia="Arial" w:hAnsi="Arial"/>
          <w:color w:val="2C3E50"/>
          <w:sz w:val="22"/>
          <w:szCs w:val="22"/>
        </w:rPr>
        <w:t xml:space="preserve">Der Prozess zeigte außerdem, dass der Übergang von der Ausgangstabelle zur 3NF mehrere bewusste Entscheidungen erfordert. Besonders die Unterscheidung zwischen partieller Abhängigkeit (2NF) und transitiver Abhängigkeit (3NF) war zunächst nicht intuitiv: So war z.B. nicht sofort klar, ob der Kontinent direkt vom Tier oder vom Lebensraum abhängt. Die Entscheidung, Kontinent in eine eigene Tabelle auszulagern und über Kontinent_ID in lebensraum zu verknüpfen, ergab sich erst durch genaue Analyse der Abhängigkeitsketten.</w:t>
      </w:r>
    </w:p>
    <w:p>
      <w:pPr>
        <w:spacing w:before="80" w:after="80"/>
      </w:pPr>
      <w:r>
        <w:rPr>
          <w:rFonts w:ascii="Arial" w:cs="Arial" w:eastAsia="Arial" w:hAnsi="Arial"/>
          <w:color w:val="2C3E50"/>
          <w:sz w:val="22"/>
          <w:szCs w:val="22"/>
        </w:rPr>
        <w:t xml:space="preserve">Beim praktischen Arbeiten mit XAMPP und phpMyAdmin traten einige technische Schwierigkeiten auf, die im theoretischen Teil nicht vorhersehbar waren. Beim Import der CSV-Dateien übernahm phpMyAdmin die Spaltenköpfe als erste Datenzeile (ID=0), was nachträglich manuell bereinigt werden musste. Außerdem wurde der Datenbankname beim ersten Versuch als tdb_tiere.sql gespeichert, da der Dateiname direkt übernommen wurde – die Datenbank musste daraufhin neu angelegt und korrekt benannt werden. Solche praktischen Probleme verdeutlichen, dass der Umgang mit Datenbanksoftware eigene Kompetenzen erfordert, die über das reine Datenbankdesign hinausgehen.</w:t>
      </w:r>
    </w:p>
    <w:p>
      <w:pPr>
        <w:spacing w:before="80" w:after="80"/>
      </w:pPr>
      <w:r>
        <w:rPr>
          <w:rFonts w:ascii="Arial" w:cs="Arial" w:eastAsia="Arial" w:hAnsi="Arial"/>
          <w:color w:val="2C3E50"/>
          <w:sz w:val="22"/>
          <w:szCs w:val="22"/>
        </w:rPr>
        <w:t xml:space="preserve">Rückblickend war die Wahl des Themas Tierarten besonders geeignet für eine mehrsprachige terminologische Datenbank, da die Fachbegriffe in verschiedenen Sprachen stark variieren (z.B. Löwe / Lion / Lion / Panthera leo) und der wissenschaftliche lateinische Name als eindeutiger sprachübergreifender Identifikator fungiert – ähnlich wie ein natürlicher Primärschlüssel. Dies entspricht dem Grundprinzip terminologischer Datenbanken, bei denen nicht das Wort, sondern der Begriff im Mittelpunkt steht. Die Aufgabe hat insgesamt ein tieferes Verständnis sowohl für die relationale Datenbankmodellierung als auch für die besonderen Anforderungen mehrsprachiger Terminologiearbeit vermittelt.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EMLex A3 – TDB Tiere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2026-06-10T23:12:35.313Z</dcterms:created>
  <dcterms:modified xsi:type="dcterms:W3CDTF">2026-06-10T23:12:35.313Z</dcterms:modified>
</cp:coreProperties>
</file>

<file path=docProps/custom.xml><?xml version="1.0" encoding="utf-8"?>
<Properties xmlns="http://schemas.openxmlformats.org/officeDocument/2006/custom-properties" xmlns:vt="http://schemas.openxmlformats.org/officeDocument/2006/docPropsVTypes"/>
</file>