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666666"/>
          <w:sz w:val="20"/>
        </w:rPr>
        <w:t>COMPONENT-LEVEL DESIGN DOCUMENT</w:t>
      </w:r>
    </w:p>
    <w:p>
      <w:pPr>
        <w:jc w:val="center"/>
      </w:pPr>
      <w:r>
        <w:rPr>
          <w:rFonts w:ascii="Calibri" w:hAnsi="Calibri"/>
          <w:b/>
          <w:color w:val="0F2A1F"/>
          <w:sz w:val="50"/>
        </w:rPr>
        <w:t>Prometheus Financial Core — Loan Ledger Edition</w:t>
      </w:r>
    </w:p>
    <w:p>
      <w:pPr>
        <w:jc w:val="center"/>
      </w:pPr>
      <w:r>
        <w:rPr>
          <w:rFonts w:ascii="Calibri" w:hAnsi="Calibri"/>
          <w:color w:val="1F4A35"/>
          <w:sz w:val="28"/>
        </w:rPr>
        <w:t>Component-Level Design Document</w:t>
      </w:r>
    </w:p>
    <w:p/>
    <w:p/>
    <w:p/>
    <w:p>
      <w:pPr>
        <w:jc w:val="center"/>
      </w:pPr>
      <w:r>
        <w:rPr>
          <w:rFonts w:ascii="Calibri" w:hAnsi="Calibri"/>
          <w:color w:val="666666"/>
          <w:sz w:val="20"/>
        </w:rPr>
        <w:t>Prepared by: Ledger &amp; Solution Architect Agent</w:t>
        <w:br/>
        <w:t>Date: August 16, 2026</w:t>
        <w:br/>
        <w:t>Version: 1.0 (Draft)</w:t>
        <w:br/>
        <w:t>Inputs: 8 approved epics / 61 REQ-IDs from the Loan Ledger BRD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7776"/>
            <w:shd w:val="clear" w:color="auto" w:fill="FBF1F1"/>
          </w:tcPr>
          <w:p>
            <w:r>
              <w:rPr>
                <w:rFonts w:ascii="Calibri" w:hAnsi="Calibri"/>
                <w:b/>
                <w:color w:val="7A1F1F"/>
                <w:sz w:val="19"/>
              </w:rPr>
              <w:t>Status: Design Scaffold, Not Implementation-Ready.</w:t>
              <w:br/>
            </w:r>
            <w:r>
              <w:rPr>
                <w:rFonts w:ascii="Calibri" w:hAnsi="Calibri"/>
                <w:color w:val="7A1F1F"/>
                <w:sz w:val="19"/>
              </w:rPr>
              <w:t>This document translates the approved BRD requirements into module ownership, interaction sequences, spec/event/flag inventories, and NFR notes. No external “Sections 4-8” architecture document was supplied — the constraints listed inside serve as the governing reference. Full OpenAPI 3.1 / AsyncAPI 2.6 contracts still need to be authored per the spec-file list in each section before implementation begins.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Architecture Context &amp; Conventions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Modules</w:t>
      </w:r>
    </w:p>
    <w:p>
      <w:pPr>
        <w:pStyle w:val="ListBullet"/>
      </w:pPr>
      <w:r>
        <w:rPr>
          <w:b/>
          <w:sz w:val="20"/>
        </w:rPr>
        <w:t xml:space="preserve">PTY — </w:t>
      </w:r>
      <w:r>
        <w:rPr>
          <w:sz w:val="20"/>
        </w:rPr>
        <w:t>Party/CIF</w:t>
      </w:r>
    </w:p>
    <w:p>
      <w:pPr>
        <w:pStyle w:val="ListBullet"/>
      </w:pPr>
      <w:r>
        <w:rPr>
          <w:b/>
          <w:sz w:val="20"/>
        </w:rPr>
        <w:t xml:space="preserve">CRM — </w:t>
      </w:r>
      <w:r>
        <w:rPr>
          <w:sz w:val="20"/>
        </w:rPr>
        <w:t>CRM</w:t>
      </w:r>
    </w:p>
    <w:p>
      <w:pPr>
        <w:pStyle w:val="ListBullet"/>
      </w:pPr>
      <w:r>
        <w:rPr>
          <w:b/>
          <w:sz w:val="20"/>
        </w:rPr>
        <w:t xml:space="preserve">GL — </w:t>
      </w:r>
      <w:r>
        <w:rPr>
          <w:sz w:val="20"/>
        </w:rPr>
        <w:t>General Ledger &amp; Posting Engine</w:t>
      </w:r>
    </w:p>
    <w:p>
      <w:pPr>
        <w:pStyle w:val="ListBullet"/>
      </w:pPr>
      <w:r>
        <w:rPr>
          <w:b/>
          <w:sz w:val="20"/>
        </w:rPr>
        <w:t xml:space="preserve">LAS — </w:t>
      </w:r>
      <w:r>
        <w:rPr>
          <w:sz w:val="20"/>
        </w:rPr>
        <w:t>Loan Account Subledger</w:t>
      </w:r>
    </w:p>
    <w:p>
      <w:pPr>
        <w:pStyle w:val="ListBullet"/>
      </w:pPr>
      <w:r>
        <w:rPr>
          <w:b/>
          <w:sz w:val="20"/>
        </w:rPr>
        <w:t xml:space="preserve">PAY — </w:t>
      </w:r>
      <w:r>
        <w:rPr>
          <w:sz w:val="20"/>
        </w:rPr>
        <w:t>Payment Execution</w:t>
      </w:r>
    </w:p>
    <w:p>
      <w:pPr>
        <w:pStyle w:val="ListBullet"/>
      </w:pPr>
      <w:r>
        <w:rPr>
          <w:b/>
          <w:sz w:val="20"/>
        </w:rPr>
        <w:t xml:space="preserve">BEOD — </w:t>
      </w:r>
      <w:r>
        <w:rPr>
          <w:sz w:val="20"/>
        </w:rPr>
        <w:t>Batch/EOD &amp; Reconciliation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Non-Negotiable Constraints</w:t>
      </w:r>
    </w:p>
    <w:p>
      <w:pPr>
        <w:pStyle w:val="ListBullet"/>
      </w:pPr>
      <w:r>
        <w:t>Each module owns its own data store; cross-module reads use published domain events or a synchronous OpenAPI call to the owning module — never direct database access.</w:t>
      </w:r>
    </w:p>
    <w:p>
      <w:pPr>
        <w:pStyle w:val="ListBullet"/>
      </w:pPr>
      <w:r>
        <w:t>CRM has no path into the Posting Engine at all. If a design routes a CRM capability through GL, that is a design error, not a shortcut.</w:t>
      </w:r>
    </w:p>
    <w:p>
      <w:pPr>
        <w:pStyle w:val="ListBullet"/>
      </w:pPr>
      <w:r>
        <w:t>The General Ledger &amp; Posting Engine is the ONLY component permitted to write a JournalEntry. No other module may propose a balance mutation that bypasses it.</w:t>
      </w:r>
    </w:p>
    <w:p>
      <w:pPr>
        <w:pStyle w:val="ListBullet"/>
      </w:pPr>
      <w:r>
        <w:t>Every JournalEntry is balanced (debits = credits), atomic, immutable, and idempotent (keyed on sourceEventId). There is no update or delete path.</w:t>
      </w:r>
    </w:p>
    <w:p>
      <w:pPr>
        <w:pStyle w:val="ListBullet"/>
      </w:pPr>
      <w:r>
        <w:t>Every synchronous interface is an OpenAPI 3.1 contract; every asynchronous interface is an AsyncAPI 2.6 contract, before implementation.</w:t>
      </w:r>
    </w:p>
    <w:p>
      <w:pPr>
        <w:pStyle w:val="ListBullet"/>
      </w:pPr>
      <w:r>
        <w:t>Every capability affecting money movement is gated by a feature flag via FeatureFlagClient, with both an engineering owner and a finance/risk owner named.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Shared Conventions Used Throughout</w:t>
      </w:r>
    </w:p>
    <w:p>
      <w:pPr>
        <w:pStyle w:val="ListBullet"/>
      </w:pPr>
      <w:r>
        <w:t>GL exposes one generic endpoint, POST /journal-entries (idempotent on sourceEventId), extended per epic with new posting-rule codes (PR-&lt;EPIC&gt;-&lt;NN&gt;) — never a bespoke posting endpoint per epic.</w:t>
      </w:r>
    </w:p>
    <w:p>
      <w:pPr>
        <w:pStyle w:val="ListBullet"/>
      </w:pPr>
      <w:r>
        <w:t>Spec files live under /specs/openapi/*.yaml (sync) and /specs/asyncapi/*.yaml (async).</w:t>
      </w:r>
    </w:p>
    <w:p>
      <w:pPr>
        <w:pStyle w:val="ListBullet"/>
      </w:pPr>
      <w:r>
        <w:t>Cross-module reads are either a synchronous OpenAPI call to the owning module, or a subscription to that module's published event — never a direct database read.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Document Coverage</w:t>
      </w:r>
    </w:p>
    <w:p>
      <w:pPr>
        <w:spacing w:after="120"/>
      </w:pPr>
      <w:r>
        <w:rPr>
          <w:rFonts w:ascii="Georgia" w:hAnsi="Georgia"/>
          <w:b w:val="0"/>
          <w:i w:val="0"/>
          <w:sz w:val="20"/>
        </w:rPr>
        <w:t>8 design notes · 46 interaction-sequence steps · 11 new posting rules · 24 spec-file changes · 17 domain events · 11 feature flags.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Table of Contents</w:t>
      </w:r>
    </w:p>
    <w:p>
      <w:pPr>
        <w:pStyle w:val="ListNumber"/>
      </w:pPr>
      <w:r>
        <w:t>1. Loan Account Booking  [CB-BOOK]</w:t>
      </w:r>
    </w:p>
    <w:p>
      <w:pPr>
        <w:pStyle w:val="ListNumber"/>
      </w:pPr>
      <w:r>
        <w:t>2. Loan Disbursement Processing  [CB-DISB]</w:t>
      </w:r>
    </w:p>
    <w:p>
      <w:pPr>
        <w:pStyle w:val="ListNumber"/>
      </w:pPr>
      <w:r>
        <w:t>3. Daily Interest Accrual  [CB-ACCR]</w:t>
      </w:r>
    </w:p>
    <w:p>
      <w:pPr>
        <w:pStyle w:val="ListNumber"/>
      </w:pPr>
      <w:r>
        <w:t>4. Loan Repayment Processing  [CB-REPAY]</w:t>
      </w:r>
    </w:p>
    <w:p>
      <w:pPr>
        <w:pStyle w:val="ListNumber"/>
      </w:pPr>
      <w:r>
        <w:t>5. Delinquency &amp; Past-Due Fee Assessment  [CB-DELINQ]</w:t>
      </w:r>
    </w:p>
    <w:p>
      <w:pPr>
        <w:pStyle w:val="ListNumber"/>
      </w:pPr>
      <w:r>
        <w:t>6. Early Settlement / Loan Payoff  [CB-PAYOFF]</w:t>
      </w:r>
    </w:p>
    <w:p>
      <w:pPr>
        <w:pStyle w:val="ListNumber"/>
      </w:pPr>
      <w:r>
        <w:t>7. Loan Charge-off &amp; Write-off  [CB-CHARGEOFF]</w:t>
      </w:r>
    </w:p>
    <w:p>
      <w:pPr>
        <w:pStyle w:val="ListNumber"/>
      </w:pPr>
      <w:r>
        <w:t>8. Loan Modification (Rate/Term Change)  [CB-MOD]</w:t>
      </w:r>
    </w:p>
    <w:p>
      <w:pPr>
        <w:pStyle w:val="ListBullet"/>
      </w:pPr>
      <w:r>
        <w:t>Appendix A — Cross-Epic Dependency Note</w:t>
      </w:r>
    </w:p>
    <w:p>
      <w:pPr>
        <w:pStyle w:val="ListBullet"/>
      </w:pPr>
      <w:r>
        <w:t>Appendix B — Consolidated Posting-Rule Catalog</w:t>
      </w:r>
    </w:p>
    <w:p>
      <w:pPr>
        <w:pStyle w:val="ListBullet"/>
      </w:pPr>
      <w:r>
        <w:t>Appendix C — Consolidated Domain Event Catalog</w:t>
      </w:r>
    </w:p>
    <w:p>
      <w:pPr>
        <w:pStyle w:val="ListBullet"/>
      </w:pPr>
      <w:r>
        <w:t>Appendix D — Consolidated Feature Flag Registry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1. Loan Account Booking  [CB-BOOK]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 xml:space="preserve">LAS owns account creation and the term-version store. PTY is queried synchronously for party validation (not read directly). CRM and BEOD are event subscribers only. </w:t>
      </w:r>
      <w:r>
        <w:rPr>
          <w:rFonts w:ascii="Georgia" w:hAnsi="Georgia"/>
          <w:b/>
          <w:sz w:val="20"/>
        </w:rPr>
        <w:t>GL is not invoked</w:t>
      </w:r>
      <w:r>
        <w:rPr>
          <w:rFonts w:ascii="Georgia" w:hAnsi="Georgia"/>
          <w:sz w:val="20"/>
        </w:rPr>
        <w:t xml:space="preserve"> — booking is intentionally a zero-posting epic.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Georgia" w:hAnsi="Georgia"/>
          <w:sz w:val="19"/>
        </w:rPr>
        <w:t xml:space="preserve">Origination system calls </w:t>
      </w:r>
      <w:r>
        <w:rPr>
          <w:rFonts w:ascii="Consolas" w:hAnsi="Consolas"/>
          <w:color w:val="0F2A1F"/>
          <w:sz w:val="18"/>
        </w:rPr>
        <w:t>LAS: POST /loan-accounts:book</w:t>
      </w:r>
      <w:r>
        <w:rPr>
          <w:rFonts w:ascii="Georgia" w:hAnsi="Georgia"/>
          <w:sz w:val="19"/>
        </w:rPr>
        <w:t xml:space="preserve"> (idempotent on </w:t>
      </w:r>
      <w:r>
        <w:rPr>
          <w:rFonts w:ascii="Consolas" w:hAnsi="Consolas"/>
          <w:color w:val="0F2A1F"/>
          <w:sz w:val="18"/>
        </w:rPr>
        <w:t>approvalReferenceId</w:t>
      </w:r>
      <w:r>
        <w:rPr>
          <w:rFonts w:ascii="Georgia" w:hAnsi="Georgia"/>
          <w:sz w:val="19"/>
        </w:rPr>
        <w:t>) — REQ-BOOK-001, 004.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synchronously calls </w:t>
      </w:r>
      <w:r>
        <w:rPr>
          <w:rFonts w:ascii="Consolas" w:hAnsi="Consolas"/>
          <w:color w:val="0F2A1F"/>
          <w:sz w:val="18"/>
        </w:rPr>
        <w:t>PTY: GET /parties/{partyId}</w:t>
      </w:r>
      <w:r>
        <w:rPr>
          <w:rFonts w:ascii="Georgia" w:hAnsi="Georgia"/>
          <w:sz w:val="19"/>
        </w:rPr>
        <w:t xml:space="preserve"> to confirm Active + KYC Verified — REQ-BOOK-002.</w:t>
      </w:r>
    </w:p>
    <w:p>
      <w:pPr>
        <w:pStyle w:val="ListNumber"/>
      </w:pPr>
      <w:r>
        <w:rPr>
          <w:rFonts w:ascii="Georgia" w:hAnsi="Georgia"/>
          <w:sz w:val="19"/>
        </w:rPr>
        <w:t>LAS creates the account (status Approved) with immutable term version v1 — REQ-BOOK-003, 006.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publishes </w:t>
      </w:r>
      <w:r>
        <w:rPr>
          <w:rFonts w:ascii="Consolas" w:hAnsi="Consolas"/>
          <w:color w:val="0F2A1F"/>
          <w:sz w:val="18"/>
        </w:rPr>
        <w:t>LoanAccountBooked</w:t>
      </w:r>
      <w:r>
        <w:rPr>
          <w:rFonts w:ascii="Georgia" w:hAnsi="Georgia"/>
          <w:sz w:val="19"/>
        </w:rPr>
        <w:t xml:space="preserve"> — CRM logs an interaction (REQ-BOOK-005); BEOD tracks it for the approvals-vs-bookings check (REQ-BOOK-007).</w:t>
      </w:r>
    </w:p>
    <w:p>
      <w:pPr>
        <w:pStyle w:val="ListNumber"/>
      </w:pPr>
      <w:r>
        <w:rPr>
          <w:rFonts w:ascii="Georgia" w:hAnsi="Georgia"/>
          <w:b/>
          <w:sz w:val="19"/>
        </w:rPr>
        <w:t>No Posting Engine call at any step</w:t>
      </w:r>
      <w:r>
        <w:rPr>
          <w:rFonts w:ascii="Georgia" w:hAnsi="Georgia"/>
          <w:sz w:val="19"/>
        </w:rPr>
        <w:t xml:space="preserve"> — a deliberate absence, not an oversight.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p>
      <w:pPr>
        <w:spacing w:after="120"/>
      </w:pPr>
      <w:r>
        <w:rPr>
          <w:rFonts w:ascii="Calibri" w:hAnsi="Calibri"/>
          <w:b w:val="0"/>
          <w:i/>
          <w:color w:val="7A1F1F"/>
          <w:sz w:val="19"/>
        </w:rPr>
        <w:t>No posting rules — this epic makes zero Posting Engine calls by design.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POST /loan-accounts:book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/specs/asyncapi/loan-account-subledger-events.yaml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 loan.account.booked.v1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LoanAccountBooked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CRM, BEOD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loan.booking.enabled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 kill-switch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Test-party dark launch → 10% of approval volume → 100%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Not required — epic moves no money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Synchronous PTY dependency needs a timeout + fail-closed circuit breaker (reject booking rather than silently skip KYC on timeout).</w:t>
      </w:r>
    </w:p>
    <w:p>
      <w:pPr>
        <w:pStyle w:val="ListBullet"/>
      </w:pPr>
      <w:r>
        <w:t>Events carry partyId only, no PII payload.</w:t>
      </w:r>
    </w:p>
    <w:p>
      <w:pPr>
        <w:pStyle w:val="ListBullet"/>
      </w:pPr>
      <w:r>
        <w:t>Term-version creation is logged with actor + approvalReferenceId for exam trail.</w:t>
      </w:r>
    </w:p>
    <w:p>
      <w:pPr>
        <w:pStyle w:val="ListBullet"/>
      </w:pPr>
      <w:r>
        <w:t>Adds one new BEOD reconciliation job (approvals vs. bookings).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2. Loan Disbursement Processing  [CB-DISB]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>LAS owns the disbursement state machine and orchestrates PTY/GL/PAY calls. GL owns the funding posting. PAY owns payment execution. CRM/BEOD are subscribers.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Consolas" w:hAnsi="Consolas"/>
          <w:color w:val="0F2A1F"/>
          <w:sz w:val="18"/>
        </w:rPr>
        <w:t>LAS: POST /loan-accounts/{id}/disbursements</w:t>
      </w:r>
      <w:r>
        <w:rPr>
          <w:rFonts w:ascii="Georgia" w:hAnsi="Georgia"/>
          <w:sz w:val="19"/>
        </w:rPr>
        <w:t xml:space="preserve"> (idempotent on disbursementId), status → Pending Disbursement — REQ-DISB-001.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→ </w:t>
      </w:r>
      <w:r>
        <w:rPr>
          <w:rFonts w:ascii="Consolas" w:hAnsi="Consolas"/>
          <w:color w:val="0F2A1F"/>
          <w:sz w:val="18"/>
        </w:rPr>
        <w:t>PTY: GET /parties/{partyId}</w:t>
      </w:r>
      <w:r>
        <w:rPr>
          <w:rFonts w:ascii="Georgia" w:hAnsi="Georgia"/>
          <w:sz w:val="19"/>
        </w:rPr>
        <w:t>; reject with reason code on failure — REQ-DISB-002.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→ </w:t>
      </w:r>
      <w:r>
        <w:rPr>
          <w:rFonts w:ascii="Consolas" w:hAnsi="Consolas"/>
          <w:color w:val="0F2A1F"/>
          <w:sz w:val="18"/>
        </w:rPr>
        <w:t>GL: POST /journal-entries</w:t>
      </w:r>
      <w:r>
        <w:rPr>
          <w:rFonts w:ascii="Georgia" w:hAnsi="Georgia"/>
          <w:sz w:val="19"/>
        </w:rPr>
        <w:t xml:space="preserve">, rule </w:t>
      </w:r>
      <w:r>
        <w:rPr>
          <w:rFonts w:ascii="Georgia" w:hAnsi="Georgia"/>
          <w:b/>
          <w:sz w:val="19"/>
        </w:rPr>
        <w:t>PR-DISB-01</w:t>
      </w:r>
      <w:r>
        <w:rPr>
          <w:rFonts w:ascii="Georgia" w:hAnsi="Georgia"/>
          <w:sz w:val="19"/>
        </w:rPr>
        <w:t xml:space="preserve"> (Dr LoanReceivable P / Cr Cash-Nostro P), sourceEventId=disbursementId — REQ-DISB-003.</w:t>
      </w:r>
    </w:p>
    <w:p>
      <w:pPr>
        <w:pStyle w:val="ListNumber"/>
      </w:pPr>
      <w:r>
        <w:rPr>
          <w:rFonts w:ascii="Georgia" w:hAnsi="Georgia"/>
          <w:sz w:val="19"/>
        </w:rPr>
        <w:t xml:space="preserve">On GL confirmation, LAS → </w:t>
      </w:r>
      <w:r>
        <w:rPr>
          <w:rFonts w:ascii="Consolas" w:hAnsi="Consolas"/>
          <w:color w:val="0F2A1F"/>
          <w:sz w:val="18"/>
        </w:rPr>
        <w:t>PAY: POST /payments:disburse</w:t>
      </w:r>
      <w:r>
        <w:rPr>
          <w:rFonts w:ascii="Georgia" w:hAnsi="Georgia"/>
          <w:sz w:val="19"/>
        </w:rPr>
        <w:t xml:space="preserve"> (idempotent on disbursementId) — REQ-DISB-004.</w:t>
      </w:r>
    </w:p>
    <w:p>
      <w:pPr>
        <w:pStyle w:val="ListNumber"/>
      </w:pPr>
      <w:r>
        <w:rPr>
          <w:rFonts w:ascii="Georgia" w:hAnsi="Georgia"/>
          <w:sz w:val="19"/>
        </w:rPr>
        <w:t>PaymentExecuted → LAS sets status Disbursed, publishes LoanAccountDisbursed → CRM (REQ-DISB-005), BEOD (REQ-DISB-006).</w:t>
      </w:r>
    </w:p>
    <w:p>
      <w:pPr>
        <w:pStyle w:val="ListNumber"/>
      </w:pPr>
      <w:r>
        <w:rPr>
          <w:rFonts w:ascii="Georgia" w:hAnsi="Georgia"/>
          <w:sz w:val="19"/>
        </w:rPr>
        <w:t xml:space="preserve">PaymentFailed/returned → LAS → GL posts </w:t>
      </w:r>
      <w:r>
        <w:rPr>
          <w:rFonts w:ascii="Georgia" w:hAnsi="Georgia"/>
          <w:b/>
          <w:sz w:val="19"/>
        </w:rPr>
        <w:t>PR-DISB-02</w:t>
      </w:r>
      <w:r>
        <w:rPr>
          <w:rFonts w:ascii="Georgia" w:hAnsi="Georgia"/>
          <w:sz w:val="19"/>
        </w:rPr>
        <w:t xml:space="preserve"> (reversal of PR-DISB-01, new sourceEventId), status reverts to Approved only after GL confirms — REQ-DISB-007.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PR-DISB-01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LoanReceivable P / Cr Cash-Nostro P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confirmed disbursement request, post party validation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PR-DISB-02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reversal of PR-DISB-01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confirmed payment failure/return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POST .../disbursements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/specs/openapi/gl-posting-engine.yaml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register PR-DISB-01, PR-DISB-02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/specs/openapi/payment-execution.yaml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POST /payments:disburse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/specs/asyncapi/payment-execution-events.yaml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channels payment.executed.v1, payment.failed.v1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JournalEntryPosted (Disbursement)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LAS, BEOD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PaymentExecuted / PaymentFailed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PAY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LoanAccountDisbursed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CRM, BEOD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loan.disbursement.enabled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 kill-switch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Shadow-post (compute, no PAY call) 1 week → 5% live volume → 25% → 100%, auto-rollback on reversal-rate SLO breach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Treasury Ops lead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GL post target p95 &lt; 200ms; PAY call can ack async (202) with status updates via event.</w:t>
      </w:r>
    </w:p>
    <w:p>
      <w:pPr>
        <w:pStyle w:val="ListBullet"/>
      </w:pPr>
      <w:r>
        <w:t>Borrower account/routing details stay inside PAY, never in the disbursement event payload.</w:t>
      </w:r>
    </w:p>
    <w:p>
      <w:pPr>
        <w:pStyle w:val="ListBullet"/>
      </w:pPr>
      <w:r>
        <w:t>Every state transition logged with correlationId=disbursementId.</w:t>
      </w:r>
    </w:p>
    <w:p>
      <w:pPr>
        <w:pStyle w:val="ListBullet"/>
      </w:pPr>
      <w:r>
        <w:t>New BEOD daily total-variance check (REQ-DISB-006).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3. Daily Interest Accrual  [CB-ACCR]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>BEOD orchestrates the daily run; LAS computes eligibility and the accrual amount (using the term version in effect — see CB-MOD dependency); GL posts. No CRM touchpoint in this epic.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Georgia" w:hAnsi="Georgia"/>
          <w:sz w:val="19"/>
        </w:rPr>
        <w:t>BEOD triggers the accrual job for date D.</w:t>
      </w:r>
    </w:p>
    <w:p>
      <w:pPr>
        <w:pStyle w:val="ListNumber"/>
      </w:pPr>
      <w:r>
        <w:rPr>
          <w:rFonts w:ascii="Georgia" w:hAnsi="Georgia"/>
          <w:sz w:val="19"/>
        </w:rPr>
        <w:t xml:space="preserve">BEOD → </w:t>
      </w:r>
      <w:r>
        <w:rPr>
          <w:rFonts w:ascii="Consolas" w:hAnsi="Consolas"/>
          <w:color w:val="0F2A1F"/>
          <w:sz w:val="18"/>
        </w:rPr>
        <w:t>LAS: GET /loan-accounts:accrual-eligible?asOf=D</w:t>
      </w:r>
      <w:r>
        <w:rPr>
          <w:rFonts w:ascii="Georgia" w:hAnsi="Georgia"/>
          <w:sz w:val="19"/>
        </w:rPr>
        <w:t xml:space="preserve"> — REQ-ACCR-001, 005.</w:t>
      </w:r>
    </w:p>
    <w:p>
      <w:pPr>
        <w:pStyle w:val="ListNumber"/>
      </w:pPr>
      <w:r>
        <w:rPr>
          <w:rFonts w:ascii="Georgia" w:hAnsi="Georgia"/>
          <w:sz w:val="19"/>
        </w:rPr>
        <w:t>LAS computes X per account from rate/day-count/principal as of start-of-D, applying the payoff/closure cutoff — REQ-ACCR-004, 006.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→ </w:t>
      </w:r>
      <w:r>
        <w:rPr>
          <w:rFonts w:ascii="Consolas" w:hAnsi="Consolas"/>
          <w:color w:val="0F2A1F"/>
          <w:sz w:val="18"/>
        </w:rPr>
        <w:t>GL: POST /journal-entries</w:t>
      </w:r>
      <w:r>
        <w:rPr>
          <w:rFonts w:ascii="Georgia" w:hAnsi="Georgia"/>
          <w:sz w:val="19"/>
        </w:rPr>
        <w:t xml:space="preserve">, rule </w:t>
      </w:r>
      <w:r>
        <w:rPr>
          <w:rFonts w:ascii="Georgia" w:hAnsi="Georgia"/>
          <w:b/>
          <w:sz w:val="19"/>
        </w:rPr>
        <w:t>PR-ACCR-01</w:t>
      </w:r>
      <w:r>
        <w:rPr>
          <w:rFonts w:ascii="Georgia" w:hAnsi="Georgia"/>
          <w:sz w:val="19"/>
        </w:rPr>
        <w:t xml:space="preserve"> (Dr InterestReceivable X / Cr InterestIncome X), sourceEventId=accr:{loanAccountId}:{D} — REQ-ACCR-002, 003.</w:t>
      </w:r>
    </w:p>
    <w:p>
      <w:pPr>
        <w:pStyle w:val="ListNumber"/>
      </w:pPr>
      <w:r>
        <w:rPr>
          <w:rFonts w:ascii="Georgia" w:hAnsi="Georgia"/>
          <w:sz w:val="19"/>
        </w:rPr>
        <w:t>BEOD cross-checks eligible-account count vs. posted-entry count at batch close, raises AccrualExceptionRaised on mismatch — REQ-ACCR-007.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PR-ACCR-01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InterestReceivable X / Cr InterestIncome X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daily eligible-account evaluation; idempotent on (loanAccountId, businessDate)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GET .../accrual-eligible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/specs/openapi/gl-posting-engine.yaml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register PR-ACCR-01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/specs/asyncapi/batch-eod-events.yaml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 accrual.exception.raised.v1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JournalEntryPosted (Accrual)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BEOD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AccrualExceptionRaised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BEOD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Ops/BEOD dashboard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loan.accrual.batch.enabled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 kill-switch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Shadow-compute one full month-end cycle (no posting) → post for a pilot cohort → 100%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Batch/EOD lead / Risk: Controller / Financial Reporting owner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Must complete within the overnight window — partition eligible accounts, don't loop serially over the full portfolio.</w:t>
      </w:r>
    </w:p>
    <w:p>
      <w:pPr>
        <w:pStyle w:val="ListBullet"/>
      </w:pPr>
      <w:r>
        <w:t>Every PR-ACCR-01 entry retains rate/day-count/principal as structured metadata for exam reproducibility (REQ-ACCR-004).</w:t>
      </w:r>
    </w:p>
    <w:p>
      <w:pPr>
        <w:pStyle w:val="ListBullet"/>
      </w:pPr>
      <w:r>
        <w:t>This epic is itself a reconciliation control; no separate downstream recon needed.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4. Loan Repayment Processing  [CB-REPAY]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>PAY receives the inbound payment; LAS owns matching and waterfall allocation; GL posts; CRM logs.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Georgia" w:hAnsi="Georgia"/>
          <w:sz w:val="19"/>
        </w:rPr>
        <w:t>PAY publishes PaymentReceived (paymentReferenceId, amount, loanAccountRef).</w:t>
      </w:r>
    </w:p>
    <w:p>
      <w:pPr>
        <w:pStyle w:val="ListNumber"/>
      </w:pPr>
      <w:r>
        <w:rPr>
          <w:rFonts w:ascii="Georgia" w:hAnsi="Georgia"/>
          <w:sz w:val="19"/>
        </w:rPr>
        <w:t>LAS matches to exactly one account — REQ-REPAY-001; ambiguous/no match → PaymentUnmatched to BEOD's exception queue.</w:t>
      </w:r>
    </w:p>
    <w:p>
      <w:pPr>
        <w:pStyle w:val="ListNumber"/>
      </w:pPr>
      <w:r>
        <w:rPr>
          <w:rFonts w:ascii="Georgia" w:hAnsi="Georgia"/>
          <w:sz w:val="19"/>
        </w:rPr>
        <w:t>LAS computes waterfall (fees → interest → principal) — REQ-REPAY-002.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→ </w:t>
      </w:r>
      <w:r>
        <w:rPr>
          <w:rFonts w:ascii="Consolas" w:hAnsi="Consolas"/>
          <w:color w:val="0F2A1F"/>
          <w:sz w:val="18"/>
        </w:rPr>
        <w:t>GL: POST /journal-entries</w:t>
      </w:r>
      <w:r>
        <w:rPr>
          <w:rFonts w:ascii="Georgia" w:hAnsi="Georgia"/>
          <w:sz w:val="19"/>
        </w:rPr>
        <w:t xml:space="preserve">, rule </w:t>
      </w:r>
      <w:r>
        <w:rPr>
          <w:rFonts w:ascii="Georgia" w:hAnsi="Georgia"/>
          <w:b/>
          <w:sz w:val="19"/>
        </w:rPr>
        <w:t>PR-REPAY-01</w:t>
      </w:r>
      <w:r>
        <w:rPr>
          <w:rFonts w:ascii="Georgia" w:hAnsi="Georgia"/>
          <w:sz w:val="19"/>
        </w:rPr>
        <w:t xml:space="preserve"> (Dr Cash/Nostro P / Cr FeeReceivable + InterestReceivable + LoanReceivable per allocation — clearing receivables already recognized at accrual/assessment time, never re-crediting Income), idempotent on paymentReferenceId — REQ-REPAY-003, 004.</w:t>
      </w:r>
    </w:p>
    <w:p>
      <w:pPr>
        <w:pStyle w:val="ListNumber"/>
      </w:pPr>
      <w:r>
        <w:rPr>
          <w:rFonts w:ascii="Georgia" w:hAnsi="Georgia"/>
          <w:sz w:val="19"/>
        </w:rPr>
        <w:t>LAS publishes LoanRepaymentPosted → CRM — REQ-REPAY-005.</w:t>
      </w:r>
    </w:p>
    <w:p>
      <w:pPr>
        <w:pStyle w:val="ListNumber"/>
      </w:pPr>
      <w:r>
        <w:rPr>
          <w:rFonts w:ascii="Georgia" w:hAnsi="Georgia"/>
          <w:sz w:val="19"/>
        </w:rPr>
        <w:t>BEOD cross-checks all PaymentReceived against posted/unmatched outcomes — REQ-REPAY-006.</w:t>
      </w:r>
    </w:p>
    <w:p>
      <w:pPr>
        <w:pStyle w:val="ListNumber"/>
      </w:pPr>
      <w:r>
        <w:rPr>
          <w:rFonts w:ascii="Georgia" w:hAnsi="Georgia"/>
          <w:sz w:val="19"/>
        </w:rPr>
        <w:t xml:space="preserve">Reversal: </w:t>
      </w:r>
      <w:r>
        <w:rPr>
          <w:rFonts w:ascii="Consolas" w:hAnsi="Consolas"/>
          <w:color w:val="0F2A1F"/>
          <w:sz w:val="18"/>
        </w:rPr>
        <w:t>LAS: POST /repayments/{id}:reverse</w:t>
      </w:r>
      <w:r>
        <w:rPr>
          <w:rFonts w:ascii="Georgia" w:hAnsi="Georgia"/>
          <w:sz w:val="19"/>
        </w:rPr>
        <w:t xml:space="preserve"> → GL posts </w:t>
      </w:r>
      <w:r>
        <w:rPr>
          <w:rFonts w:ascii="Georgia" w:hAnsi="Georgia"/>
          <w:b/>
          <w:sz w:val="19"/>
        </w:rPr>
        <w:t>PR-REPAY-02</w:t>
      </w:r>
      <w:r>
        <w:rPr>
          <w:rFonts w:ascii="Georgia" w:hAnsi="Georgia"/>
          <w:sz w:val="19"/>
        </w:rPr>
        <w:t xml:space="preserve"> (offsetting); misapplied case re-runs the waterfall against the correct account as a fresh PR-REPAY-01 with a new sourceEventId — REQ-REPAY-007.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PR-REPAY-01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Cash/Nostro P / Cr FeeReceivable + InterestReceivable + LoanReceivable (per allocation)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matched, waterfall-allocated repayment — clears receivables built up by PR-ACCR-01/PR-DELINQ-01, never re-credits Income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PR-REPAY-02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reversal of PR-REPAY-01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confirmed return (NSF) or misapplication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/specs/asyncapi/payment-execution-events.yaml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 payment.received.v1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POST .../repayments/{id}:reverse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/specs/openapi/gl-posting-engine.yaml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register PR-REPAY-01, PR-REPAY-02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PaymentReceived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PAY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PaymentUnmatched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BEOD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LoanRepaymentPosted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CRM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loan.repayment.autopost.enabled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 kill-switch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Dual-run vs. legacy/manual posting 2 weeks (compare only) → cut over per payment rail, ACH first → all rails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Cash Ops/Treasury lead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Match→allocate→post should complete within seconds to hold same-day posting SLA.</w:t>
      </w:r>
    </w:p>
    <w:p>
      <w:pPr>
        <w:pStyle w:val="ListBullet"/>
      </w:pPr>
      <w:r>
        <w:t>PaymentReceived carries reference IDs only, not payer bank details.</w:t>
      </w:r>
    </w:p>
    <w:p>
      <w:pPr>
        <w:pStyle w:val="ListBullet"/>
      </w:pPr>
      <w:r>
        <w:t>Waterfall breakdown stored as line-item metadata for dispute resolution.</w:t>
      </w:r>
    </w:p>
    <w:p>
      <w:pPr>
        <w:pStyle w:val="ListBullet"/>
      </w:pPr>
      <w:r>
        <w:t>Unmatched-payment queue needs its own alerting SLA, not just EOD visibility.</w:t>
      </w:r>
    </w:p>
    <w:p>
      <w:pPr>
        <w:pStyle w:val="ListBullet"/>
      </w:pPr>
      <w:r>
        <w:t>Income-recognition principle: PR-REPAY-01 clears Cash against Fee/Interest/Loan Receivable — it never credits Fee/Interest Income directly, since that income was already recognized once at accrual (PR-ACCR-01) or assessment (PR-DELINQ-01) time. Crediting Income again here would double-count it.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5. Delinquency &amp; Past-Due Fee Assessment  [CB-DELINQ]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>BEOD orchestrates; LAS owns DPD/fee computation and the Non-Accrual flag; GL posts; CRM logs.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Georgia" w:hAnsi="Georgia"/>
          <w:sz w:val="19"/>
        </w:rPr>
        <w:t>BEOD triggers the delinquency job for date D; LAS updates DPD buckets — REQ-DELINQ-001, 003.</w:t>
      </w:r>
    </w:p>
    <w:p>
      <w:pPr>
        <w:pStyle w:val="ListNumber"/>
      </w:pPr>
      <w:r>
        <w:rPr>
          <w:rFonts w:ascii="Georgia" w:hAnsi="Georgia"/>
          <w:sz w:val="19"/>
        </w:rPr>
        <w:t xml:space="preserve">Past-grace-period accounts: LAS → </w:t>
      </w:r>
      <w:r>
        <w:rPr>
          <w:rFonts w:ascii="Consolas" w:hAnsi="Consolas"/>
          <w:color w:val="0F2A1F"/>
          <w:sz w:val="18"/>
        </w:rPr>
        <w:t>GL: POST /journal-entries</w:t>
      </w:r>
      <w:r>
        <w:rPr>
          <w:rFonts w:ascii="Georgia" w:hAnsi="Georgia"/>
          <w:sz w:val="19"/>
        </w:rPr>
        <w:t xml:space="preserve">, rule </w:t>
      </w:r>
      <w:r>
        <w:rPr>
          <w:rFonts w:ascii="Georgia" w:hAnsi="Georgia"/>
          <w:b/>
          <w:sz w:val="19"/>
        </w:rPr>
        <w:t>PR-DELINQ-01</w:t>
      </w:r>
      <w:r>
        <w:rPr>
          <w:rFonts w:ascii="Georgia" w:hAnsi="Georgia"/>
          <w:sz w:val="19"/>
        </w:rPr>
        <w:t xml:space="preserve"> (Dr FeeReceivable / Cr FeeIncome) — REQ-DELINQ-002, 004.</w:t>
      </w:r>
    </w:p>
    <w:p>
      <w:pPr>
        <w:pStyle w:val="ListNumber"/>
      </w:pPr>
      <w:r>
        <w:rPr>
          <w:rFonts w:ascii="Georgia" w:hAnsi="Georgia"/>
          <w:sz w:val="19"/>
        </w:rPr>
        <w:t xml:space="preserve">DPD threshold crossing → LAS sets a Non-Accrual flag, read by </w:t>
      </w:r>
      <w:r>
        <w:rPr>
          <w:rFonts w:ascii="Georgia" w:hAnsi="Georgia"/>
          <w:b/>
          <w:sz w:val="19"/>
        </w:rPr>
        <w:t>CB-ACCR step 2</w:t>
      </w:r>
      <w:r>
        <w:rPr>
          <w:rFonts w:ascii="Georgia" w:hAnsi="Georgia"/>
          <w:sz w:val="19"/>
        </w:rPr>
        <w:t xml:space="preserve"> as an eligibility filter — REQ-DELINQ-005 (cross-epic dependency, not a new posting).</w:t>
      </w:r>
    </w:p>
    <w:p>
      <w:pPr>
        <w:pStyle w:val="ListNumber"/>
      </w:pPr>
      <w:r>
        <w:rPr>
          <w:rFonts w:ascii="Georgia" w:hAnsi="Georgia"/>
          <w:sz w:val="19"/>
        </w:rPr>
        <w:t>LAS publishes DelinquencyStatusChanged → CRM — REQ-DELINQ-006.</w:t>
      </w:r>
    </w:p>
    <w:p>
      <w:pPr>
        <w:pStyle w:val="ListNumber"/>
      </w:pPr>
      <w:r>
        <w:rPr>
          <w:rFonts w:ascii="Georgia" w:hAnsi="Georgia"/>
          <w:sz w:val="19"/>
        </w:rPr>
        <w:t>BEOD cross-checks fee postings vs. DPD changes — REQ-DELINQ-008.</w:t>
      </w:r>
    </w:p>
    <w:p>
      <w:pPr>
        <w:pStyle w:val="ListNumber"/>
      </w:pPr>
      <w:r>
        <w:rPr>
          <w:rFonts w:ascii="Georgia" w:hAnsi="Georgia"/>
          <w:sz w:val="19"/>
        </w:rPr>
        <w:t xml:space="preserve">Waiver: </w:t>
      </w:r>
      <w:r>
        <w:rPr>
          <w:rFonts w:ascii="Consolas" w:hAnsi="Consolas"/>
          <w:color w:val="0F2A1F"/>
          <w:sz w:val="18"/>
        </w:rPr>
        <w:t>LAS: POST /fees/{id}:waive</w:t>
      </w:r>
      <w:r>
        <w:rPr>
          <w:rFonts w:ascii="Georgia" w:hAnsi="Georgia"/>
          <w:sz w:val="19"/>
        </w:rPr>
        <w:t xml:space="preserve"> with authorization metadata → GL posts </w:t>
      </w:r>
      <w:r>
        <w:rPr>
          <w:rFonts w:ascii="Georgia" w:hAnsi="Georgia"/>
          <w:b/>
          <w:sz w:val="19"/>
        </w:rPr>
        <w:t>PR-DELINQ-02</w:t>
      </w:r>
      <w:r>
        <w:rPr>
          <w:rFonts w:ascii="Georgia" w:hAnsi="Georgia"/>
          <w:sz w:val="19"/>
        </w:rPr>
        <w:t xml:space="preserve"> (reversal) — REQ-DELINQ-007.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PR-DELINQ-01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FeeReceivable / Cr FeeIncome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account past grace period on a missed installment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PR-DELINQ-02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reversal of PR-DELINQ-01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authorized fee waiver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GET .../past-due, POST /fees/{id}:waive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/specs/openapi/gl-posting-engine.yaml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register PR-DELINQ-01, PR-DELINQ-02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/specs/asyncapi/loan-account-subledger-events.yaml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channels delinquency.status.changed.v1, loan.account.nonaccrual.v1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DelinquencyStatusChanged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CRM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LoanAccountNonAccrualFlagged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LAS-internal (Accrual eligibility, CB-ACCR), BEOD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loan.delinquency.feeassessment.enabled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 kill-switch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Shadow-compute 1 cycle → post for one cohort → all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Collections/Risk lead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loan.delinquency.feewaiver.enabled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boolean, RBAC-gated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Enabled only for authorized Ops role from day one, no volume ramp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Collections/Risk lead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Same partitioning concern as Accrual.</w:t>
      </w:r>
    </w:p>
    <w:p>
      <w:pPr>
        <w:pStyle w:val="ListBullet"/>
      </w:pPr>
      <w:r>
        <w:t>Waiver requires a mandatory (not optional) authorization record on PR-DELINQ-02.</w:t>
      </w:r>
    </w:p>
    <w:p>
      <w:pPr>
        <w:pStyle w:val="ListBullet"/>
      </w:pPr>
      <w:r>
        <w:t>Sequencing dependency: CB-ACCR's daily step must run after this epic's Non-Accrual flag update in the BEOD DAG, or accrual uses stale eligibility.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6. Early Settlement / Loan Payoff  [CB-PAYOFF]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>LAS owns quote generation and closure; GL posts; PAY receives the payoff payment; CRM logs; BEOD reconciles.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Consolas" w:hAnsi="Consolas"/>
          <w:color w:val="0F2A1F"/>
          <w:sz w:val="18"/>
        </w:rPr>
        <w:t>LAS: GET /loan-accounts/{id}/payoff-quote?goodThrough=G</w:t>
      </w:r>
      <w:r>
        <w:rPr>
          <w:rFonts w:ascii="Georgia" w:hAnsi="Georgia"/>
          <w:sz w:val="19"/>
        </w:rPr>
        <w:t xml:space="preserve"> — read-only, no posting — REQ-PAYOFF-001, 002, 003.</w:t>
      </w:r>
    </w:p>
    <w:p>
      <w:pPr>
        <w:pStyle w:val="ListNumber"/>
      </w:pPr>
      <w:r>
        <w:rPr>
          <w:rFonts w:ascii="Georgia" w:hAnsi="Georgia"/>
          <w:sz w:val="19"/>
        </w:rPr>
        <w:t>Payoff payment arrives via PAY → PaymentReceived (reused from CB-REPAY), tagged with the quote reference.</w:t>
      </w:r>
    </w:p>
    <w:p>
      <w:pPr>
        <w:pStyle w:val="ListNumber"/>
      </w:pPr>
      <w:r>
        <w:rPr>
          <w:rFonts w:ascii="Georgia" w:hAnsi="Georgia"/>
          <w:sz w:val="19"/>
        </w:rPr>
        <w:t>LAS validates amount/window — exact match proceeds; underpayment routes to the standard waterfall (CB-REPAY reuse); overpayment excess routes to suspense — REQ-PAYOFF-003, 007.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→ </w:t>
      </w:r>
      <w:r>
        <w:rPr>
          <w:rFonts w:ascii="Consolas" w:hAnsi="Consolas"/>
          <w:color w:val="0F2A1F"/>
          <w:sz w:val="18"/>
        </w:rPr>
        <w:t>GL: POST /journal-entries</w:t>
      </w:r>
      <w:r>
        <w:rPr>
          <w:rFonts w:ascii="Georgia" w:hAnsi="Georgia"/>
          <w:sz w:val="19"/>
        </w:rPr>
        <w:t xml:space="preserve">, rule </w:t>
      </w:r>
      <w:r>
        <w:rPr>
          <w:rFonts w:ascii="Georgia" w:hAnsi="Georgia"/>
          <w:b/>
          <w:sz w:val="19"/>
        </w:rPr>
        <w:t>PR-PAYOFF-01</w:t>
      </w:r>
      <w:r>
        <w:rPr>
          <w:rFonts w:ascii="Georgia" w:hAnsi="Georgia"/>
          <w:sz w:val="19"/>
        </w:rPr>
        <w:t xml:space="preserve"> (Dr Cash/Nostro / Cr LoanReceivable + InterestReceivable, zeroing both) — REQ-PAYOFF-004, 005.</w:t>
      </w:r>
    </w:p>
    <w:p>
      <w:pPr>
        <w:pStyle w:val="ListNumber"/>
      </w:pPr>
      <w:r>
        <w:rPr>
          <w:rFonts w:ascii="Georgia" w:hAnsi="Georgia"/>
          <w:sz w:val="19"/>
        </w:rPr>
        <w:t>On confirmation, LAS sets status Closed — REQ-PAYOFF-006 — and publishes LoanAccountClosed → CRM (REQ-PAYOFF-008), BEOD.</w:t>
      </w:r>
    </w:p>
    <w:p>
      <w:pPr>
        <w:pStyle w:val="ListNumber"/>
      </w:pPr>
      <w:r>
        <w:rPr>
          <w:rFonts w:ascii="Georgia" w:hAnsi="Georgia"/>
          <w:sz w:val="19"/>
        </w:rPr>
        <w:t>BEOD confirms true zero balance on every account closed that day — REQ-PAYOFF-009.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PR-PAYOFF-01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Cash/Nostro / Cr LoanReceivable + InterestReceivable (zeroing both)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payoff payment matching a valid, unexpired quote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GET .../payoff-quote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/specs/openapi/gl-posting-engine.yaml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register PR-PAYOFF-01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/specs/asyncapi/loan-account-subledger-events.yaml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 loan.account.closed.v1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LoanAccountClosed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CRM, BEOD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JournalEntryPosted (Payoff)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LAS, BEOD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loan.payoff.quote.enabled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boolean, no money movement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Broad early enablement — read-only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Not required — quote step posts nothing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loan.payoff.settlement.enabled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boolean, gates PR-PAYOFF-01 + closure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Ramp 10% → 50% → 100% of payoff volume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Treasury/Controller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Quote generation must be near-real-time (borrower/CSR-facing).</w:t>
      </w:r>
    </w:p>
    <w:p>
      <w:pPr>
        <w:pStyle w:val="ListBullet"/>
      </w:pPr>
      <w:r>
        <w:t>Quote itemization is retained and linked to the settling journal entry for dispute traceability.</w:t>
      </w:r>
    </w:p>
    <w:p>
      <w:pPr>
        <w:pStyle w:val="ListBullet"/>
      </w:pPr>
      <w:r>
        <w:t>Adds REQ-PAYOFF-009 to the BEOD daily job catalog.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7. Loan Charge-off &amp; Write-off  [CB-CHARGEOFF]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>LAS owns the state machine and recovery orchestration; GL posts; CRM logs; BEOD reconciles the reserve account.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Georgia" w:hAnsi="Georgia"/>
          <w:sz w:val="19"/>
        </w:rPr>
        <w:t xml:space="preserve">Collections system calls </w:t>
      </w:r>
      <w:r>
        <w:rPr>
          <w:rFonts w:ascii="Consolas" w:hAnsi="Consolas"/>
          <w:color w:val="0F2A1F"/>
          <w:sz w:val="18"/>
        </w:rPr>
        <w:t>LAS: POST /loan-accounts/{id}:chargeoff</w:t>
      </w:r>
      <w:r>
        <w:rPr>
          <w:rFonts w:ascii="Georgia" w:hAnsi="Georgia"/>
          <w:sz w:val="19"/>
        </w:rPr>
        <w:t xml:space="preserve"> with an approved decision reference — REQ-CHGOFF-001, status Pending Charge-off.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→ </w:t>
      </w:r>
      <w:r>
        <w:rPr>
          <w:rFonts w:ascii="Consolas" w:hAnsi="Consolas"/>
          <w:color w:val="0F2A1F"/>
          <w:sz w:val="18"/>
        </w:rPr>
        <w:t>GL: POST /journal-entries</w:t>
      </w:r>
      <w:r>
        <w:rPr>
          <w:rFonts w:ascii="Georgia" w:hAnsi="Georgia"/>
          <w:sz w:val="19"/>
        </w:rPr>
        <w:t xml:space="preserve">, rule </w:t>
      </w:r>
      <w:r>
        <w:rPr>
          <w:rFonts w:ascii="Georgia" w:hAnsi="Georgia"/>
          <w:b/>
          <w:sz w:val="19"/>
        </w:rPr>
        <w:t>PR-CHGOFF-01</w:t>
      </w:r>
      <w:r>
        <w:rPr>
          <w:rFonts w:ascii="Georgia" w:hAnsi="Georgia"/>
          <w:sz w:val="19"/>
        </w:rPr>
        <w:t xml:space="preserve"> (Dr AllowanceForLoanLosses (B+I) / Cr LoanReceivable B, InterestReceivable I) — REQ-CHGOFF-002, 004.</w:t>
      </w:r>
    </w:p>
    <w:p>
      <w:pPr>
        <w:pStyle w:val="ListNumber"/>
      </w:pPr>
      <w:r>
        <w:rPr>
          <w:rFonts w:ascii="Georgia" w:hAnsi="Georgia"/>
          <w:sz w:val="19"/>
        </w:rPr>
        <w:t xml:space="preserve">On confirmation, status → Charged-Off — REQ-CHGOFF-003. LAS publishes LoanAccountChargedOff → CRM (REQ-CHGOFF-007), and this flag is also read by </w:t>
      </w:r>
      <w:r>
        <w:rPr>
          <w:rFonts w:ascii="Georgia" w:hAnsi="Georgia"/>
          <w:b/>
          <w:sz w:val="19"/>
        </w:rPr>
        <w:t>CB-ACCR and CB-DELINQ's</w:t>
      </w:r>
      <w:r>
        <w:rPr>
          <w:rFonts w:ascii="Georgia" w:hAnsi="Georgia"/>
          <w:sz w:val="19"/>
        </w:rPr>
        <w:t xml:space="preserve"> eligibility queries to exclude charged-off accounts — REQ-CHGOFF-005 (same cross-epic pattern as the Non-Accrual flag).</w:t>
      </w:r>
    </w:p>
    <w:p>
      <w:pPr>
        <w:pStyle w:val="ListNumber"/>
      </w:pPr>
      <w:r>
        <w:rPr>
          <w:rFonts w:ascii="Georgia" w:hAnsi="Georgia"/>
          <w:sz w:val="19"/>
        </w:rPr>
        <w:t xml:space="preserve">Recovery: PAY → PaymentReceived (reused) → LAS matches to the charged-off account → GL posts </w:t>
      </w:r>
      <w:r>
        <w:rPr>
          <w:rFonts w:ascii="Georgia" w:hAnsi="Georgia"/>
          <w:b/>
          <w:sz w:val="19"/>
        </w:rPr>
        <w:t>PR-CHGOFF-02</w:t>
      </w:r>
      <w:r>
        <w:rPr>
          <w:rFonts w:ascii="Georgia" w:hAnsi="Georgia"/>
          <w:sz w:val="19"/>
        </w:rPr>
        <w:t xml:space="preserve"> (Dr Cash/Nostro / Cr RecoveryIncome) — REQ-CHGOFF-006; status remains Charged-Off — this is </w:t>
      </w:r>
      <w:r>
        <w:rPr>
          <w:rFonts w:ascii="Georgia" w:hAnsi="Georgia"/>
          <w:b/>
          <w:sz w:val="19"/>
        </w:rPr>
        <w:t>not</w:t>
      </w:r>
      <w:r>
        <w:rPr>
          <w:rFonts w:ascii="Georgia" w:hAnsi="Georgia"/>
          <w:sz w:val="19"/>
        </w:rPr>
        <w:t xml:space="preserve"> a reversal of PR-CHGOFF-01.</w:t>
      </w:r>
    </w:p>
    <w:p>
      <w:pPr>
        <w:pStyle w:val="ListNumber"/>
      </w:pPr>
      <w:r>
        <w:rPr>
          <w:rFonts w:ascii="Georgia" w:hAnsi="Georgia"/>
          <w:sz w:val="19"/>
        </w:rPr>
        <w:t>BEOD sums PR-CHGOFF-01 postings against the AllowanceForLoanLosses control-account balance — REQ-CHGOFF-008.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PR-CHGOFF-01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AllowanceForLoanLosses (B+I) / Cr LoanReceivable B, InterestReceivable I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confirmed, approved charge-off decision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PR-CHGOFF-02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Cash/Nostro / Cr RecoveryIncome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recovery payment on a charged-off account (distinct entry type, not a reversal)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POST .../chargeoff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/specs/openapi/gl-posting-engine.yaml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register PR-CHGOFF-01, PR-CHGOFF-02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/specs/asyncapi/loan-account-subledger-events.yaml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 loan.account.chargedoff.v1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LoanAccountChargedOff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CRM, BEOD, LAS-internal (CB-ACCR &amp; CB-DELINQ exclusion logic)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JournalEntryPosted (ChargeOff/Recovery)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LAS, BEOD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loan.chargeoff.enabled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 kill-switch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Pilot on one collections cohort with manual pre/post recon review each cycle → expand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Controller / Allowance-for-Losses owner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Not latency-sensitive (batch/manual-triggered process).</w:t>
      </w:r>
    </w:p>
    <w:p>
      <w:pPr>
        <w:pStyle w:val="ListBullet"/>
      </w:pPr>
      <w:r>
        <w:t>chargeoffReferenceId must retain a durable link to the upstream credit-policy approval artifact.</w:t>
      </w:r>
    </w:p>
    <w:p>
      <w:pPr>
        <w:pStyle w:val="ListBullet"/>
      </w:pPr>
      <w:r>
        <w:t>Reserve reconciliation aggregates across the entire portfolio against one GL control account — a different aggregation pattern than every other epic's per-account check; must be modeled distinctly in BEOD's job design.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8. Loan Modification (Rate/Term Change)  [CB-MOD]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1. Module Ownership</w:t>
      </w:r>
    </w:p>
    <w:p>
      <w:r>
        <w:rPr>
          <w:rFonts w:ascii="Georgia" w:hAnsi="Georgia"/>
          <w:sz w:val="20"/>
        </w:rPr>
        <w:t>LAS owns term-versioning and the conditional posting branch; GL posts only for balance-impacting modifications; CRM logs.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2. Interaction Sequence</w:t>
      </w:r>
    </w:p>
    <w:p>
      <w:pPr>
        <w:pStyle w:val="ListNumber"/>
      </w:pPr>
      <w:r>
        <w:rPr>
          <w:rFonts w:ascii="Consolas" w:hAnsi="Consolas"/>
          <w:color w:val="0F2A1F"/>
          <w:sz w:val="18"/>
        </w:rPr>
        <w:t>LAS: POST /loan-accounts/{id}/modifications</w:t>
      </w:r>
      <w:r>
        <w:rPr>
          <w:rFonts w:ascii="Georgia" w:hAnsi="Georgia"/>
          <w:sz w:val="19"/>
        </w:rPr>
        <w:t xml:space="preserve"> (idempotent on modificationReferenceId) with new terms + effective date E — REQ-MOD-001, 005.</w:t>
      </w:r>
    </w:p>
    <w:p>
      <w:pPr>
        <w:pStyle w:val="ListNumber"/>
      </w:pPr>
      <w:r>
        <w:rPr>
          <w:rFonts w:ascii="Georgia" w:hAnsi="Georgia"/>
          <w:sz w:val="19"/>
        </w:rPr>
        <w:t>LAS appends immutable term version v_n+1 effective E; prior versions untouched — REQ-MOD-002.</w:t>
      </w:r>
    </w:p>
    <w:p>
      <w:pPr>
        <w:pStyle w:val="ListNumber"/>
      </w:pPr>
      <w:r>
        <w:rPr>
          <w:rFonts w:ascii="Georgia" w:hAnsi="Georgia"/>
          <w:b/>
          <w:sz w:val="19"/>
        </w:rPr>
        <w:t>Branch A (capitalization):</w:t>
      </w:r>
      <w:r>
        <w:rPr>
          <w:rFonts w:ascii="Georgia" w:hAnsi="Georgia"/>
          <w:sz w:val="19"/>
        </w:rPr>
        <w:t xml:space="preserve"> LAS → </w:t>
      </w:r>
      <w:r>
        <w:rPr>
          <w:rFonts w:ascii="Consolas" w:hAnsi="Consolas"/>
          <w:color w:val="0F2A1F"/>
          <w:sz w:val="18"/>
        </w:rPr>
        <w:t>GL: POST /journal-entries</w:t>
      </w:r>
      <w:r>
        <w:rPr>
          <w:rFonts w:ascii="Georgia" w:hAnsi="Georgia"/>
          <w:sz w:val="19"/>
        </w:rPr>
        <w:t xml:space="preserve">, rule </w:t>
      </w:r>
      <w:r>
        <w:rPr>
          <w:rFonts w:ascii="Georgia" w:hAnsi="Georgia"/>
          <w:b/>
          <w:sz w:val="19"/>
        </w:rPr>
        <w:t>PR-MOD-01</w:t>
      </w:r>
      <w:r>
        <w:rPr>
          <w:rFonts w:ascii="Georgia" w:hAnsi="Georgia"/>
          <w:sz w:val="19"/>
        </w:rPr>
        <w:t xml:space="preserve"> (Dr LoanReceivable X / Cr InterestReceivable and/or FeeReceivable X) — REQ-MOD-003.</w:t>
      </w:r>
    </w:p>
    <w:p>
      <w:pPr>
        <w:pStyle w:val="ListNumber"/>
      </w:pPr>
      <w:r>
        <w:rPr>
          <w:rFonts w:ascii="Georgia" w:hAnsi="Georgia"/>
          <w:b/>
          <w:sz w:val="19"/>
        </w:rPr>
        <w:t>Branch B (rate/term only):</w:t>
      </w:r>
      <w:r>
        <w:rPr>
          <w:rFonts w:ascii="Georgia" w:hAnsi="Georgia"/>
          <w:sz w:val="19"/>
        </w:rPr>
        <w:t xml:space="preserve"> no GL call is made — REQ-MOD-004; implemented as a true no-op, not a zero-amount journal entry (a zero-amount entry would still consume a sourceEventId and violate the “no false balance event” intent).</w:t>
      </w:r>
    </w:p>
    <w:p>
      <w:pPr>
        <w:pStyle w:val="ListNumber"/>
      </w:pPr>
      <w:r>
        <w:rPr>
          <w:rFonts w:ascii="Georgia" w:hAnsi="Georgia"/>
          <w:sz w:val="19"/>
        </w:rPr>
        <w:t xml:space="preserve">LAS publishes LoanTermsModified → CRM (REQ-MOD-007), and exposes </w:t>
      </w:r>
      <w:r>
        <w:rPr>
          <w:rFonts w:ascii="Consolas" w:hAnsi="Consolas"/>
          <w:color w:val="0F2A1F"/>
          <w:sz w:val="18"/>
        </w:rPr>
        <w:t>GET /loan-accounts/{id}/term-versions?asOf=D</w:t>
      </w:r>
      <w:r>
        <w:rPr>
          <w:rFonts w:ascii="Georgia" w:hAnsi="Georgia"/>
          <w:sz w:val="19"/>
        </w:rPr>
        <w:t xml:space="preserve"> — the read CB-ACCR must switch to for resolving “most recent version effective ≤ D” (REQ-MOD-006).</w:t>
      </w:r>
    </w:p>
    <w:p>
      <w:pPr>
        <w:pStyle w:val="ListNumber"/>
      </w:pPr>
      <w:r>
        <w:rPr>
          <w:rFonts w:ascii="Consolas" w:hAnsi="Consolas"/>
          <w:color w:val="0F2A1F"/>
          <w:sz w:val="18"/>
        </w:rPr>
        <w:t>GET /loan-accounts/{id}/term-versions</w:t>
      </w:r>
      <w:r>
        <w:rPr>
          <w:rFonts w:ascii="Georgia" w:hAnsi="Georgia"/>
          <w:sz w:val="19"/>
        </w:rPr>
        <w:t xml:space="preserve"> (full, unfiltered) serves the audit requirement — REQ-MOD-008.</w:t>
      </w:r>
    </w:p>
    <w:p>
      <w:pPr>
        <w:pStyle w:val="Heading2"/>
      </w:pPr>
      <w:r>
        <w:rPr>
          <w:rFonts w:ascii="Calibri" w:hAnsi="Calibri"/>
          <w:b/>
          <w:color w:val="1F4A35"/>
          <w:sz w:val="23"/>
        </w:rPr>
        <w:t>Posting-Rule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PR-MOD-01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Dr LoanReceivable X / Cr InterestReceivable and/or FeeReceivable X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approved modification that capitalizes past-due interest/fees (conditional — Branch A only)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3. Spec Files (New / Modified)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487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/specs/openapi/loan-account-subledger.yaml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add POST .../modifications, GET .../term-versions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/specs/openapi/gl-posting-engine.yaml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register PR-MOD-01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  <w:t>/specs/asyncapi/loan-account-subledger-events.yaml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new channel loan.terms.modified.v1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4. Domain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249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LoanTermsModified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CRM, LAS-internal (CB-ACCR term-resolution)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  <w:t>JournalEntryPosted (Modification)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LAS, BEOD — fires only for Branch A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5. Feature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Key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Rollout Plan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Owners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loan.modification.enabled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boolean, gates term-versioning broadly (Branch B has no money movement)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Enable rate/term-only path on a small cohort first; validate accrual correctly switches versions across the effective-date boundary before touching Branch 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Not required for the Branch-B path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loan.modification.capitalization.enabled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boolean, gates PR-MOD-01 specifically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Ramp 10% → 50% → 100% of approved capitalization modifications, with reconciliation review each step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Eng: Loan Subledger lead / Risk: Controller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A35"/>
          <w:sz w:val="23"/>
        </w:rPr>
        <w:t>6. NFR &amp; Security Implications</w:t>
      </w:r>
    </w:p>
    <w:p>
      <w:pPr>
        <w:pStyle w:val="ListBullet"/>
      </w:pPr>
      <w:r>
        <w:t>Not latency-sensitive.</w:t>
      </w:r>
    </w:p>
    <w:p>
      <w:pPr>
        <w:pStyle w:val="ListBullet"/>
      </w:pPr>
      <w:r>
        <w:t>Term-version history must be retained indefinitely with no purge/TTL — confirm explicitly against the generic operational-log retention policy, which may default shorter.</w:t>
      </w:r>
    </w:p>
    <w:p>
      <w:pPr>
        <w:pStyle w:val="ListBullet"/>
      </w:pPr>
      <w:r>
        <w:t>Breaking-change dependency: CB-MOD changes what CB-ACCR reads (a single static rate record → a versioned lookup); sequence delivery so CB-MOD's read API ships and is validated before CB-ACCR is cut over to consume it.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Appendix A — Cross-Epic Dependency Note</w:t>
      </w:r>
    </w:p>
    <w:p>
      <w:pPr>
        <w:spacing w:after="120"/>
      </w:pPr>
      <w:r>
        <w:rPr>
          <w:rFonts w:ascii="Georgia" w:hAnsi="Georgia"/>
          <w:b w:val="0"/>
          <w:i w:val="0"/>
          <w:sz w:val="20"/>
        </w:rPr>
        <w:t>Three epics — CB-DELINQ (Non-Accrual flag), CB-CHARGEOFF (Charged-Off flag), and CB-MOD (term-version lookup) — all modify what CB-ACCR reads at daily-batch time. None of this is a scope problem, but the BEOD DAG and LAS's internal read contracts need explicit sequencing: CB-DELINQ and CB-CHARGEOFF's flag updates must run before CB-ACCR's eligibility query in the daily batch order, and CB-MOD's term-version read API must ship and be validated before CB-ACCR is cut over to consume it instead of a single static rate record. This is a build-order constraint for engineering, not a scope gap.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Appendix B — Consolidated Posting-Rule Catalog</w:t>
      </w:r>
    </w:p>
    <w:p>
      <w:pPr>
        <w:spacing w:after="120"/>
      </w:pPr>
      <w:r>
        <w:rPr>
          <w:rFonts w:ascii="Calibri" w:hAnsi="Calibri"/>
          <w:b w:val="0"/>
          <w:i/>
          <w:color w:val="666666"/>
          <w:sz w:val="19"/>
        </w:rPr>
        <w:t>Every journal entry this design introduces, across all 8 epics. GL is the only writer for all of these.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Epic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Entry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Trigger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PR-DISB-01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CB-DISB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LoanReceivable P / Cr Cash-Nostro P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confirmed disbursement request, post party validation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PR-DISB-02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CB-DISB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reversal of PR-DISB-01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confirmed payment failure/return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PR-ACCR-01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CB-ACCR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InterestReceivable X / Cr InterestIncome X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daily eligible-account evaluation; idempotent on (loanAccountId, businessDate)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PR-REPAY-01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CB-REPAY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Cash/Nostro P / Cr FeeReceivable + InterestReceivable + LoanReceivable (per allocation)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matched, waterfall-allocated repayment — clears receivables built up by PR-ACCR-01/PR-DELINQ-01, never re-credits Income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PR-REPAY-02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CB-REPAY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reversal of PR-REPAY-01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confirmed return (NSF) or misapplication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PR-DELINQ-01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CB-DELINQ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FeeReceivable / Cr FeeIncome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account past grace period on a missed installment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PR-DELINQ-02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CB-DELINQ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reversal of PR-DELINQ-01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authorized fee waiver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PR-PAYOFF-01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CB-PAYOFF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Cash/Nostro / Cr LoanReceivable + InterestReceivable (zeroing both)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payoff payment matching a valid, unexpired quote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PR-CHGOFF-01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CB-CHARGEOFF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AllowanceForLoanLosses (B+I) / Cr LoanReceivable B, InterestReceivable I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confirmed, approved charge-off decision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PR-CHGOFF-02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CB-CHARGEOFF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Cash/Nostro / Cr RecoveryIncome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recovery payment on a charged-off account (distinct entry type, not a reversal)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PR-MOD-01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CB-MOD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Dr LoanReceivable X / Cr InterestReceivable and/or FeeReceivable X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approved modification that capitalizes past-due interest/fees (conditional — Branch A 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Appendix C — Consolidated Domain Event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Epic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2436"/>
          </w:tcPr>
          <w:p>
            <w:r>
              <w:rPr>
                <w:b/>
                <w:sz w:val="17"/>
              </w:rPr>
              <w:t>Consumer(s)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LoanAccountBooked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CB-BOOK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CRM, 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JournalEntryPosted (Disbursement)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CB-DISB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LAS, 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PaymentExecuted / PaymentFailed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CB-DISB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PAY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LoanAccountDisbursed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CB-DISB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CRM, 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JournalEntryPosted (Accrual)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CB-ACCR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AccrualExceptionRaised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CB-ACCR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BEOD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Ops/BEOD dashboard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PaymentReceived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CB-REPAY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PAY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PaymentUnmatched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CB-REPAY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LoanRepaymentPosted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CB-REPAY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CRM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DelinquencyStatusChanged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CB-DELINQ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CRM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LoanAccountNonAccrualFlagged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CB-DELINQ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LAS-internal (Accrual eligibility, CB-ACCR), 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LoanAccountClosed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CB-PAYOFF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CRM, 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JournalEntryPosted (Payoff)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CB-PAYOFF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LAS, 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LoanAccountChargedOff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CB-CHARGEOFF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CRM, BEOD, LAS-internal (CB-ACCR &amp; CB-DELINQ exclusion logic)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JournalEntryPosted (ChargeOff/Recovery)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CB-CHARGEOFF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LAS, BEOD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LoanTermsModified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CB-MOD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CRM, LAS-internal (CB-ACCR term-resolution)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  <w:t>JournalEntryPosted (Modification)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CB-MOD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GL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  <w:t>LAS, BEOD — fires only for Branch 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A1F"/>
          <w:sz w:val="28"/>
        </w:rPr>
        <w:t>Appendix D — Consolidated Feature Flag Registry</w:t>
      </w:r>
    </w:p>
    <w:p>
      <w:pPr>
        <w:spacing w:after="120"/>
      </w:pPr>
      <w:r>
        <w:rPr>
          <w:rFonts w:ascii="Calibri" w:hAnsi="Calibri"/>
          <w:b w:val="0"/>
          <w:i/>
          <w:color w:val="666666"/>
          <w:sz w:val="19"/>
        </w:rPr>
        <w:t>Per the constraint, every flag gating money movement carries both an Engineering and a Finance/Risk owner. Flags marked “No” under Money Movement require Engineering ownership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7"/>
              </w:rPr>
              <w:t>Flag Key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Epic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Money Movement?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Engineering Owner</w:t>
            </w:r>
          </w:p>
        </w:tc>
        <w:tc>
          <w:tcPr>
            <w:tcW w:type="dxa" w:w="1949"/>
          </w:tcPr>
          <w:p>
            <w:r>
              <w:rPr>
                <w:b/>
                <w:sz w:val="17"/>
              </w:rPr>
              <w:t>Finance/Risk Owner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loan.booking.enabled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CB-BOOK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Not required — epic moves no money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loan.disbursement.enabled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CB-DISB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Treasury Ops lead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loan.accrual.batch.enabled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CB-ACCR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Batch/EOD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Controller / Financial Reporting owner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loan.repayment.autopost.enabled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CB-REPAY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Cash Ops/Treasury lead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loan.delinquency.feeassessment.enabled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CB-DELINQ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Collections/Risk lead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loan.delinquency.feewaiver.enabled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CB-DELINQ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Collections/Risk lead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loan.payoff.quote.enabled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CB-PAYOFF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Not required — quote step posts nothing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loan.payoff.settlement.enabled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CB-PAYOFF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Treasury/Controller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loan.chargeoff.enabled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CB-CHARGEOFF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Controller / Allowance-for-Losses owner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loan.modification.enabled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CB-MOD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Not required for the Branch-B path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  <w:t>loan.modification.capitalization.enabled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CB-MOD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Loan Subledger lead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  <w:t>Controller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