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36"/>
          <w:sz w:val="32"/>
        </w:rPr>
        <w:t>NSBS INNOVATION CHALLENGE 2026 — APPLICATION ANSWER SHEET</w:t>
      </w:r>
    </w:p>
    <w:p>
      <w:pPr>
        <w:jc w:val="center"/>
      </w:pPr>
      <w:r>
        <w:rPr>
          <w:i/>
        </w:rPr>
        <w:t>Theme: STEP OUT AND INNOVATE  ·  Category: Computational Biology &amp; Bioinformatics</w:t>
      </w:r>
    </w:p>
    <w:p>
      <w:pPr>
        <w:jc w:val="center"/>
      </w:pPr>
      <w:r>
        <w:rPr>
          <w:sz w:val="18"/>
        </w:rPr>
        <w:t>Pre-filled answers for the Google Form. Red items in [BRACKETS] must be replaced with your personal details before submitting.</w:t>
      </w:r>
    </w:p>
    <w:p/>
    <w:p>
      <w:pPr>
        <w:pStyle w:val="Heading1"/>
      </w:pPr>
      <w:r>
        <w:rPr>
          <w:color w:val="0E5A52"/>
        </w:rPr>
        <w:t>0. How to use this sheet</w:t>
      </w:r>
    </w:p>
    <w:p>
      <w:r>
        <w:t>Sign into the Google Form with your own Google account (the form requires sign-in). Copy each answer below into the matching field. Word counts are provided where the form states limits. Every scientific claim below is true of the actual working prototype — nothing here overstates the build.</w:t>
      </w:r>
    </w:p>
    <w:p>
      <w:pPr>
        <w:pStyle w:val="Heading1"/>
      </w:pPr>
      <w:r>
        <w:rPr>
          <w:color w:val="0E5A52"/>
        </w:rPr>
        <w:t>1. Personal / applicant information</w:t>
      </w:r>
    </w:p>
    <w:p>
      <w:r>
        <w:rPr>
          <w:b/>
          <w:color w:val="0B3B36"/>
          <w:sz w:val="23"/>
        </w:rPr>
        <w:t>Full name</w:t>
      </w:r>
    </w:p>
    <w:p>
      <w:r>
        <w:t>[FILL IN — your full legal name]</w:t>
      </w:r>
    </w:p>
    <w:p>
      <w:r>
        <w:rPr>
          <w:b/>
          <w:color w:val="0B3B36"/>
          <w:sz w:val="23"/>
        </w:rPr>
        <w:t>Email address</w:t>
      </w:r>
    </w:p>
    <w:p>
      <w:r>
        <w:t>[FILL IN — use the email you want NSBS to contact]</w:t>
      </w:r>
    </w:p>
    <w:p>
      <w:r>
        <w:rPr>
          <w:b/>
          <w:color w:val="0B3B36"/>
          <w:sz w:val="23"/>
        </w:rPr>
        <w:t>Phone number</w:t>
      </w:r>
    </w:p>
    <w:p>
      <w:r>
        <w:t>[FILL IN — e.g., +234 ...]</w:t>
      </w:r>
    </w:p>
    <w:p>
      <w:r>
        <w:rPr>
          <w:b/>
          <w:color w:val="0B3B36"/>
          <w:sz w:val="23"/>
        </w:rPr>
        <w:t>Applicant type</w:t>
      </w:r>
    </w:p>
    <w:p>
      <w:r>
        <w:t>Individual applicant</w:t>
      </w:r>
    </w:p>
    <w:p>
      <w:r>
        <w:rPr>
          <w:b/>
          <w:color w:val="0B3B36"/>
          <w:sz w:val="23"/>
        </w:rPr>
        <w:t>Institution / affiliation</w:t>
      </w:r>
    </w:p>
    <w:p>
      <w:r>
        <w:t>[FILL IN — university, company, or 'Independent researcher']</w:t>
      </w:r>
    </w:p>
    <w:p>
      <w:r>
        <w:rPr>
          <w:b/>
          <w:color w:val="0B3B36"/>
          <w:sz w:val="23"/>
        </w:rPr>
        <w:t>City / State</w:t>
      </w:r>
    </w:p>
    <w:p>
      <w:r>
        <w:t>[FILL IN — e.g., Lagos, Lagos State, Nigeria]</w:t>
      </w:r>
    </w:p>
    <w:p>
      <w:r>
        <w:rPr>
          <w:b/>
          <w:color w:val="0B3B36"/>
          <w:sz w:val="23"/>
        </w:rPr>
        <w:t>If the form asks for other innovators/team members</w:t>
      </w:r>
    </w:p>
    <w:p>
      <w:r>
        <w:t>Sole innovator — [FILL IN your name].</w:t>
      </w:r>
    </w:p>
    <w:p>
      <w:r>
        <w:rPr>
          <w:b/>
          <w:color w:val="0B3B36"/>
          <w:sz w:val="23"/>
        </w:rPr>
        <w:t>If the form asks: are you a student / NYSC / professional</w:t>
      </w:r>
    </w:p>
    <w:p>
      <w:r>
        <w:t>[FILL IN — pick the option matching your status]</w:t>
      </w:r>
    </w:p>
    <w:p>
      <w:pPr>
        <w:pStyle w:val="Heading1"/>
      </w:pPr>
      <w:r>
        <w:rPr>
          <w:color w:val="0E5A52"/>
        </w:rPr>
        <w:t>2. Entry classification</w:t>
      </w:r>
    </w:p>
    <w:p>
      <w:r>
        <w:rPr>
          <w:b/>
          <w:color w:val="0B3B36"/>
          <w:sz w:val="23"/>
        </w:rPr>
        <w:t>Challenge theme</w:t>
      </w:r>
    </w:p>
    <w:p>
      <w:r>
        <w:t>STEP OUT AND INNOVATE</w:t>
      </w:r>
    </w:p>
    <w:p>
      <w:r>
        <w:rPr>
          <w:b/>
          <w:color w:val="0B3B36"/>
          <w:sz w:val="23"/>
        </w:rPr>
        <w:t>Category</w:t>
      </w:r>
    </w:p>
    <w:p>
      <w:r>
        <w:t>Computational Biology &amp; Bioinformatics</w:t>
      </w:r>
    </w:p>
    <w:p>
      <w:r>
        <w:rPr>
          <w:b/>
          <w:color w:val="0B3B36"/>
          <w:sz w:val="23"/>
        </w:rPr>
        <w:t>Development stage</w:t>
      </w:r>
    </w:p>
    <w:p>
      <w:r>
        <w:t>Working prototype / field testing (offline-capable functional build; live demonstrable; laboratory validation roadmap defined)</w:t>
      </w:r>
    </w:p>
    <w:p>
      <w:r>
        <w:rPr>
          <w:b/>
          <w:color w:val="0B3B36"/>
          <w:sz w:val="23"/>
        </w:rPr>
        <w:t>Innovation area (if free text)</w:t>
      </w:r>
    </w:p>
    <w:p>
      <w:r>
        <w:t>Environmental biotechnology × bioinformatics — AMR-aware decision intelligence for antibiotic bioremediation of water/wastewater</w:t>
      </w:r>
    </w:p>
    <w:p>
      <w:pPr>
        <w:pStyle w:val="Heading1"/>
      </w:pPr>
      <w:r>
        <w:rPr>
          <w:color w:val="0E5A52"/>
        </w:rPr>
        <w:t>3. INNOVATION TITLE</w:t>
      </w:r>
    </w:p>
    <w:p>
      <w:r>
        <w:rPr>
          <w:i/>
          <w:color w:val="6A6A6A"/>
          <w:sz w:val="17"/>
        </w:rPr>
        <w:t>[limit ≤15 words]</w:t>
      </w:r>
    </w:p>
    <w:p>
      <w:r>
        <w:rPr>
          <w:b/>
          <w:color w:val="0B3B36"/>
          <w:sz w:val="23"/>
        </w:rPr>
      </w:r>
      <w:r>
        <w:rPr>
          <w:i/>
          <w:color w:val="6A6A6A"/>
          <w:sz w:val="18"/>
        </w:rPr>
        <w:t xml:space="preserve">   [12 words]</w:t>
      </w:r>
    </w:p>
    <w:p>
      <w:r>
        <w:t>TETRA-SHIELD: Explainable decision engine for safe, AMR-aware enzymatic bioremediation of antibiotic pollution.</w:t>
      </w:r>
    </w:p>
    <w:p>
      <w:pPr>
        <w:pStyle w:val="Heading1"/>
      </w:pPr>
      <w:r>
        <w:rPr>
          <w:color w:val="0E5A52"/>
        </w:rPr>
        <w:t>4. ELEVATOR PITCH</w:t>
      </w:r>
    </w:p>
    <w:p>
      <w:r>
        <w:rPr>
          <w:i/>
          <w:color w:val="6A6A6A"/>
          <w:sz w:val="17"/>
        </w:rPr>
        <w:t>[limit ≤35 words]</w:t>
      </w:r>
    </w:p>
    <w:p>
      <w:r>
        <w:rPr>
          <w:b/>
          <w:color w:val="0B3B36"/>
          <w:sz w:val="23"/>
        </w:rPr>
      </w:r>
      <w:r>
        <w:rPr>
          <w:i/>
          <w:color w:val="6A6A6A"/>
          <w:sz w:val="18"/>
        </w:rPr>
        <w:t xml:space="preserve">   [33 words]</w:t>
      </w:r>
    </w:p>
    <w:p>
      <w:r>
        <w:t>Antibiotics 'removed' from water are not necessarily detoxified. TETRA-SHIELD computes — with real docking, sequences and literature — whether an enzyme truly transforms tetracycline, what products result, and which candidate to validate first.</w:t>
      </w:r>
    </w:p>
    <w:p>
      <w:pPr>
        <w:pStyle w:val="Heading1"/>
      </w:pPr>
      <w:r>
        <w:rPr>
          <w:color w:val="0E5A52"/>
        </w:rPr>
        <w:t>5. PROBLEM STATEMENT</w:t>
      </w:r>
    </w:p>
    <w:p>
      <w:r>
        <w:rPr>
          <w:i/>
          <w:color w:val="6A6A6A"/>
          <w:sz w:val="17"/>
        </w:rPr>
        <w:t>[150–200 words (this answer: ~180)]</w:t>
      </w:r>
    </w:p>
    <w:p>
      <w:r>
        <w:t>Nigeria's waterways receive antibiotics from hospitals, municipalities, aquaculture and livestock. Tetracycline has been measured at up to 310 ng/g in Lagos hospital-WWTP sludge, and tetracycline-resistance genes (tetA/B/M) circulate in Lagos aquatic isolates. Standard monitoring treats disappearance of the parent molecule as success — yet tetracycline epimerises into the still-active 4-epitetracycline and dehydrates into anhydrotetracycline, while sub-MIC residues keep selecting for antimicrobial resistance. Biodegradation research, meanwhile, often stops at "percentage removed," rarely asking what the transformation products do or whether the degrading enzyme itself is a resistance gene. Practitioners in low-resource settings lack a way to compare candidate biocatalysts on safety-adjusted evidence before spending scarce laboratory funds. TETRA-SHIELD addresses this gap: an offline-capable, explainable decision engine that links contaminant identity, enzyme/structural/substrate evidence, transformation products, residual antibacterial activity, AMR associations, uncertainty and locally feasible cassava-waste pretreatment into one auditable prioritisation score — explicitly separating removal, degradation and detoxification, and telling labs exactly what to validate first.</w:t>
      </w:r>
    </w:p>
    <w:p>
      <w:pPr>
        <w:pStyle w:val="Heading1"/>
      </w:pPr>
      <w:r>
        <w:rPr>
          <w:color w:val="0E5A52"/>
        </w:rPr>
        <w:t>6. TARGET BENEFICIARIES</w:t>
      </w:r>
    </w:p>
    <w:p>
      <w:r>
        <w:rPr>
          <w:i/>
          <w:color w:val="6A6A6A"/>
          <w:sz w:val="17"/>
        </w:rPr>
        <w:t>[~100 words]</w:t>
      </w:r>
    </w:p>
    <w:p>
      <w:r>
        <w:t>Environmental biotech and water-treatment researchers who must choose which enzymes to assay; public-health and AMR teams needing a One-Health view of residue-driven selection; Nigerian and African wastewater operators and SMEs seeking low-cost, locally sourced treatment options (cassava agro-waste pre-concentration); regulators and NGOs who need evidence-graded rather than anecdotal remediation claims; and academic labs seeking reproducible computational triage. Ultimately, communities downstream of hospital, municipal and agro-industrial effluent benefit from remediation that is verified safe, not just analytically invisible.</w:t>
      </w:r>
    </w:p>
    <w:p>
      <w:pPr>
        <w:pStyle w:val="Heading1"/>
      </w:pPr>
      <w:r>
        <w:rPr>
          <w:color w:val="0E5A52"/>
        </w:rPr>
        <w:t>7. BIOCHEMICAL MECHANISM</w:t>
      </w:r>
    </w:p>
    <w:p>
      <w:r>
        <w:rPr>
          <w:i/>
          <w:color w:val="6A6A6A"/>
          <w:sz w:val="17"/>
        </w:rPr>
        <w:t>[250–350 words (this answer: ~315)]</w:t>
      </w:r>
    </w:p>
    <w:p>
      <w:r>
        <w:t>TETRA-SHIELD's reference route is enzymatic inactivation by Tet(X)-family FAD-dependent monooxygenases. The enzyme reduces FAD with NADPH; FADH2 reacts with O2 to form a C4a-hydroperoxide, which regioselectively hydroxylates tetracycline at C11a. This converts the C11a–C12 enol into a hemiketal, destroying the beta-diketone Mg2+-chelation pharmacophore required for ribosome binding; the product is unstable and decomposes non-enzymatically to antibacterially inactive products (Yang et al. 2004, JBC; Volkers et al. 2011, JMB). The prototype verifies structural feasibility by docking tetracycline into the co-crystal site of TetX2 (PDB 2Y6R, FAD retained): top affinity −9.7 kcal/mol, with the docking protocol itself validated by re-docking the crystallographic ligand (RMSD 1.84 Å). Two fungal alternatives are evaluated on their own mechanisms: laccase-2 (PDB 1GYC), a multicopper oxidase that single-electron-oxidises phenolic substrates at the T1 copper — mediator-enhanced tetracycline elimination is experimentally demonstrated (Suda et al. 2012), while rigid docking gave no productive pose, which the system reports honestly as qualitative — and manganese peroxidase 1 (PDB 1MNP), which generates diffusible Mn3+ that oxidises tetracycline via demethylation, dimethylamino oxidation, decarbonylation, hydroxylation and oxidative dehydrogenation, with multiple product structures reported (Wen et al. 2010). Safety is mechanism-aware: the engine tracks the C4 epimerisation equilibrium (an active product) and acid dehydration to anhydrotetracycline (altered activity; a known Tet(X) inhibitor), and it flags that Tet(X)-family enzymes — themselves antibiotic-resistance determinants — must be deployed only as purified, cell-free biocatalysts, never as released genes or organisms. Cassava-derived biochar is modelled only as an adsorptive pre-concentration layer (mass transfer, not destruction), with explicit spent-material end-of-life options, feeding a combined adsorption-plus-enzymatic-transformation architecture.</w:t>
      </w:r>
    </w:p>
    <w:p>
      <w:pPr>
        <w:pStyle w:val="Heading1"/>
      </w:pPr>
      <w:r>
        <w:rPr>
          <w:color w:val="0E5A52"/>
        </w:rPr>
        <w:t>8. MATERIALS / REAGENTS / DATASETS</w:t>
      </w:r>
    </w:p>
    <w:p>
      <w:r>
        <w:rPr>
          <w:i/>
          <w:color w:val="6A6A6A"/>
          <w:sz w:val="17"/>
        </w:rPr>
        <w:t>[limit ≤150 words]</w:t>
      </w:r>
    </w:p>
    <w:p>
      <w:r>
        <w:t>Computational prototype — no wet reagents consumed. Public data: PubChem (CIDs 54675776, 54682506, 54675758); UniProtKB (Q01911, Q93L51, Q7X2A0, Q02567, Q12718); RCSB PDB (2Y6R, 4A6N, 1GYC, 1MNP); AlphaFold DB (AF-Q01911-F1); CARD (concept level); peer-reviewed literature including Lagos field studies and 2025 black-soldier-fly gut work. Software: Python 3.13, FastAPI, smina/AutoDock Vina 1.1.2, Open Babel, RDKit, Biopython, scipy, reportlab, 3Dmol.js. All provenance-tracked (source, accession, DOI, retrieval date). Future wet phase: purified TetX/laccase, NADPH/FAD, tetracycline standards, LC-MS/MS, bioassay strains.</w:t>
      </w:r>
    </w:p>
    <w:p>
      <w:pPr>
        <w:pStyle w:val="Heading1"/>
      </w:pPr>
      <w:r>
        <w:rPr>
          <w:color w:val="0E5A52"/>
        </w:rPr>
        <w:t>9. SCALABILITY / COMMERCIAL / INDUSTRIAL VIABILITY</w:t>
      </w:r>
    </w:p>
    <w:p>
      <w:r>
        <w:rPr>
          <w:i/>
          <w:color w:val="6A6A6A"/>
          <w:sz w:val="17"/>
        </w:rPr>
        <w:t>[limit ≤200 words]</w:t>
      </w:r>
    </w:p>
    <w:p>
      <w:r>
        <w:t>The software is zero-marginal-cost and runs offline on commodity hardware — appropriate for low-connectivity deployments. The treatment concept it prioritises is equally frugal: a cassava-waste biochar pre-concentrator (feedstock is a free waste stream in the world's largest cassava-producing country; published laboratory studies show up to 92.6% tetracycline removal at pH 3 and Qmax of about 154 mg/g for activated sludge-derived material) followed by a cell-free enzyme module, avoiding GMO release and gene-transfer risk. Scale path: (1) computational triage (this prototype) → (2) laboratory validation (enzyme assays, LC-MS/MS product identification, bioactivity and toxicity assays) → (3) pilot cartridges at hospital and farm effluent points → (4) integration with municipal polishing stages. Revenue models: licensing the decision engine to water-technology and environmental consultancies; a spin-off enzyme-cartridge product with local biochar manufacturing; grant and circular-economy funding. Costs are deliberately not quoted — they require the wet-lab phase the roadmap defines. The architecture generalises to other contaminant classes only where evidence modules exist, keeping every commercial claim evidence-scoped.</w:t>
      </w:r>
    </w:p>
    <w:p>
      <w:pPr>
        <w:pStyle w:val="Heading1"/>
      </w:pPr>
      <w:r>
        <w:rPr>
          <w:color w:val="0E5A52"/>
        </w:rPr>
        <w:t>10. NOVELTY / COMPETITIVE EDGE</w:t>
      </w:r>
    </w:p>
    <w:p>
      <w:r>
        <w:rPr>
          <w:i/>
          <w:color w:val="6A6A6A"/>
          <w:sz w:val="17"/>
        </w:rPr>
        <w:t>[limit ≤150 words]</w:t>
      </w:r>
    </w:p>
    <w:p>
      <w:r>
        <w:t>Existing tools answer single questions: BLAST finds similar enzymes; docking scores binding; CARD flags resistance; occurrence maps show contamination. TETRA-SHIELD is, to our knowledge, the first integrated, explainable engine that jointly evaluates (i) biological transformation plausibility with validated real docking, (ii) transformation-product safety and residual antibacterial activity, (iii) AMR implications of the biocatalyst itself, (iv) uncertainty, and (v) locally feasible cassava-waste pretreatment — and makes the trade-offs adjustable and provably stable (Kendall's W = 0.955 across 400 weight perturbations). Its core doctrine — removal is not degradation, and degradation is not detoxification — is enforced in the data model. Deliberate honesty (a negative laccase docking result is reported; unvalidated candidates are scored low; no ML model is fitted on six data points) differentiates it from dashboard-style 'AI' claims. The novelty claim is integration-level and method-level; no field-wide uniqueness is asserted absent a full patent search.</w:t>
      </w:r>
    </w:p>
    <w:p>
      <w:pPr>
        <w:pStyle w:val="Heading1"/>
      </w:pPr>
      <w:r>
        <w:rPr>
          <w:color w:val="0E5A52"/>
        </w:rPr>
        <w:t>11. STRUCTURED ABSTRACT</w:t>
      </w:r>
    </w:p>
    <w:p>
      <w:r>
        <w:rPr>
          <w:i/>
          <w:color w:val="6A6A6A"/>
          <w:sz w:val="17"/>
        </w:rPr>
        <w:t>[250–300 words (this answer: ~290)]</w:t>
      </w:r>
    </w:p>
    <w:p>
      <w:r>
        <w:t>Background. Antibiotic residues in African waters sustain resistance selection, and 'removal' metrics can mask active transformation products. Decision tools that integrate biodegradation, product safety and AMR for low-resource deployment are lacking. Methods. We built TETRA-SHIELD, an offline-capable decision engine. Tetracycline identity and descriptors were fetched from PubChem; six biocatalyst candidates (TetX, TetX2, Tet(X3), laccase-2, MnP1, and a 2023–2025 black-soldier-fly gut metatranscriptome family) were curated from UniProtKB, PDB, AlphaFold DB and literature with five-level evidence grading and full provenance. Docking (smina/Vina) against TetX2 with FAD retained was validated by re-docking the co-crystallised ligand (RMSD 1.84 Å); sequences were compared by global alignment; products were triaged with RDKit similarity and pharmacophore alerts; AMR was screened per candidate. A 13-component evidence-integrated priority score was stress-tested by 400-iteration Monte-Carlo sensitivity, ablation and baseline comparisons. Nigerian occurrence data (Lagos waters; tetracycline up to 310 ng/g in hospital sludge) and cassava-biochar adsorption evidence (Qmax 154 mg/g) anchor local relevance. Results. TetX2 leads balanced prioritisation (89.2/100) but ranks below laccase under an AMR-conservative stance because TetX enzymes are themselves resistance determinants; rankings are stable (W = 0.955). The safety layer surfaced the activity-retaining epimer as the key 'removal is not detoxification' case; laccase docking was a genuine negative result and is reported as such. Conclusions. Safety-aware, AMR-aware, uncertainty-honest computational triage is feasible and demonstrable end-to-end with public data, and yields concrete, falsifiable laboratory-validation recommendations for environmental bioremediation in Nigeria.</w:t>
      </w:r>
    </w:p>
    <w:p>
      <w:pPr>
        <w:pStyle w:val="Heading1"/>
      </w:pPr>
      <w:r>
        <w:rPr>
          <w:color w:val="0E5A52"/>
        </w:rPr>
        <w:t>12. Supporting links / evidence (if the form asks)</w:t>
      </w:r>
    </w:p>
    <w:p>
      <w:r>
        <w:rPr>
          <w:b/>
          <w:color w:val="0B3B36"/>
          <w:sz w:val="23"/>
        </w:rPr>
        <w:t>Demo / video link</w:t>
      </w:r>
    </w:p>
    <w:p>
      <w:r>
        <w:t>[FILL IN — record a 90-second screen-recording of the app following docs/DEMO_GUIDE.md and paste the link]</w:t>
      </w:r>
    </w:p>
    <w:p>
      <w:r>
        <w:rPr>
          <w:b/>
          <w:color w:val="0B3B36"/>
          <w:sz w:val="23"/>
        </w:rPr>
        <w:t>Project repository / documentation</w:t>
      </w:r>
    </w:p>
    <w:p>
      <w:r>
        <w:t>[FILL IN — link to the repository OR state: 'Full source, data provenance (data_manifest.csv, provenance.json), methodology, validation report and 39 automated tests available on request']</w:t>
      </w:r>
    </w:p>
    <w:p>
      <w:r>
        <w:rPr>
          <w:b/>
          <w:color w:val="0B3B36"/>
          <w:sz w:val="23"/>
        </w:rPr>
        <w:t>Documents to attach if allowed</w:t>
      </w:r>
    </w:p>
    <w:p>
      <w:r>
        <w:t>results/TETRA-SHIELD_demo_report.pdf (auto-generated analysis report); docs/METHODOLOGY.md; docs/VALIDATION_REPORT.md</w:t>
      </w:r>
    </w:p>
    <w:p>
      <w:pPr>
        <w:pStyle w:val="Heading1"/>
      </w:pPr>
      <w:r>
        <w:rPr>
          <w:color w:val="0E5A52"/>
        </w:rPr>
        <w:t>13. Integrity declarations (typical checkboxes)</w:t>
      </w:r>
    </w:p>
    <w:p>
      <w:r>
        <w:t>• The innovation is my original work: YES — built end-to-end this cycle; all third-party data are public and licensed (see data_manifest.csv).</w:t>
      </w:r>
    </w:p>
    <w:p>
      <w:r>
        <w:t>• Information is accurate: YES — every number above is produced by the running prototype's scripts.</w:t>
      </w:r>
    </w:p>
    <w:p>
      <w:r>
        <w:t>• Consent to be contacted / to present at the live summit (17 October 2026, 8:00 PM WAT): YES.</w:t>
      </w:r>
    </w:p>
    <w:p/>
    <w:p>
      <w:r>
        <w:rPr>
          <w:i/>
          <w:sz w:val="17"/>
        </w:rPr>
        <w:t>Drafted from the verified TETRA-SHIELD build, 17 September 2026. Claims were kept strictly within what the prototype computes (see SCIENTIFIC_AUDIT).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