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766E"/>
          <w:sz w:val="18"/>
          <w:szCs w:val="18"/>
        </w:rPr>
        <w:t xml:space="preserve">MYSHOPEDGE  |  MSE-CLD-001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44"/>
          <w:szCs w:val="44"/>
        </w:rPr>
        <w:t xml:space="preserve">Cloud Hosting Document</w:t>
      </w:r>
    </w:p>
    <w:p>
      <w:pPr>
        <w:pBdr>
          <w:bottom w:val="single" w:color="0F766E" w:sz="8" w:space="6"/>
        </w:pBdr>
        <w:spacing w:after="20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Where and how the MVP runs, is secured, recovered and paid for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 ID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MSE-CLD-001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Version and status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0.1, draft for review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September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Product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MyShopEdge MVP: UK TikTok Shop sellers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Basis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 Specification v2.0 (requirement IDs such as VIS-1 and BK-2 refer to it)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Related documents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TRD (MSE-TRD-001), Backend Orchestration and Schema (MSE-BOS-001), Data Protection (MSE-DPD-001), QA (MSE-QA-001)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1. Purpose and scope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recommends the hosting platform, environments, network and security design, deployment pipeline, monitoring, recovery and capacity plan for the MVP. It is a recommendation for confirmation. Service names refer to AWS; equivalents exist on Azure and Google Cloud.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2. Recommendation in brief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F766E" w:sz="24"/>
              <w:bottom w:val="none" w:color="FFFFFF" w:sz="0"/>
              <w:right w:val="none" w:color="FFFFFF" w:sz="0"/>
            </w:tcBorders>
            <w:shd w:fill="ECF6F4" w:color="auto" w:val="clear"/>
            <w:tcMar>
              <w:top w:type="dxa" w:w="130"/>
              <w:left w:type="dxa" w:w="220"/>
              <w:bottom w:type="dxa" w:w="9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8"/>
                <w:szCs w:val="18"/>
              </w:rPr>
              <w:t xml:space="preserve">DECISIONS TAKEN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Host on AWS in the London region (eu-west-2)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using managed services throughout: containers on ECS Fargate, PostgreSQL on RDS with Multi-AZ, SQS queues, S3 storage, CloudFront and WAF at the edge, Secrets Manager and KMS for secrets and keys.</w:t>
            </w:r>
          </w:p>
          <w:p>
            <w:pPr>
              <w:spacing w:after="80" w:line="276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Backups stay in the UK for now, and all data is backed up.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Both are decided (Section 9). Why AWS London: UK data residency for a product holding sellers’ financial data, minimal servers to operate for a small team, and a clear route to scale. Confirm that each service is available in the London region before commitment.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3. Hosting principles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UK-resident.</w:t>
      </w:r>
      <w:r>
        <w:rPr>
          <w:rFonts w:ascii="Calibri" w:cs="Calibri" w:eastAsia="Calibri" w:hAnsi="Calibri"/>
          <w:sz w:val="21"/>
          <w:szCs w:val="21"/>
        </w:rPr>
        <w:t xml:space="preserve"> Primary data and every backup stay in the UK (London region). No copy leaves the UK for now; any change is a deliberate decision reviewed with counsel.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Managed over self-run.</w:t>
      </w:r>
      <w:r>
        <w:rPr>
          <w:rFonts w:ascii="Calibri" w:cs="Calibri" w:eastAsia="Calibri" w:hAnsi="Calibri"/>
          <w:sz w:val="21"/>
          <w:szCs w:val="21"/>
        </w:rPr>
        <w:t xml:space="preserve"> Prefer managed database, queue, secrets and edge services to reduce operational load and risk.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Private by default.</w:t>
      </w:r>
      <w:r>
        <w:rPr>
          <w:rFonts w:ascii="Calibri" w:cs="Calibri" w:eastAsia="Calibri" w:hAnsi="Calibri"/>
          <w:sz w:val="21"/>
          <w:szCs w:val="21"/>
        </w:rPr>
        <w:t xml:space="preserve"> The database and workers have no public addresses. Only the edge and load balancer are public.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Least privilege.</w:t>
      </w:r>
      <w:r>
        <w:rPr>
          <w:rFonts w:ascii="Calibri" w:cs="Calibri" w:eastAsia="Calibri" w:hAnsi="Calibri"/>
          <w:sz w:val="21"/>
          <w:szCs w:val="21"/>
        </w:rPr>
        <w:t xml:space="preserve"> Separate roles per service; no shared credentials; short-lived access for people.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Everything as code.</w:t>
      </w:r>
      <w:r>
        <w:rPr>
          <w:rFonts w:ascii="Calibri" w:cs="Calibri" w:eastAsia="Calibri" w:hAnsi="Calibri"/>
          <w:sz w:val="21"/>
          <w:szCs w:val="21"/>
        </w:rPr>
        <w:t xml:space="preserve"> Infrastructure is defined in code and reviewed like software.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Cost visible.</w:t>
      </w:r>
      <w:r>
        <w:rPr>
          <w:rFonts w:ascii="Calibri" w:cs="Calibri" w:eastAsia="Calibri" w:hAnsi="Calibri"/>
          <w:sz w:val="21"/>
          <w:szCs w:val="21"/>
        </w:rPr>
        <w:t xml:space="preserve"> Every resource is tagged; budgets and alerts are set from the first day.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4. Topology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5619750" cy="4733925"/>
            <wp:effectExtent t="0" r="0" b="0" l="0"/>
            <wp:docPr id="1" name="hosting" descr="Recommended hosting topology" title="Recommended hosting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cantSplit/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Edge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53, CloudFront, AWS WAF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DNS, CDN for the frontend, managed rules and rate limiting, webhook path to the load balancer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Frontend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S3 static bucket behind CloudFront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Serves the PWA; long-cached assets; no server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Compute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ECS Fargate: API, worker, scheduler tasks across two availability zones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Runs the containers; scales by task count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Database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RDS PostgreSQL, Multi-AZ, encrypted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Ledger and schema; automated backups with point-in-time recovery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Queues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SQS with dead-letter queues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Ingest, processing, notification and export jobs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Scheduling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EventBridge Scheduler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Polls every 15 minutes; nightly jobs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S3 (uploads, exports)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Private buckets; short-lived signed URLs; lifecycle rules delete files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Secrets and keys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Secrets Manager, KMS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 secrets; encryption keys per environment; token envelope keys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Identity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Managed identity service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Sign-in and optional MFA (provider to be confirmed)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Email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SES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Verification and critical notices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Observability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CloudWatch logs, metrics, alarms; error tracking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Diagnosis and alerting, scrubbed of personal data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5. Environments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726"/>
        <w:gridCol w:w="2500"/>
      </w:tblGrid>
      <w:tr>
        <w:trPr>
          <w:cantSplit/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Account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and TikTok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Development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Separate AWS account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Synthetic data; TikTok development shop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Engineers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Staging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Separate AWS account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Golden datasets; TikTok development shop; production-like sizing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Engineers; QA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Production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Separate AWS account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Real seller data; production TikTok app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Named operators; approval and logging</w:t>
            </w:r>
          </w:p>
        </w:tc>
      </w:tr>
    </w:tbl>
    <w:p>
      <w:pPr>
        <w:spacing w:after="120" w:before="100" w:line="276"/>
      </w:pPr>
      <w:r>
        <w:rPr>
          <w:rFonts w:ascii="Calibri" w:cs="Calibri" w:eastAsia="Calibri" w:hAnsi="Calibri"/>
          <w:sz w:val="21"/>
          <w:szCs w:val="21"/>
        </w:rPr>
        <w:t xml:space="preserve">Production data is never copied to lower environments. Test data is synthetic or comes from consented pilot files that have been anonymised.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6. Network and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Design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Network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VPC across two availability zones. Public subnets hold the load balancer and NAT gateway. Application and data tiers sit in private subnets. Security groups allow only required flows.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Outbound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Workers reach TikTok through the NAT gateway. AWS services are reached through VPC endpoints.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Edge protection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WAF managed rule sets, rate limits on sign-in, upload and webhook paths, and request size limits.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Identity and access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IAM roles per service; no long-lived keys; engineer access through single sign-on with MFA; production access is time-limited and logged.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Encryption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TLS 1.2 or higher in transit; encryption at rest for database, storage and backups with managed keys; per-environment keys; TikTok tokens use envelope encryption.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Secrets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Held in the secrets service; rotated on a schedule; never in images, code or logs.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Detection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Account-level activity logging, threat detection, configuration rules, and alerts on unusual access.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Supply chain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Container and dependency scanning in the pipeline; minimal base images; signed builds.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7. Delivery pipeline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Source and review.</w:t>
      </w:r>
      <w:r>
        <w:rPr>
          <w:rFonts w:ascii="Calibri" w:cs="Calibri" w:eastAsia="Calibri" w:hAnsi="Calibri"/>
          <w:sz w:val="21"/>
          <w:szCs w:val="21"/>
        </w:rPr>
        <w:t xml:space="preserve"> All infrastructure and application changes go through pull requests with review.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Build and test.</w:t>
      </w:r>
      <w:r>
        <w:rPr>
          <w:rFonts w:ascii="Calibri" w:cs="Calibri" w:eastAsia="Calibri" w:hAnsi="Calibri"/>
          <w:sz w:val="21"/>
          <w:szCs w:val="21"/>
        </w:rPr>
        <w:t xml:space="preserve"> The pipeline builds images, runs unit, golden-dataset, integration and security checks, and blocks on failure.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Deploy.</w:t>
      </w:r>
      <w:r>
        <w:rPr>
          <w:rFonts w:ascii="Calibri" w:cs="Calibri" w:eastAsia="Calibri" w:hAnsi="Calibri"/>
          <w:sz w:val="21"/>
          <w:szCs w:val="21"/>
        </w:rPr>
        <w:t xml:space="preserve"> Automatic to staging; production after approval. Rolling deployment with health checks; database migrations run first as a gated step.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Rollback.</w:t>
      </w:r>
      <w:r>
        <w:rPr>
          <w:rFonts w:ascii="Calibri" w:cs="Calibri" w:eastAsia="Calibri" w:hAnsi="Calibri"/>
          <w:sz w:val="21"/>
          <w:szCs w:val="21"/>
        </w:rPr>
        <w:t xml:space="preserve"> Previous image and a tested migration rollback or forward-fix path; rollback in minutes.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Feature flags.</w:t>
      </w:r>
      <w:r>
        <w:rPr>
          <w:rFonts w:ascii="Calibri" w:cs="Calibri" w:eastAsia="Calibri" w:hAnsi="Calibri"/>
          <w:sz w:val="21"/>
          <w:szCs w:val="21"/>
        </w:rPr>
        <w:t xml:space="preserve"> MVP and Release 2 features are switched by configuration, so code can ship before it is enabled.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8. Monitoring and operations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26"/>
        <w:gridCol w:w="3000"/>
      </w:tblGrid>
      <w:tr>
        <w:trPr>
          <w:cantSplit/>
          <w:tblHeader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Alert when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Sync failures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shop’s sync fails repeatedly or a dead-letter queue is non-empty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Investigate; notify seller if reconnect needed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Feed freshness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connected shop has had no successful sync for 24 hours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Banner is shown to seller; operations review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 errors and latency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 rate or p95 latency above threshold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On-call review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Database health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CPU, storage, connections or replication lag near limit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Scale or tune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Reconciliation check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Nightly recomputation differs from stored metrics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Stop and investigate before next release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Security events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Unusual access, WAF spikes, failed sign-in surges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Security response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Cost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Forecast exceeds budget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Review resources</w:t>
            </w:r>
          </w:p>
        </w:tc>
      </w:tr>
    </w:tbl>
    <w:p>
      <w:pPr>
        <w:spacing w:after="120" w:before="1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Service objectives (proposed).</w:t>
      </w:r>
      <w:r>
        <w:rPr>
          <w:rFonts w:ascii="Calibri" w:cs="Calibri" w:eastAsia="Calibri" w:hAnsi="Calibri"/>
          <w:sz w:val="21"/>
          <w:szCs w:val="21"/>
        </w:rPr>
        <w:t xml:space="preserve"> Availability 99.5% monthly; webhook to screen under 2 minutes at p95; dashboard API p95 under 500 ms. An on-call rota, runbooks for the common failures and a status page are set up before the pilot.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9. Backup and recovery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cantSplit/>
          <w:tblHeader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Design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Targets (proposed)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Recovery point 15 minutes; recovery time 4 hours.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Scope (decided: all data)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Everything the service holds is backed up: the whole database (ledger, seller-entered data, settings, audit and change logs), uploaded and exported files, and configuration. Secrets and keys are recoverable through the secrets service and key policies; infrastructure and application code are held in version control. Backups follow the retention periods in the Data Protection Document, so “all data” never means keeping data longer than promised.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Location (decided: UK only)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Backups are held in the London region in a separate backup account and vault, encrypted with their own key and protected against deletion. AWS currently offers one UK region, so there is no second UK region to copy to; this is accepted for now and revisited with counsel.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Database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Multi-AZ failover for zone loss; automated backups with point-in-time recovery for 35 days; restore tested each quarter.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Storage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Versioning on file buckets; lifecycle rules per retention schedule.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Region loss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Loss of the whole London region is a low-likelihood event. Recovery would rebuild from infrastructure code and restore from the UK backups once the region returns, or after a decision to allow a copy outside the UK. The residual risk is accepted for now. Data is largely a rebuildable projection of TikTok data plus seller-entered records, so seller-entered data is the priority to protect.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Exercises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restore test before launch and then quarterly; a tabletop incident exercise before launch.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10. Capacity plan</w:t>
      </w:r>
    </w:p>
    <w:p>
      <w:pPr>
        <w:keepNext/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Starting points to be validated by load testing against the sizing assumptions in the TRD.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75"/>
        <w:gridCol w:w="2375"/>
        <w:gridCol w:w="2376"/>
      </w:tblGrid>
      <w:tr>
        <w:trPr>
          <w:cantSplit/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Pilot (about 20 shops)</w:t>
            </w:r>
          </w:p>
        </w:tc>
        <w:tc>
          <w:tcPr>
            <w:tcW w:type="dxa" w:w="2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Launch (about 500 shops)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Growth (about 5,000 shops)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API tasks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to 2 small</w:t>
            </w:r>
          </w:p>
        </w:tc>
        <w:tc>
          <w:tcPr>
            <w:tcW w:type="dxa" w:w="2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to 3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to 8, autoscaled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Worker tasks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small</w:t>
            </w:r>
          </w:p>
        </w:tc>
        <w:tc>
          <w:tcPr>
            <w:tcW w:type="dxa" w:w="2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to 4, autoscaled on queue depth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 to 20, autoscaled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Database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Small instance, Multi-AZ</w:t>
            </w:r>
          </w:p>
        </w:tc>
        <w:tc>
          <w:tcPr>
            <w:tcW w:type="dxa" w:w="2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 instance, Multi-AZ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Large instance, Multi-AZ, read replica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Queues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Standard</w:t>
            </w:r>
          </w:p>
        </w:tc>
        <w:tc>
          <w:tcPr>
            <w:tcW w:type="dxa" w:w="2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Standard, separate backfill queue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launch, with per-shop concurrency limits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Storage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Under 50 GB</w:t>
            </w:r>
          </w:p>
        </w:tc>
        <w:tc>
          <w:tcPr>
            <w:tcW w:type="dxa" w:w="23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Hundreds of GB</w:t>
            </w:r>
          </w:p>
        </w:tc>
        <w:tc>
          <w:tcPr>
            <w:tcW w:type="dxa" w:w="23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few TB with partitioning of the ledger by month</w:t>
            </w:r>
          </w:p>
        </w:tc>
      </w:tr>
    </w:tbl>
    <w:p>
      <w:pPr>
        <w:spacing w:after="120" w:before="100" w:line="276"/>
      </w:pPr>
      <w:r>
        <w:rPr>
          <w:rFonts w:ascii="Calibri" w:cs="Calibri" w:eastAsia="Calibri" w:hAnsi="Calibri"/>
          <w:sz w:val="21"/>
          <w:szCs w:val="21"/>
        </w:rPr>
        <w:t xml:space="preserve">Backfill of new shops is throttled on its own queue so that it cannot starve live processing.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11. Cost management</w:t>
      </w:r>
    </w:p>
    <w:p>
      <w:pPr>
        <w:keepNext/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 costed estimate follows once sizing is confirmed; it should be produced with the provider’s calculator rather than estimated here. The main cost drivers, in likely order, are: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Database instance, storage and backups.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Container compute hours across API, worker and scheduler tasks.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NAT gateway hours and data processing; VPC endpoints reduce this.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Edge: WAF rules and requests, CDN data transfer.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Backup storage across the retention period, which grows because all data is backed up.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Log storage and retention; error tracking; email volume.</w:t>
      </w:r>
    </w:p>
    <w:p>
      <w:pPr>
        <w:spacing w:after="120" w:before="100" w:line="276"/>
      </w:pPr>
      <w:r>
        <w:rPr>
          <w:rFonts w:ascii="Calibri" w:cs="Calibri" w:eastAsia="Calibri" w:hAnsi="Calibri"/>
          <w:sz w:val="21"/>
          <w:szCs w:val="21"/>
        </w:rPr>
        <w:t xml:space="preserve">Controls: resource tagging by environment and component, budgets with alerts at 50, 80 and 100 per cent, log retention limits, lifecycle rules on files, and a monthly cost review.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12. Compliance alignment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UK GDPR Article 32 security of processing: encryption, access control, resilience and testing described above.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Data residency: primary and backup data in the London region.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Target certifications for the operating company: Cyber Essentials before launch; ISO 27001-aligned controls, with certification decided later.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Processor terms with the cloud provider and each sub-processor are listed in the Data Protection Document.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13.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cantSplit/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Cloud provider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Decided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AWS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Decided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London (eu-west-2), UK-resident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Backup location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Decided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Kept in the UK for now; reviewed with counsel if this changes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Backup scope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Decided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data: database, files and configuration, within the stated retention periods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Identity service and its hosting region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be chosen; UK or EEA preferred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Independent penetration test provider and date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Before the pilot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On-call arrangement during the pilot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be agreed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475569"/>
        <w:sz w:val="16"/>
        <w:szCs w:val="16"/>
      </w:rPr>
      <w:t xml:space="preserve">Draft for review  |  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MyShopEdge  |  Cloud Hosting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ea575a1a2bdcd50778a0de20cdb731141bbaed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MyShopEdge Cloud Hosting Document</dc:title>
  <dc:creator>MyShopEdge</dc:creator>
  <cp:lastModifiedBy>Un-named</cp:lastModifiedBy>
  <cp:revision>1</cp:revision>
  <dcterms:created xsi:type="dcterms:W3CDTF">2026-09-21T03:18:00.403Z</dcterms:created>
  <dcterms:modified xsi:type="dcterms:W3CDTF">2026-09-21T03:18:00.403Z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