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766E"/>
          <w:sz w:val="18"/>
          <w:szCs w:val="18"/>
        </w:rPr>
        <w:t xml:space="preserve">MYSHOPEDGE  |  MSE-DPD-001</w:t>
      </w:r>
    </w:p>
    <w:p>
      <w:pPr>
        <w:spacing w:after="40"/>
      </w:pPr>
      <w:r>
        <w:rPr>
          <w:rFonts w:ascii="Calibri" w:cs="Calibri" w:eastAsia="Calibri" w:hAnsi="Calibri"/>
          <w:b/>
          <w:bCs/>
          <w:color w:val="1F2A44"/>
          <w:sz w:val="44"/>
          <w:szCs w:val="44"/>
        </w:rPr>
        <w:t xml:space="preserve">Data Protection Document</w:t>
      </w:r>
    </w:p>
    <w:p>
      <w:pPr>
        <w:pBdr>
          <w:bottom w:val="single" w:color="0F766E" w:sz="8" w:space="6"/>
        </w:pBdr>
        <w:spacing w:after="200"/>
      </w:pPr>
      <w:r>
        <w:rPr>
          <w:rFonts w:ascii="Calibri" w:cs="Calibri" w:eastAsia="Calibri" w:hAnsi="Calibri"/>
          <w:color w:val="475569"/>
          <w:sz w:val="22"/>
          <w:szCs w:val="22"/>
        </w:rPr>
        <w:t xml:space="preserve">How MyShopEdge handles personal data under UK data protection law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Document ID</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MSE-DPD-001</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Version and status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0.1, draft for review</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Date</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20 September 2026</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Product</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MyShopEdge MVP: UK TikTok Shop sellers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Basis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 Specification v2.0 (requirement IDs such as VIS-1 and BK-2 refer to it)</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Related documents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SRD (MSE-SRD-001), TRD (MSE-TRD-001), Cloud Hosting (MSE-CLD-001), API Integration (MSE-API-001), QA (MSE-QA-001)</w:t>
            </w:r>
          </w:p>
        </w:tc>
      </w:tr>
    </w:tbl>
    <w:p>
      <w:pPr>
        <w:pStyle w:val="Heading1"/>
        <w:keepNext/>
        <w:spacing w:after="100" w:before="280"/>
      </w:pPr>
      <w:r>
        <w:rPr>
          <w:rFonts w:ascii="Calibri" w:cs="Calibri" w:eastAsia="Calibri" w:hAnsi="Calibri"/>
        </w:rPr>
        <w:t xml:space="preserve">1. Purpose, status and scope</w:t>
      </w:r>
    </w:p>
    <w:p>
      <w:pPr>
        <w:spacing w:after="120" w:before="0" w:line="276"/>
      </w:pPr>
      <w:r>
        <w:rPr>
          <w:rFonts w:ascii="Calibri" w:cs="Calibri" w:eastAsia="Calibri" w:hAnsi="Calibri"/>
          <w:sz w:val="21"/>
          <w:szCs w:val="21"/>
        </w:rPr>
        <w:t xml:space="preserve">This document records how the MVP is designed to comply with the UK GDPR and the Data Protection Act 2018, and the decisions still needed. It is a working document prepared for review by UK data protection counsel before the pilot. It is not legal advice. It covers the MVP for UK TikTok Shop sellers.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F766E" w:sz="24"/>
              <w:bottom w:val="none" w:color="FFFFFF" w:sz="0"/>
              <w:right w:val="none" w:color="FFFFFF" w:sz="0"/>
            </w:tcBorders>
            <w:shd w:fill="ECF6F4" w:color="auto" w:val="clear"/>
            <w:tcMar>
              <w:top w:type="dxa" w:w="130"/>
              <w:left w:type="dxa" w:w="220"/>
              <w:bottom w:type="dxa" w:w="90"/>
              <w:right w:type="dxa" w:w="200"/>
            </w:tcMar>
          </w:tcPr>
          <w:p>
            <w:pPr>
              <w:spacing w:after="70"/>
            </w:pPr>
            <w:r>
              <w:rPr>
                <w:rFonts w:ascii="Calibri" w:cs="Calibri" w:eastAsia="Calibri" w:hAnsi="Calibri"/>
                <w:b/>
                <w:bCs/>
                <w:color w:val="0F766E"/>
                <w:sz w:val="18"/>
                <w:szCs w:val="18"/>
              </w:rPr>
              <w:t xml:space="preserve">APPROACH IN BRIEF</w:t>
            </w:r>
          </w:p>
          <w:p>
            <w:pPr>
              <w:spacing w:after="80" w:line="276"/>
            </w:pPr>
            <w:r>
              <w:rPr>
                <w:rFonts w:ascii="Calibri" w:cs="Calibri" w:eastAsia="Calibri" w:hAnsi="Calibri"/>
                <w:sz w:val="21"/>
                <w:szCs w:val="21"/>
              </w:rPr>
              <w:t xml:space="preserve"/>
            </w:r>
            <w:r>
              <w:rPr>
                <w:rFonts w:ascii="Calibri" w:cs="Calibri" w:eastAsia="Calibri" w:hAnsi="Calibri"/>
                <w:b/>
                <w:bCs/>
                <w:sz w:val="21"/>
                <w:szCs w:val="21"/>
              </w:rPr>
              <w:t xml:space="preserve">Collect less.</w:t>
            </w:r>
            <w:r>
              <w:rPr>
                <w:rFonts w:ascii="Calibri" w:cs="Calibri" w:eastAsia="Calibri" w:hAnsi="Calibri"/>
                <w:sz w:val="21"/>
                <w:szCs w:val="21"/>
              </w:rPr>
              <w:t xml:space="preserve"> Buyer names, addresses, phone numbers and emails are dropped before storage. MyShopEdge does not need them to show what a seller earns, owes or holds.</w:t>
            </w:r>
          </w:p>
          <w:p>
            <w:pPr>
              <w:spacing w:after="80" w:line="276"/>
            </w:pPr>
            <w:r>
              <w:rPr>
                <w:rFonts w:ascii="Calibri" w:cs="Calibri" w:eastAsia="Calibri" w:hAnsi="Calibri"/>
                <w:sz w:val="21"/>
                <w:szCs w:val="21"/>
              </w:rPr>
              <w:t xml:space="preserve"/>
            </w:r>
            <w:r>
              <w:rPr>
                <w:rFonts w:ascii="Calibri" w:cs="Calibri" w:eastAsia="Calibri" w:hAnsi="Calibri"/>
                <w:b/>
                <w:bCs/>
                <w:sz w:val="21"/>
                <w:szCs w:val="21"/>
              </w:rPr>
              <w:t xml:space="preserve">Protect what remains.</w:t>
            </w:r>
            <w:r>
              <w:rPr>
                <w:rFonts w:ascii="Calibri" w:cs="Calibri" w:eastAsia="Calibri" w:hAnsi="Calibri"/>
                <w:sz w:val="21"/>
                <w:szCs w:val="21"/>
              </w:rPr>
              <w:t xml:space="preserve"> Seller account and business data is encrypted, isolated per account, held in the UK, kept only as long as needed, and deletable on request.</w:t>
            </w:r>
          </w:p>
          <w:p>
            <w:pPr>
              <w:spacing w:after="80" w:line="276"/>
            </w:pPr>
            <w:r>
              <w:rPr>
                <w:rFonts w:ascii="Calibri" w:cs="Calibri" w:eastAsia="Calibri" w:hAnsi="Calibri"/>
                <w:sz w:val="21"/>
                <w:szCs w:val="21"/>
              </w:rPr>
              <w:t xml:space="preserve"/>
            </w:r>
            <w:r>
              <w:rPr>
                <w:rFonts w:ascii="Calibri" w:cs="Calibri" w:eastAsia="Calibri" w:hAnsi="Calibri"/>
                <w:b/>
                <w:bCs/>
                <w:sz w:val="21"/>
                <w:szCs w:val="21"/>
              </w:rPr>
              <w:t xml:space="preserve">Be clear.</w:t>
            </w:r>
            <w:r>
              <w:rPr>
                <w:rFonts w:ascii="Calibri" w:cs="Calibri" w:eastAsia="Calibri" w:hAnsi="Calibri"/>
                <w:sz w:val="21"/>
                <w:szCs w:val="21"/>
              </w:rPr>
              <w:t xml:space="preserve"> The app says what it reads and what it does not read, and tax figures are explained as guides.</w:t>
            </w:r>
          </w:p>
        </w:tc>
      </w:tr>
    </w:tbl>
    <w:p>
      <w:pPr>
        <w:pStyle w:val="Heading1"/>
        <w:keepNext/>
        <w:spacing w:after="100" w:before="280"/>
      </w:pPr>
      <w:r>
        <w:rPr>
          <w:rFonts w:ascii="Calibri" w:cs="Calibri" w:eastAsia="Calibri" w:hAnsi="Calibri"/>
        </w:rPr>
        <w:t xml:space="preserve">2.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cantSplit/>
          <w:tblHeader/>
        </w:trPr>
        <w:tc>
          <w:tcPr>
            <w:tcW w:type="dxa" w:w="2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Party</w:t>
            </w:r>
          </w:p>
        </w:tc>
        <w:tc>
          <w:tcPr>
            <w:tcW w:type="dxa" w:w="2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Role</w:t>
            </w:r>
          </w:p>
        </w:tc>
        <w:tc>
          <w:tcPr>
            <w:tcW w:type="dxa" w:w="44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Notes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Operating company</w:t>
            </w:r>
            <w:r>
              <w:rPr>
                <w:rFonts w:ascii="Calibri" w:cs="Calibri" w:eastAsia="Calibri" w:hAnsi="Calibri"/>
                <w:b w:val="false"/>
                <w:bCs w:val="false"/>
                <w:sz w:val="19"/>
                <w:szCs w:val="19"/>
              </w:rPr>
              <w:t xml:space="preserve"> (to be confirmed)</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Controller</w:t>
            </w:r>
          </w:p>
        </w:tc>
        <w:tc>
          <w:tcPr>
            <w:tcW w:type="dxa" w:w="4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For seller account data, usage data, and the seller business data it holds to provide the service. For a sole trader, business data is also personal data.</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Seller</w:t>
            </w:r>
            <w:r>
              <w:rPr>
                <w:rFonts w:ascii="Calibri" w:cs="Calibri" w:eastAsia="Calibri" w:hAnsi="Calibri"/>
                <w:b w:val="false"/>
                <w:bCs w:val="false"/>
                <w:sz w:val="19"/>
                <w:szCs w:val="19"/>
              </w:rPr>
              <w:t xml:space="preserve"/>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Data subject and user</w:t>
            </w:r>
          </w:p>
        </w:tc>
        <w:tc>
          <w:tcPr>
            <w:tcW w:type="dxa" w:w="4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Also the controller of their own customers’ data in TikTok Shop. That data is not needed by MyShopEdge and is not stored.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TikTok</w:t>
            </w:r>
            <w:r>
              <w:rPr>
                <w:rFonts w:ascii="Calibri" w:cs="Calibri" w:eastAsia="Calibri" w:hAnsi="Calibri"/>
                <w:b w:val="false"/>
                <w:bCs w:val="false"/>
                <w:sz w:val="19"/>
                <w:szCs w:val="19"/>
              </w:rPr>
              <w:t xml:space="preserve"/>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Independent controller and data source</w:t>
            </w:r>
          </w:p>
        </w:tc>
        <w:tc>
          <w:tcPr>
            <w:tcW w:type="dxa" w:w="4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Provides the feed under its developer terms. MyShopEdge reads with the seller’s authorisation.</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Sub-processors</w:t>
            </w:r>
            <w:r>
              <w:rPr>
                <w:rFonts w:ascii="Calibri" w:cs="Calibri" w:eastAsia="Calibri" w:hAnsi="Calibri"/>
                <w:b w:val="false"/>
                <w:bCs w:val="false"/>
                <w:sz w:val="19"/>
                <w:szCs w:val="19"/>
              </w:rPr>
              <w:t xml:space="preserve"/>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Processors</w:t>
            </w:r>
          </w:p>
        </w:tc>
        <w:tc>
          <w:tcPr>
            <w:tcW w:type="dxa" w:w="4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Cloud host, identity, email, error tracking and support tools, each under written processor terms.</w:t>
            </w:r>
          </w:p>
        </w:tc>
      </w:tr>
    </w:tbl>
    <w:p>
      <w:pPr>
        <w:spacing w:after="120" w:before="100" w:line="276"/>
      </w:pPr>
      <w:r>
        <w:rPr>
          <w:rFonts w:ascii="Calibri" w:cs="Calibri" w:eastAsia="Calibri" w:hAnsi="Calibri"/>
          <w:sz w:val="21"/>
          <w:szCs w:val="21"/>
        </w:rPr>
        <w:t xml:space="preserve">If MyShopEdge ever stored buyer data it would act as the seller’s processor and would need processor terms with each seller. The design avoids this by not storing it.</w:t>
      </w:r>
    </w:p>
    <w:p>
      <w:pPr>
        <w:pStyle w:val="Heading1"/>
        <w:keepNext/>
        <w:spacing w:after="100" w:before="280"/>
      </w:pPr>
      <w:r>
        <w:rPr>
          <w:rFonts w:ascii="Calibri" w:cs="Calibri" w:eastAsia="Calibri" w:hAnsi="Calibri"/>
        </w:rPr>
        <w:t xml:space="preserve">3. Personal data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26"/>
        <w:gridCol w:w="1300"/>
        <w:gridCol w:w="1600"/>
        <w:gridCol w:w="2300"/>
      </w:tblGrid>
      <w:tr>
        <w:trPr>
          <w:cantSplit/>
          <w:tblHeader/>
        </w:trPr>
        <w:tc>
          <w:tcPr>
            <w:tcW w:type="dxa" w:w="1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Category</w:t>
            </w:r>
          </w:p>
        </w:tc>
        <w:tc>
          <w:tcPr>
            <w:tcW w:type="dxa" w:w="21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Examples</w:t>
            </w:r>
          </w:p>
        </w:tc>
        <w:tc>
          <w:tcPr>
            <w:tcW w:type="dxa" w:w="1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Source</w:t>
            </w:r>
          </w:p>
        </w:tc>
        <w:tc>
          <w:tcPr>
            <w:tcW w:type="dxa" w:w="16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Basis</w:t>
            </w:r>
          </w:p>
        </w:tc>
        <w:tc>
          <w:tcPr>
            <w:tcW w:type="dxa" w:w="2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Retention (proposed)</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Account identity</w:t>
            </w:r>
            <w:r>
              <w:rPr>
                <w:rFonts w:ascii="Calibri" w:cs="Calibri" w:eastAsia="Calibri" w:hAnsi="Calibri"/>
                <w:b w:val="false"/>
                <w:bCs w:val="false"/>
                <w:sz w:val="16"/>
                <w:szCs w:val="16"/>
              </w:rPr>
              <w:t xml:space="preserve"/>
            </w:r>
          </w:p>
        </w:tc>
        <w:tc>
          <w:tcPr>
            <w:tcW w:type="dxa" w:w="2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Email, display name, identity-provider ID</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Seller</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Contract</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While the account is active</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Sign-in security</w:t>
            </w:r>
            <w:r>
              <w:rPr>
                <w:rFonts w:ascii="Calibri" w:cs="Calibri" w:eastAsia="Calibri" w:hAnsi="Calibri"/>
                <w:b w:val="false"/>
                <w:bCs w:val="false"/>
                <w:sz w:val="16"/>
                <w:szCs w:val="16"/>
              </w:rPr>
              <w:t xml:space="preserve"/>
            </w:r>
          </w:p>
        </w:tc>
        <w:tc>
          <w:tcPr>
            <w:tcW w:type="dxa" w:w="2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Sessions, MFA status (held by identity provider)</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Seller</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Contract; legitimate interests (security)</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Per identity provider; deleted with account</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TikTok connection</w:t>
            </w:r>
            <w:r>
              <w:rPr>
                <w:rFonts w:ascii="Calibri" w:cs="Calibri" w:eastAsia="Calibri" w:hAnsi="Calibri"/>
                <w:b w:val="false"/>
                <w:bCs w:val="false"/>
                <w:sz w:val="16"/>
                <w:szCs w:val="16"/>
              </w:rPr>
              <w:t xml:space="preserve"/>
            </w:r>
          </w:p>
        </w:tc>
        <w:tc>
          <w:tcPr>
            <w:tcW w:type="dxa" w:w="2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Shop ID, shop name, encrypted tokens, scopes</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TikTok, seller</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Contract</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Tokens deleted on disconnect; rest per shop data</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Shop commercial data</w:t>
            </w:r>
            <w:r>
              <w:rPr>
                <w:rFonts w:ascii="Calibri" w:cs="Calibri" w:eastAsia="Calibri" w:hAnsi="Calibri"/>
                <w:b w:val="false"/>
                <w:bCs w:val="false"/>
                <w:sz w:val="16"/>
                <w:szCs w:val="16"/>
              </w:rPr>
              <w:t xml:space="preserve"/>
            </w:r>
          </w:p>
        </w:tc>
        <w:tc>
          <w:tcPr>
            <w:tcW w:type="dxa" w:w="2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Order IDs, prices, dates, fees, refunds, returns, stock, statements</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TikTok</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Contract</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While active; 90 days after disconnect, then deleted</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Raw TikTok events</w:t>
            </w:r>
            <w:r>
              <w:rPr>
                <w:rFonts w:ascii="Calibri" w:cs="Calibri" w:eastAsia="Calibri" w:hAnsi="Calibri"/>
                <w:b w:val="false"/>
                <w:bCs w:val="false"/>
                <w:sz w:val="16"/>
                <w:szCs w:val="16"/>
              </w:rPr>
              <w:t xml:space="preserve"/>
            </w:r>
          </w:p>
        </w:tc>
        <w:tc>
          <w:tcPr>
            <w:tcW w:type="dxa" w:w="2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Stored payloads with buyer fields removed</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TikTok</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Contract</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90 days after processing</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Seller-supplied data</w:t>
            </w:r>
            <w:r>
              <w:rPr>
                <w:rFonts w:ascii="Calibri" w:cs="Calibri" w:eastAsia="Calibri" w:hAnsi="Calibri"/>
                <w:b w:val="false"/>
                <w:bCs w:val="false"/>
                <w:sz w:val="16"/>
                <w:szCs w:val="16"/>
              </w:rPr>
              <w:t xml:space="preserve"/>
            </w:r>
          </w:p>
        </w:tc>
        <w:tc>
          <w:tcPr>
            <w:tcW w:type="dxa" w:w="2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Costs, mappings, return checks, other-channel totals, notes</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Seller</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Contract</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While active; deleted with account</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Tax profile</w:t>
            </w:r>
            <w:r>
              <w:rPr>
                <w:rFonts w:ascii="Calibri" w:cs="Calibri" w:eastAsia="Calibri" w:hAnsi="Calibri"/>
                <w:b w:val="false"/>
                <w:bCs w:val="false"/>
                <w:sz w:val="16"/>
                <w:szCs w:val="16"/>
              </w:rPr>
              <w:t xml:space="preserve"/>
            </w:r>
          </w:p>
        </w:tc>
        <w:tc>
          <w:tcPr>
            <w:tcW w:type="dxa" w:w="2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Business structure, VAT status, prior-year gross income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Seller</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Contract; consent for optional fields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While active; deleted with account</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Uploaded files</w:t>
            </w:r>
            <w:r>
              <w:rPr>
                <w:rFonts w:ascii="Calibri" w:cs="Calibri" w:eastAsia="Calibri" w:hAnsi="Calibri"/>
                <w:b w:val="false"/>
                <w:bCs w:val="false"/>
                <w:sz w:val="16"/>
                <w:szCs w:val="16"/>
              </w:rPr>
              <w:t xml:space="preserve"/>
            </w:r>
          </w:p>
        </w:tc>
        <w:tc>
          <w:tcPr>
            <w:tcW w:type="dxa" w:w="2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Product cost files</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Seller</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Contract</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Applied date plus 30 days</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Exports</w:t>
            </w:r>
            <w:r>
              <w:rPr>
                <w:rFonts w:ascii="Calibri" w:cs="Calibri" w:eastAsia="Calibri" w:hAnsi="Calibri"/>
                <w:b w:val="false"/>
                <w:bCs w:val="false"/>
                <w:sz w:val="16"/>
                <w:szCs w:val="16"/>
              </w:rPr>
              <w:t xml:space="preserve"/>
            </w:r>
          </w:p>
        </w:tc>
        <w:tc>
          <w:tcPr>
            <w:tcW w:type="dxa" w:w="2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Generated Excel and CSV</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System</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Contract</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7 days</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Usage events</w:t>
            </w:r>
            <w:r>
              <w:rPr>
                <w:rFonts w:ascii="Calibri" w:cs="Calibri" w:eastAsia="Calibri" w:hAnsi="Calibri"/>
                <w:b w:val="false"/>
                <w:bCs w:val="false"/>
                <w:sz w:val="16"/>
                <w:szCs w:val="16"/>
              </w:rPr>
              <w:t xml:space="preserve"/>
            </w:r>
          </w:p>
        </w:tc>
        <w:tc>
          <w:tcPr>
            <w:tcW w:type="dxa" w:w="2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Path chosen, screens opened; no financial values</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App</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Legitimate interests (improve and validate the service)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13 months, then aggregated</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Security and audit logs</w:t>
            </w:r>
            <w:r>
              <w:rPr>
                <w:rFonts w:ascii="Calibri" w:cs="Calibri" w:eastAsia="Calibri" w:hAnsi="Calibri"/>
                <w:b w:val="false"/>
                <w:bCs w:val="false"/>
                <w:sz w:val="16"/>
                <w:szCs w:val="16"/>
              </w:rPr>
              <w:t xml:space="preserve"/>
            </w:r>
          </w:p>
        </w:tc>
        <w:tc>
          <w:tcPr>
            <w:tcW w:type="dxa" w:w="2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Actor, action, time; no IP address</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System</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Legitimate interests (security)</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12 months</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Support messages</w:t>
            </w:r>
            <w:r>
              <w:rPr>
                <w:rFonts w:ascii="Calibri" w:cs="Calibri" w:eastAsia="Calibri" w:hAnsi="Calibri"/>
                <w:b w:val="false"/>
                <w:bCs w:val="false"/>
                <w:sz w:val="16"/>
                <w:szCs w:val="16"/>
              </w:rPr>
              <w:t xml:space="preserve"/>
            </w:r>
          </w:p>
        </w:tc>
        <w:tc>
          <w:tcPr>
            <w:tcW w:type="dxa" w:w="2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Emails and notes</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Seller</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Contract; legitimate interests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24 months after closure</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Backups</w:t>
            </w:r>
            <w:r>
              <w:rPr>
                <w:rFonts w:ascii="Calibri" w:cs="Calibri" w:eastAsia="Calibri" w:hAnsi="Calibri"/>
                <w:b w:val="false"/>
                <w:bCs w:val="false"/>
                <w:sz w:val="16"/>
                <w:szCs w:val="16"/>
              </w:rPr>
              <w:t xml:space="preserve"/>
            </w:r>
          </w:p>
        </w:tc>
        <w:tc>
          <w:tcPr>
            <w:tcW w:type="dxa" w:w="2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Encrypted copies of all the data above, held in the UK</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System</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Contract; legitimate interests (resilience)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35 days, then overwritten</w:t>
            </w:r>
          </w:p>
        </w:tc>
      </w:tr>
    </w:tbl>
    <w:p>
      <w:pPr>
        <w:pStyle w:val="Heading2"/>
        <w:keepNext/>
        <w:spacing w:after="80" w:before="200"/>
      </w:pPr>
      <w:r>
        <w:rPr>
          <w:rFonts w:ascii="Calibri" w:cs="Calibri" w:eastAsia="Calibri" w:hAnsi="Calibri"/>
        </w:rPr>
        <w:t xml:space="preserve">Data deliberately not collected</w:t>
      </w:r>
    </w:p>
    <w:p>
      <w:pPr>
        <w:pStyle w:val="ListParagraph"/>
        <w:numPr>
          <w:ilvl w:val="0"/>
          <w:numId w:val="2"/>
        </w:numPr>
        <w:spacing w:after="70" w:line="276"/>
      </w:pPr>
      <w:r>
        <w:rPr>
          <w:rFonts w:ascii="Calibri" w:cs="Calibri" w:eastAsia="Calibri" w:hAnsi="Calibri"/>
          <w:sz w:val="21"/>
          <w:szCs w:val="21"/>
        </w:rPr>
        <w:t xml:space="preserve">Buyer names, addresses, telephone numbers and email addresses (removed at ingestion, SYN-7).</w:t>
      </w:r>
    </w:p>
    <w:p>
      <w:pPr>
        <w:pStyle w:val="ListParagraph"/>
        <w:numPr>
          <w:ilvl w:val="0"/>
          <w:numId w:val="2"/>
        </w:numPr>
        <w:spacing w:after="70" w:line="276"/>
      </w:pPr>
      <w:r>
        <w:rPr>
          <w:rFonts w:ascii="Calibri" w:cs="Calibri" w:eastAsia="Calibri" w:hAnsi="Calibri"/>
          <w:sz w:val="21"/>
          <w:szCs w:val="21"/>
        </w:rPr>
        <w:t xml:space="preserve">Card numbers and the seller’s bank account details. If the withdrawals data from TikTok contains masked bank details, they are dropped at ingestion.</w:t>
      </w:r>
    </w:p>
    <w:p>
      <w:pPr>
        <w:pStyle w:val="ListParagraph"/>
        <w:numPr>
          <w:ilvl w:val="0"/>
          <w:numId w:val="2"/>
        </w:numPr>
        <w:spacing w:after="70" w:line="276"/>
      </w:pPr>
      <w:r>
        <w:rPr>
          <w:rFonts w:ascii="Calibri" w:cs="Calibri" w:eastAsia="Calibri" w:hAnsi="Calibri"/>
          <w:sz w:val="21"/>
          <w:szCs w:val="21"/>
        </w:rPr>
        <w:t xml:space="preserve">Special category data. Free-text fields (notes and adjustment reasons) carry an instruction not to enter personal data about other people or sensitive information.</w:t>
      </w:r>
    </w:p>
    <w:p>
      <w:pPr>
        <w:pStyle w:val="ListParagraph"/>
        <w:numPr>
          <w:ilvl w:val="0"/>
          <w:numId w:val="2"/>
        </w:numPr>
        <w:spacing w:after="70" w:line="276"/>
      </w:pPr>
      <w:r>
        <w:rPr>
          <w:rFonts w:ascii="Calibri" w:cs="Calibri" w:eastAsia="Calibri" w:hAnsi="Calibri"/>
          <w:sz w:val="21"/>
          <w:szCs w:val="21"/>
        </w:rPr>
        <w:t xml:space="preserve">IP addresses in audit logs, and device fingerprints.</w:t>
      </w:r>
    </w:p>
    <w:p>
      <w:pPr>
        <w:pStyle w:val="Heading1"/>
        <w:keepNext/>
        <w:spacing w:after="100" w:before="280"/>
      </w:pPr>
      <w:r>
        <w:rPr>
          <w:rFonts w:ascii="Calibri" w:cs="Calibri" w:eastAsia="Calibri" w:hAnsi="Calibri"/>
        </w:rPr>
        <w:t xml:space="preserve">4. Purposes and lawful bases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cantSplit/>
          <w:tblHeader/>
        </w:trPr>
        <w:tc>
          <w:tcPr>
            <w:tcW w:type="dxa" w:w="3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Purpose</w:t>
            </w:r>
          </w:p>
        </w:tc>
        <w:tc>
          <w:tcPr>
            <w:tcW w:type="dxa" w:w="2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Lawful basis (UK GDPR Art. 6)</w:t>
            </w:r>
          </w:p>
        </w:tc>
        <w:tc>
          <w:tcPr>
            <w:tcW w:type="dxa" w:w="36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Notes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Provide the service: connect, sync, calculate, display, export</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Contract, Art. 6(1)(b)</w:t>
            </w:r>
          </w:p>
        </w:tc>
        <w:tc>
          <w:tcPr>
            <w:tcW w:type="dxa" w:w="3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Core purpose; needed to perform the terms of use</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Security, fraud prevention, service integrity</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Legitimate interests, Art. 6(1)(f)</w:t>
            </w:r>
          </w:p>
        </w:tc>
        <w:tc>
          <w:tcPr>
            <w:tcW w:type="dxa" w:w="3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Legitimate interests assessment to be recorded</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Improve and validate the product using usage events</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Legitimate interests</w:t>
            </w:r>
          </w:p>
        </w:tc>
        <w:tc>
          <w:tcPr>
            <w:tcW w:type="dxa" w:w="3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No financial values; no third-party trackers; objection honoured</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Transactional emails (verification, critical notices)</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Contract</w:t>
            </w:r>
          </w:p>
        </w:tc>
        <w:tc>
          <w:tcPr>
            <w:tcW w:type="dxa" w:w="3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No marketing in the MVP</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Optional tax profile fields</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Contract; consent where the field is optional and sensitive in context</w:t>
            </w:r>
          </w:p>
        </w:tc>
        <w:tc>
          <w:tcPr>
            <w:tcW w:type="dxa" w:w="3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Skippable; no penalty for skipping</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Marketing (later)</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Consent or the soft opt-in, with PECR compliance</w:t>
            </w:r>
          </w:p>
        </w:tc>
        <w:tc>
          <w:tcPr>
            <w:tcW w:type="dxa" w:w="3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Not part of the MVP</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Legal obligations (for example responding to lawful requests)</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Legal obligation, Art. 6(1)(c)</w:t>
            </w:r>
          </w:p>
        </w:tc>
        <w:tc>
          <w:tcPr>
            <w:tcW w:type="dxa" w:w="3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Case by case</w:t>
            </w:r>
          </w:p>
        </w:tc>
      </w:tr>
    </w:tbl>
    <w:p>
      <w:pPr>
        <w:pStyle w:val="Heading1"/>
        <w:keepNext/>
        <w:spacing w:after="100" w:before="280"/>
      </w:pPr>
      <w:r>
        <w:rPr>
          <w:rFonts w:ascii="Calibri" w:cs="Calibri" w:eastAsia="Calibri" w:hAnsi="Calibri"/>
        </w:rPr>
        <w:t xml:space="preserve">5. Privacy by design and by default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826"/>
        <w:gridCol w:w="2000"/>
      </w:tblGrid>
      <w:tr>
        <w:trPr>
          <w:cantSplit/>
          <w:tblHeader/>
        </w:trPr>
        <w:tc>
          <w:tcPr>
            <w:tcW w:type="dxa" w:w="32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Control</w:t>
            </w:r>
          </w:p>
        </w:tc>
        <w:tc>
          <w:tcPr>
            <w:tcW w:type="dxa" w:w="38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How it is met</w:t>
            </w:r>
          </w:p>
        </w:tc>
        <w:tc>
          <w:tcPr>
            <w:tcW w:type="dxa" w:w="2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Reference</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Data minimisation</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Buyer fields removed before storage; only read scopes; only the fields the product uses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SYN-7, CON-1</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Purpose limitation</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TikTok data used only to provide the service to the connected seller</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API doc 3.9</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Storage limitation</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Retention purge job; expiry on exports and files; deletion workflow</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Section 6; BOS 4.6</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Integrity and confidentiality</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Encryption in transit and at rest; envelope encryption for tokens; row-level security</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NFR-8, ACC-3</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Accuracy</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Seller can correct their own data; TikTok values applied and differences shown</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DSC</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Transparency</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“What we read, what we do not read” at connection; layered privacy notice</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Screen S1; Section 11</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Default privacy</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Optional fields skippable; no analytics cookies; email limited to critical notices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CL, NTF-2</w:t>
            </w:r>
          </w:p>
        </w:tc>
      </w:tr>
      <w:tr>
        <w:trPr>
          <w:cantSplit/>
        </w:trPr>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Logging without leakage</w:t>
            </w:r>
          </w:p>
        </w:tc>
        <w:tc>
          <w:tcPr>
            <w:tcW w:type="dxa" w:w="3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Logs and error tracking scrubbed of tokens, amounts and personal data</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TRD 5.6</w:t>
            </w:r>
          </w:p>
        </w:tc>
      </w:tr>
    </w:tbl>
    <w:p>
      <w:pPr>
        <w:pStyle w:val="Heading1"/>
        <w:keepNext/>
        <w:spacing w:after="100" w:before="280"/>
      </w:pPr>
      <w:r>
        <w:rPr>
          <w:rFonts w:ascii="Calibri" w:cs="Calibri" w:eastAsia="Calibri" w:hAnsi="Calibri"/>
        </w:rPr>
        <w:t xml:space="preserve">6. Retention and deletion</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Account deletion.</w:t>
      </w:r>
      <w:r>
        <w:rPr>
          <w:rFonts w:ascii="Calibri" w:cs="Calibri" w:eastAsia="Calibri" w:hAnsi="Calibri"/>
          <w:sz w:val="21"/>
          <w:szCs w:val="21"/>
        </w:rPr>
        <w:t xml:space="preserve"> On request the account and its data are deleted from live systems promptly and in any case within 30 days. Encrypted database backups age out within their 35-day retention, and deleted data in backups is put beyond use and is not restored to production except to recover the service.</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Disconnect.</w:t>
      </w:r>
      <w:r>
        <w:rPr>
          <w:rFonts w:ascii="Calibri" w:cs="Calibri" w:eastAsia="Calibri" w:hAnsi="Calibri"/>
          <w:sz w:val="21"/>
          <w:szCs w:val="21"/>
        </w:rPr>
        <w:t xml:space="preserve"> Sync stops and tokens are deleted immediately. Shop data is kept for 90 days so the seller can reconnect or export, then deleted; the seller can delete sooner. TikTok’s terms may require a shorter period and must be checked.</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Seller records.</w:t>
      </w:r>
      <w:r>
        <w:rPr>
          <w:rFonts w:ascii="Calibri" w:cs="Calibri" w:eastAsia="Calibri" w:hAnsi="Calibri"/>
          <w:sz w:val="21"/>
          <w:szCs w:val="21"/>
        </w:rPr>
        <w:t xml:space="preserve"> MyShopEdge is not the seller’s statutory record keeper. The app prompts the seller to export before deletion.</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Files.</w:t>
      </w:r>
      <w:r>
        <w:rPr>
          <w:rFonts w:ascii="Calibri" w:cs="Calibri" w:eastAsia="Calibri" w:hAnsi="Calibri"/>
          <w:sz w:val="21"/>
          <w:szCs w:val="21"/>
        </w:rPr>
        <w:t xml:space="preserve"> Cost files are deleted 30 days after costs are applied; exports after 7 days.</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Raw events.</w:t>
      </w:r>
      <w:r>
        <w:rPr>
          <w:rFonts w:ascii="Calibri" w:cs="Calibri" w:eastAsia="Calibri" w:hAnsi="Calibri"/>
          <w:sz w:val="21"/>
          <w:szCs w:val="21"/>
        </w:rPr>
        <w:t xml:space="preserve"> Deleted 90 days after processing.</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Backups.</w:t>
      </w:r>
      <w:r>
        <w:rPr>
          <w:rFonts w:ascii="Calibri" w:cs="Calibri" w:eastAsia="Calibri" w:hAnsi="Calibri"/>
          <w:sz w:val="21"/>
          <w:szCs w:val="21"/>
        </w:rPr>
        <w:t xml:space="preserve"> All data is backed up and every backup stays in the UK (decided). Backups are encrypted, held in a separate protected vault, and overwritten after 35 days. Backup retention never extends the periods above beyond that window.</w:t>
      </w:r>
    </w:p>
    <w:p>
      <w:pPr>
        <w:pStyle w:val="Heading1"/>
        <w:keepNext/>
        <w:spacing w:after="100" w:before="280"/>
      </w:pPr>
      <w:r>
        <w:rPr>
          <w:rFonts w:ascii="Calibri" w:cs="Calibri" w:eastAsia="Calibri" w:hAnsi="Calibri"/>
        </w:rPr>
        <w:t xml:space="preserve">7. Data subject rights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rPr>
          <w:cantSplit/>
          <w:tblHeader/>
        </w:trPr>
        <w:tc>
          <w:tcPr>
            <w:tcW w:type="dxa" w:w="22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Right</w:t>
            </w:r>
          </w:p>
        </w:tc>
        <w:tc>
          <w:tcPr>
            <w:tcW w:type="dxa" w:w="43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How it is met</w:t>
            </w:r>
          </w:p>
        </w:tc>
        <w:tc>
          <w:tcPr>
            <w:tcW w:type="dxa" w:w="25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Timing</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Access</w:t>
            </w:r>
            <w:r>
              <w:rPr>
                <w:rFonts w:ascii="Calibri" w:cs="Calibri" w:eastAsia="Calibri" w:hAnsi="Calibri"/>
                <w:b w:val="false"/>
                <w:bCs w:val="false"/>
                <w:sz w:val="18"/>
                <w:szCs w:val="18"/>
              </w:rPr>
              <w:t xml:space="preserve"> (Art. 15)</w:t>
            </w:r>
          </w:p>
        </w:tc>
        <w:tc>
          <w:tcPr>
            <w:tcW w:type="dxa" w:w="4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In-app “Download my data” and a support route; identity verified</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One month</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Rectification</w:t>
            </w:r>
            <w:r>
              <w:rPr>
                <w:rFonts w:ascii="Calibri" w:cs="Calibri" w:eastAsia="Calibri" w:hAnsi="Calibri"/>
                <w:b w:val="false"/>
                <w:bCs w:val="false"/>
                <w:sz w:val="18"/>
                <w:szCs w:val="18"/>
              </w:rPr>
              <w:t xml:space="preserve"> (Art. 16)</w:t>
            </w:r>
          </w:p>
        </w:tc>
        <w:tc>
          <w:tcPr>
            <w:tcW w:type="dxa" w:w="4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Seller edits profile, costs and their own records; TikTok-sourced values are corrected at source</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One month</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Erasure</w:t>
            </w:r>
            <w:r>
              <w:rPr>
                <w:rFonts w:ascii="Calibri" w:cs="Calibri" w:eastAsia="Calibri" w:hAnsi="Calibri"/>
                <w:b w:val="false"/>
                <w:bCs w:val="false"/>
                <w:sz w:val="18"/>
                <w:szCs w:val="18"/>
              </w:rPr>
              <w:t xml:space="preserve"> (Art. 17)</w:t>
            </w:r>
          </w:p>
        </w:tc>
        <w:tc>
          <w:tcPr>
            <w:tcW w:type="dxa" w:w="4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In-app “Delete my account” with export prompt</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Within 30 days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Restriction</w:t>
            </w:r>
            <w:r>
              <w:rPr>
                <w:rFonts w:ascii="Calibri" w:cs="Calibri" w:eastAsia="Calibri" w:hAnsi="Calibri"/>
                <w:b w:val="false"/>
                <w:bCs w:val="false"/>
                <w:sz w:val="18"/>
                <w:szCs w:val="18"/>
              </w:rPr>
              <w:t xml:space="preserve"> (Art. 18)</w:t>
            </w:r>
          </w:p>
        </w:tc>
        <w:tc>
          <w:tcPr>
            <w:tcW w:type="dxa" w:w="4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Support marks the account restricted; processing paused</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One month</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Portability</w:t>
            </w:r>
            <w:r>
              <w:rPr>
                <w:rFonts w:ascii="Calibri" w:cs="Calibri" w:eastAsia="Calibri" w:hAnsi="Calibri"/>
                <w:b w:val="false"/>
                <w:bCs w:val="false"/>
                <w:sz w:val="18"/>
                <w:szCs w:val="18"/>
              </w:rPr>
              <w:t xml:space="preserve"> (Art. 20)</w:t>
            </w:r>
          </w:p>
        </w:tc>
        <w:tc>
          <w:tcPr>
            <w:tcW w:type="dxa" w:w="4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Machine-readable export (CSV and JSON)</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One month</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Objection</w:t>
            </w:r>
            <w:r>
              <w:rPr>
                <w:rFonts w:ascii="Calibri" w:cs="Calibri" w:eastAsia="Calibri" w:hAnsi="Calibri"/>
                <w:b w:val="false"/>
                <w:bCs w:val="false"/>
                <w:sz w:val="18"/>
                <w:szCs w:val="18"/>
              </w:rPr>
              <w:t xml:space="preserve"> (Art. 21)</w:t>
            </w:r>
          </w:p>
        </w:tc>
        <w:tc>
          <w:tcPr>
            <w:tcW w:type="dxa" w:w="4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Opt-out of usage events; objection to legitimate-interest processing reviewed</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One month</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Automated decisions</w:t>
            </w:r>
            <w:r>
              <w:rPr>
                <w:rFonts w:ascii="Calibri" w:cs="Calibri" w:eastAsia="Calibri" w:hAnsi="Calibri"/>
                <w:b w:val="false"/>
                <w:bCs w:val="false"/>
                <w:sz w:val="18"/>
                <w:szCs w:val="18"/>
              </w:rPr>
              <w:t xml:space="preserve"> (Art. 22)</w:t>
            </w:r>
          </w:p>
        </w:tc>
        <w:tc>
          <w:tcPr>
            <w:tcW w:type="dxa" w:w="4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None with legal or similarly significant effect; insights and tax estimates are informational</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Not applicable</w:t>
            </w:r>
          </w:p>
        </w:tc>
      </w:tr>
    </w:tbl>
    <w:p>
      <w:pPr>
        <w:spacing w:after="120" w:before="100" w:line="276"/>
      </w:pPr>
      <w:r>
        <w:rPr>
          <w:rFonts w:ascii="Calibri" w:cs="Calibri" w:eastAsia="Calibri" w:hAnsi="Calibri"/>
          <w:sz w:val="21"/>
          <w:szCs w:val="21"/>
        </w:rPr>
        <w:t xml:space="preserve">Requests are logged. The time limit may be extended where the law allows, with the seller informed.</w:t>
      </w:r>
    </w:p>
    <w:p>
      <w:pPr>
        <w:pStyle w:val="Heading1"/>
        <w:keepNext/>
        <w:spacing w:after="100" w:before="280"/>
      </w:pPr>
      <w:r>
        <w:rPr>
          <w:rFonts w:ascii="Calibri" w:cs="Calibri" w:eastAsia="Calibri" w:hAnsi="Calibri"/>
        </w:rPr>
        <w:t xml:space="preserve">8. Security of processing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Area</w:t>
            </w:r>
          </w:p>
        </w:tc>
        <w:tc>
          <w:tcPr>
            <w:tcW w:type="dxa" w:w="64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Measures</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Technical</w:t>
            </w:r>
            <w:r>
              <w:rPr>
                <w:rFonts w:ascii="Calibri" w:cs="Calibri" w:eastAsia="Calibri" w:hAnsi="Calibri"/>
                <w:b w:val="false"/>
                <w:bCs w:val="false"/>
                <w:sz w:val="19"/>
                <w:szCs w:val="19"/>
              </w:rPr>
              <w:t xml:space="preserve"/>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TLS 1.2 or higher; encryption at rest with managed keys; envelope encryption for tokens; row-level security; least-privilege roles; private database; WAF and rate limits; dependency, container and code scanning; independent penetration test before launch; backups with tested restore.</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Organisational</w:t>
            </w:r>
            <w:r>
              <w:rPr>
                <w:rFonts w:ascii="Calibri" w:cs="Calibri" w:eastAsia="Calibri" w:hAnsi="Calibri"/>
                <w:b w:val="false"/>
                <w:bCs w:val="false"/>
                <w:sz w:val="19"/>
                <w:szCs w:val="19"/>
              </w:rPr>
              <w:t xml:space="preserve"/>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Named data protection lead; access approved, time-limited and logged; multi-factor authentication for staff; no production data in test; secure development and code review; supplier due diligence; staff training on data protection and phishing.</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Resilience</w:t>
            </w:r>
            <w:r>
              <w:rPr>
                <w:rFonts w:ascii="Calibri" w:cs="Calibri" w:eastAsia="Calibri" w:hAnsi="Calibri"/>
                <w:b w:val="false"/>
                <w:bCs w:val="false"/>
                <w:sz w:val="19"/>
                <w:szCs w:val="19"/>
              </w:rPr>
              <w:t xml:space="preserve"/>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Multi-AZ database; recovery targets of 15 minutes and 4 hours; quarterly restore tests; incident exercise before launch.</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Certification</w:t>
            </w:r>
            <w:r>
              <w:rPr>
                <w:rFonts w:ascii="Calibri" w:cs="Calibri" w:eastAsia="Calibri" w:hAnsi="Calibri"/>
                <w:b w:val="false"/>
                <w:bCs w:val="false"/>
                <w:sz w:val="19"/>
                <w:szCs w:val="19"/>
              </w:rPr>
              <w:t xml:space="preserve"/>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Cyber Essentials before launch; ISO 27001-aligned controls.</w:t>
            </w:r>
          </w:p>
        </w:tc>
      </w:tr>
    </w:tbl>
    <w:p>
      <w:pPr>
        <w:pStyle w:val="Heading1"/>
        <w:keepNext/>
        <w:spacing w:after="100" w:before="280"/>
      </w:pPr>
      <w:r>
        <w:rPr>
          <w:rFonts w:ascii="Calibri" w:cs="Calibri" w:eastAsia="Calibri" w:hAnsi="Calibri"/>
        </w:rPr>
        <w:t xml:space="preserve">9. Processors and transfers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00"/>
        <w:gridCol w:w="2726"/>
      </w:tblGrid>
      <w:tr>
        <w:trPr>
          <w:cantSplit/>
          <w:tblHeader/>
        </w:trPr>
        <w:tc>
          <w:tcPr>
            <w:tcW w:type="dxa" w:w="2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Provider</w:t>
            </w:r>
          </w:p>
        </w:tc>
        <w:tc>
          <w:tcPr>
            <w:tcW w:type="dxa" w:w="2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Purpose</w:t>
            </w:r>
          </w:p>
        </w:tc>
        <w:tc>
          <w:tcPr>
            <w:tcW w:type="dxa" w:w="2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Location</w:t>
            </w:r>
          </w:p>
        </w:tc>
        <w:tc>
          <w:tcPr>
            <w:tcW w:type="dxa" w:w="27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Action</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Cloud host (AWS)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Hosting, storage, queues, keys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UK (London)</w:t>
            </w:r>
          </w:p>
        </w:tc>
        <w:tc>
          <w:tcPr>
            <w:tcW w:type="dxa" w:w="2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Processor terms; region setting audit</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Identity provider (to be chosen)</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Sign-in and MFA</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UK or EEA preferred</w:t>
            </w:r>
          </w:p>
        </w:tc>
        <w:tc>
          <w:tcPr>
            <w:tcW w:type="dxa" w:w="2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Processor terms; confirm location</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Email service (SES)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Transactional email</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UK region if available</w:t>
            </w:r>
          </w:p>
        </w:tc>
        <w:tc>
          <w:tcPr>
            <w:tcW w:type="dxa" w:w="2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Processor terms; confirm region</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Error tracking (to be chosen)</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Diagnostics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UK or EEA preferred</w:t>
            </w:r>
          </w:p>
        </w:tc>
        <w:tc>
          <w:tcPr>
            <w:tcW w:type="dxa" w:w="2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Scrubbing verified; processor terms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Support tool (to be chosen)</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Seller messages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UK or EEA preferred</w:t>
            </w:r>
          </w:p>
        </w:tc>
        <w:tc>
          <w:tcPr>
            <w:tcW w:type="dxa" w:w="2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Processor terms; retention set</w:t>
            </w:r>
          </w:p>
        </w:tc>
      </w:tr>
    </w:tbl>
    <w:p>
      <w:pPr>
        <w:spacing w:after="120" w:before="100" w:line="276"/>
      </w:pPr>
      <w:r>
        <w:rPr>
          <w:rFonts w:ascii="Calibri" w:cs="Calibri" w:eastAsia="Calibri" w:hAnsi="Calibri"/>
          <w:sz w:val="21"/>
          <w:szCs w:val="21"/>
        </w:rPr>
        <w:t xml:space="preserve">No transfers outside the UK are intended. Backups stay in the UK (decided). If a sub-processor or a backup copy ever requires a transfer, the International Data Transfer Agreement or the UK Addendum and a transfer risk assessment are put in place first.</w:t>
      </w:r>
    </w:p>
    <w:p>
      <w:pPr>
        <w:pStyle w:val="Heading1"/>
        <w:keepNext/>
        <w:spacing w:after="100" w:before="280"/>
      </w:pPr>
      <w:r>
        <w:rPr>
          <w:rFonts w:ascii="Calibri" w:cs="Calibri" w:eastAsia="Calibri" w:hAnsi="Calibri"/>
        </w:rPr>
        <w:t xml:space="preserve">10. Data protection impact assessment</w:t>
      </w:r>
    </w:p>
    <w:p>
      <w:pPr>
        <w:keepNext/>
        <w:spacing w:after="120" w:before="0" w:line="276"/>
      </w:pPr>
      <w:r>
        <w:rPr>
          <w:rFonts w:ascii="Calibri" w:cs="Calibri" w:eastAsia="Calibri" w:hAnsi="Calibri"/>
          <w:sz w:val="21"/>
          <w:szCs w:val="21"/>
        </w:rPr>
        <w:t xml:space="preserve">Screening against the regulator’s criteria points to a DPIA before the pilot, kept light and updated as the product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4126"/>
      </w:tblGrid>
      <w:tr>
        <w:trPr>
          <w:cantSplit/>
          <w:tblHeader/>
        </w:trPr>
        <w:tc>
          <w:tcPr>
            <w:tcW w:type="dxa" w:w="36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Screening question</w:t>
            </w:r>
          </w:p>
        </w:tc>
        <w:tc>
          <w:tcPr>
            <w:tcW w:type="dxa" w:w="1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Answer</w:t>
            </w:r>
          </w:p>
        </w:tc>
        <w:tc>
          <w:tcPr>
            <w:tcW w:type="dxa" w:w="41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Comment</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Systematic processing of financial information about individuals?</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Yes</w:t>
            </w:r>
          </w:p>
        </w:tc>
        <w:tc>
          <w:tcPr>
            <w:tcW w:type="dxa" w:w="4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Sole traders’ sales, costs and tax estimates</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Large-scale processing?</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No at pilot</w:t>
            </w:r>
          </w:p>
        </w:tc>
        <w:tc>
          <w:tcPr>
            <w:tcW w:type="dxa" w:w="4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Reassess at launch and growth</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Special category or criminal data?</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No</w:t>
            </w:r>
          </w:p>
        </w:tc>
        <w:tc>
          <w:tcPr>
            <w:tcW w:type="dxa" w:w="4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Not collected; free-text warning</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Innovative technology or automated decisions with significant effect?</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No</w:t>
            </w:r>
          </w:p>
        </w:tc>
        <w:tc>
          <w:tcPr>
            <w:tcW w:type="dxa" w:w="4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Rule-based insights; informational estimates</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Vulnerable individuals or children?</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No</w:t>
            </w:r>
          </w:p>
        </w:tc>
        <w:tc>
          <w:tcPr>
            <w:tcW w:type="dxa" w:w="4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Adult business sellers</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Tracking, profiling or matching datasets?</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Partly</w:t>
            </w:r>
          </w:p>
        </w:tc>
        <w:tc>
          <w:tcPr>
            <w:tcW w:type="dxa" w:w="4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Matching TikTok data with seller records, for accuracy only</w:t>
            </w:r>
          </w:p>
        </w:tc>
      </w:tr>
    </w:tbl>
    <w:p>
      <w:pPr>
        <w:pStyle w:val="Heading2"/>
        <w:keepNext/>
        <w:spacing w:after="80" w:before="200"/>
      </w:pPr>
      <w:r>
        <w:rPr>
          <w:rFonts w:ascii="Calibri" w:cs="Calibri" w:eastAsia="Calibri" w:hAnsi="Calibri"/>
        </w:rPr>
        <w:t xml:space="preserve">Risk register (initial)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3126"/>
        <w:gridCol w:w="1300"/>
      </w:tblGrid>
      <w:tr>
        <w:trPr>
          <w:cantSplit/>
          <w:tblHeader/>
        </w:trPr>
        <w:tc>
          <w:tcPr>
            <w:tcW w:type="dxa" w:w="28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Risk</w:t>
            </w:r>
          </w:p>
        </w:tc>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Likelihood</w:t>
            </w:r>
          </w:p>
        </w:tc>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Severity</w:t>
            </w:r>
          </w:p>
        </w:tc>
        <w:tc>
          <w:tcPr>
            <w:tcW w:type="dxa" w:w="31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Mitigation</w:t>
            </w:r>
          </w:p>
        </w:tc>
        <w:tc>
          <w:tcPr>
            <w:tcW w:type="dxa" w:w="1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Residual</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Buyer data ingested by mistake</w:t>
            </w:r>
          </w:p>
        </w:tc>
        <w:tc>
          <w:tcPr>
            <w:tcW w:type="dxa" w:w="900"/>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Medium</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High</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Field removal at ingestion; schema scan; test SYN-7; alert on unknown fields</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Low</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TikTok token compromise</w:t>
            </w:r>
          </w:p>
        </w:tc>
        <w:tc>
          <w:tcPr>
            <w:tcW w:type="dxa" w:w="9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Low</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High</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Envelope encryption; least privilege; read-only scopes; revoke on incident</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Low</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Cross-account data exposure</w:t>
            </w:r>
          </w:p>
        </w:tc>
        <w:tc>
          <w:tcPr>
            <w:tcW w:type="dxa" w:w="9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Low</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High</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Row-level security; isolation tests on every endpoint</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Low</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Seller relies on a tax estimate</w:t>
            </w:r>
          </w:p>
        </w:tc>
        <w:tc>
          <w:tcPr>
            <w:tcW w:type="dxa" w:w="900"/>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Medium</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Medium</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Guide-not-advice; conditional display; dated rules; accountant review</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Low</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Data kept too long</w:t>
            </w:r>
          </w:p>
        </w:tc>
        <w:tc>
          <w:tcPr>
            <w:tcW w:type="dxa" w:w="900"/>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Medium</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Medium</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Purge jobs; retention tests; documented schedule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Low</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Staff access to financial data</w:t>
            </w:r>
          </w:p>
        </w:tc>
        <w:tc>
          <w:tcPr>
            <w:tcW w:type="dxa" w:w="9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Low</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Medium</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No default access; approval; logging; training</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Low</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Sub-processor breach</w:t>
            </w:r>
          </w:p>
        </w:tc>
        <w:tc>
          <w:tcPr>
            <w:tcW w:type="dxa" w:w="9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Low</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High</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Due diligence; processor terms; minimal data shared</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Low</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Personal data in free-text notes</w:t>
            </w:r>
          </w:p>
        </w:tc>
        <w:tc>
          <w:tcPr>
            <w:tcW w:type="dxa" w:w="900"/>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Medium</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Low</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Warning text; length limits; deletion with account</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Low</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Re-identification from usage events</w:t>
            </w:r>
          </w:p>
        </w:tc>
        <w:tc>
          <w:tcPr>
            <w:tcW w:type="dxa" w:w="9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Low</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Low</w:t>
            </w:r>
          </w:p>
        </w:tc>
        <w:tc>
          <w:tcPr>
            <w:tcW w:type="dxa" w:w="3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No financial values or names; aggregation after 13 months</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Low</w:t>
            </w:r>
          </w:p>
        </w:tc>
      </w:tr>
    </w:tbl>
    <w:p>
      <w:pPr>
        <w:pStyle w:val="Heading1"/>
        <w:keepNext/>
        <w:spacing w:after="100" w:before="280"/>
      </w:pPr>
      <w:r>
        <w:rPr>
          <w:rFonts w:ascii="Calibri" w:cs="Calibri" w:eastAsia="Calibri" w:hAnsi="Calibri"/>
        </w:rPr>
        <w:t xml:space="preserve">11. Transparency</w:t>
      </w:r>
    </w:p>
    <w:p>
      <w:pPr>
        <w:pStyle w:val="Heading2"/>
        <w:keepNext/>
        <w:spacing w:after="80" w:before="200"/>
      </w:pPr>
      <w:r>
        <w:rPr>
          <w:rFonts w:ascii="Calibri" w:cs="Calibri" w:eastAsia="Calibri" w:hAnsi="Calibri"/>
        </w:rPr>
        <w:t xml:space="preserve">Privacy notice (layered)</w:t>
      </w:r>
    </w:p>
    <w:p>
      <w:pPr>
        <w:pStyle w:val="ListParagraph"/>
        <w:numPr>
          <w:ilvl w:val="0"/>
          <w:numId w:val="2"/>
        </w:numPr>
        <w:spacing w:after="70" w:line="276"/>
      </w:pPr>
      <w:r>
        <w:rPr>
          <w:rFonts w:ascii="Calibri" w:cs="Calibri" w:eastAsia="Calibri" w:hAnsi="Calibri"/>
          <w:sz w:val="21"/>
          <w:szCs w:val="21"/>
        </w:rPr>
        <w:t xml:space="preserve">Who we are and how to contact the data protection lead.</w:t>
      </w:r>
    </w:p>
    <w:p>
      <w:pPr>
        <w:pStyle w:val="ListParagraph"/>
        <w:numPr>
          <w:ilvl w:val="0"/>
          <w:numId w:val="2"/>
        </w:numPr>
        <w:spacing w:after="70" w:line="276"/>
      </w:pPr>
      <w:r>
        <w:rPr>
          <w:rFonts w:ascii="Calibri" w:cs="Calibri" w:eastAsia="Calibri" w:hAnsi="Calibri"/>
          <w:sz w:val="21"/>
          <w:szCs w:val="21"/>
        </w:rPr>
        <w:t xml:space="preserve">What we collect, from whom (the seller and TikTok Shop), why, and the lawful basis for each purpose.</w:t>
      </w:r>
    </w:p>
    <w:p>
      <w:pPr>
        <w:pStyle w:val="ListParagraph"/>
        <w:numPr>
          <w:ilvl w:val="0"/>
          <w:numId w:val="2"/>
        </w:numPr>
        <w:spacing w:after="70" w:line="276"/>
      </w:pPr>
      <w:r>
        <w:rPr>
          <w:rFonts w:ascii="Calibri" w:cs="Calibri" w:eastAsia="Calibri" w:hAnsi="Calibri"/>
          <w:sz w:val="21"/>
          <w:szCs w:val="21"/>
        </w:rPr>
        <w:t xml:space="preserve">What we do not collect, including buyer personal data.</w:t>
      </w:r>
    </w:p>
    <w:p>
      <w:pPr>
        <w:pStyle w:val="ListParagraph"/>
        <w:numPr>
          <w:ilvl w:val="0"/>
          <w:numId w:val="2"/>
        </w:numPr>
        <w:spacing w:after="70" w:line="276"/>
      </w:pPr>
      <w:r>
        <w:rPr>
          <w:rFonts w:ascii="Calibri" w:cs="Calibri" w:eastAsia="Calibri" w:hAnsi="Calibri"/>
          <w:sz w:val="21"/>
          <w:szCs w:val="21"/>
        </w:rPr>
        <w:t xml:space="preserve">Who receives data (sub-processors), where it is held, and that transfers outside the UK are not intended.</w:t>
      </w:r>
    </w:p>
    <w:p>
      <w:pPr>
        <w:pStyle w:val="ListParagraph"/>
        <w:numPr>
          <w:ilvl w:val="0"/>
          <w:numId w:val="2"/>
        </w:numPr>
        <w:spacing w:after="70" w:line="276"/>
      </w:pPr>
      <w:r>
        <w:rPr>
          <w:rFonts w:ascii="Calibri" w:cs="Calibri" w:eastAsia="Calibri" w:hAnsi="Calibri"/>
          <w:sz w:val="21"/>
          <w:szCs w:val="21"/>
        </w:rPr>
        <w:t xml:space="preserve">How long each category is kept and how to delete data.</w:t>
      </w:r>
    </w:p>
    <w:p>
      <w:pPr>
        <w:pStyle w:val="ListParagraph"/>
        <w:numPr>
          <w:ilvl w:val="0"/>
          <w:numId w:val="2"/>
        </w:numPr>
        <w:spacing w:after="70" w:line="276"/>
      </w:pPr>
      <w:r>
        <w:rPr>
          <w:rFonts w:ascii="Calibri" w:cs="Calibri" w:eastAsia="Calibri" w:hAnsi="Calibri"/>
          <w:sz w:val="21"/>
          <w:szCs w:val="21"/>
        </w:rPr>
        <w:t xml:space="preserve">Rights and how to use them, and the right to complain to the Information Commissioner’s Office.</w:t>
      </w:r>
    </w:p>
    <w:p>
      <w:pPr>
        <w:pStyle w:val="ListParagraph"/>
        <w:numPr>
          <w:ilvl w:val="0"/>
          <w:numId w:val="2"/>
        </w:numPr>
        <w:spacing w:after="70" w:line="276"/>
      </w:pPr>
      <w:r>
        <w:rPr>
          <w:rFonts w:ascii="Calibri" w:cs="Calibri" w:eastAsia="Calibri" w:hAnsi="Calibri"/>
          <w:sz w:val="21"/>
          <w:szCs w:val="21"/>
        </w:rPr>
        <w:t xml:space="preserve">That no solely automated decisions with significant effect are made.</w:t>
      </w:r>
    </w:p>
    <w:p>
      <w:pPr>
        <w:pStyle w:val="Heading2"/>
        <w:keepNext/>
        <w:spacing w:after="80" w:before="200"/>
      </w:pPr>
      <w:r>
        <w:rPr>
          <w:rFonts w:ascii="Calibri" w:cs="Calibri" w:eastAsia="Calibri" w:hAnsi="Calibri"/>
        </w:rPr>
        <w:t xml:space="preserve">In the product</w:t>
      </w:r>
    </w:p>
    <w:p>
      <w:pPr>
        <w:pStyle w:val="ListParagraph"/>
        <w:numPr>
          <w:ilvl w:val="0"/>
          <w:numId w:val="2"/>
        </w:numPr>
        <w:spacing w:after="70" w:line="276"/>
      </w:pPr>
      <w:r>
        <w:rPr>
          <w:rFonts w:ascii="Calibri" w:cs="Calibri" w:eastAsia="Calibri" w:hAnsi="Calibri"/>
          <w:sz w:val="21"/>
          <w:szCs w:val="21"/>
        </w:rPr>
        <w:t xml:space="preserve">The connection screen states what is read and not read, and that access is read-only.</w:t>
      </w:r>
    </w:p>
    <w:p>
      <w:pPr>
        <w:pStyle w:val="ListParagraph"/>
        <w:numPr>
          <w:ilvl w:val="0"/>
          <w:numId w:val="2"/>
        </w:numPr>
        <w:spacing w:after="70" w:line="276"/>
      </w:pPr>
      <w:r>
        <w:rPr>
          <w:rFonts w:ascii="Calibri" w:cs="Calibri" w:eastAsia="Calibri" w:hAnsi="Calibri"/>
          <w:sz w:val="21"/>
          <w:szCs w:val="21"/>
        </w:rPr>
        <w:t xml:space="preserve">Cookies: only strictly necessary session cookies in the MVP. Any analytics cookie or similar technology added later requires consent under PECR before it is set.</w:t>
      </w:r>
    </w:p>
    <w:p>
      <w:pPr>
        <w:pStyle w:val="ListParagraph"/>
        <w:numPr>
          <w:ilvl w:val="0"/>
          <w:numId w:val="2"/>
        </w:numPr>
        <w:spacing w:after="70" w:line="276"/>
      </w:pPr>
      <w:r>
        <w:rPr>
          <w:rFonts w:ascii="Calibri" w:cs="Calibri" w:eastAsia="Calibri" w:hAnsi="Calibri"/>
          <w:sz w:val="21"/>
          <w:szCs w:val="21"/>
        </w:rPr>
        <w:t xml:space="preserve">Tax and VAT content states it is a guide, not advice, with a correct-as-at date.</w:t>
      </w:r>
    </w:p>
    <w:p>
      <w:pPr>
        <w:pStyle w:val="Heading1"/>
        <w:keepNext/>
        <w:spacing w:after="100" w:before="280"/>
      </w:pPr>
      <w:r>
        <w:rPr>
          <w:rFonts w:ascii="Calibri" w:cs="Calibri" w:eastAsia="Calibri" w:hAnsi="Calibri"/>
        </w:rPr>
        <w:t xml:space="preserve">12. Personal data breaches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Step</w:t>
            </w:r>
          </w:p>
        </w:tc>
        <w:tc>
          <w:tcPr>
            <w:tcW w:type="dxa" w:w="70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Procedure</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Detect</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Alerts on unusual access, failed sign-ins, WAF spikes and configuration changes; staff and sub-processors report suspected incidents immediately.</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Contain</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Revoke affected tokens and sessions; isolate systems; preserve evidence.</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Assess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Decide within hours whether personal data is involved and the risk to individuals.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Notify</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Report to the Information Commissioner’s Office within 72 hours of becoming aware where the breach is likely to risk individuals’ rights. Tell affected sellers without undue delay where the risk is high. Consider notifying TikTok if credentials are affected.</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Record</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Log every breach, its effects and the action taken, including those not reported.</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Learn</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Post-incident review; update controls, tests and the risk register.</w:t>
            </w:r>
          </w:p>
        </w:tc>
      </w:tr>
    </w:tbl>
    <w:p>
      <w:pPr>
        <w:pStyle w:val="Heading1"/>
        <w:keepNext/>
        <w:spacing w:after="100" w:before="280"/>
      </w:pPr>
      <w:r>
        <w:rPr>
          <w:rFonts w:ascii="Calibri" w:cs="Calibri" w:eastAsia="Calibri" w:hAnsi="Calibri"/>
        </w:rPr>
        <w:t xml:space="preserve">13. TikTok platform obligations</w:t>
      </w:r>
    </w:p>
    <w:p>
      <w:pPr>
        <w:pStyle w:val="ListParagraph"/>
        <w:numPr>
          <w:ilvl w:val="0"/>
          <w:numId w:val="2"/>
        </w:numPr>
        <w:spacing w:after="70" w:line="276"/>
      </w:pPr>
      <w:r>
        <w:rPr>
          <w:rFonts w:ascii="Calibri" w:cs="Calibri" w:eastAsia="Calibri" w:hAnsi="Calibri"/>
          <w:sz w:val="21"/>
          <w:szCs w:val="21"/>
        </w:rPr>
        <w:t xml:space="preserve">Comply with TikTok Shop’s developer terms and data policies, including limits on how authorised data may be used, stored and shared.</w:t>
      </w:r>
    </w:p>
    <w:p>
      <w:pPr>
        <w:pStyle w:val="ListParagraph"/>
        <w:numPr>
          <w:ilvl w:val="0"/>
          <w:numId w:val="2"/>
        </w:numPr>
        <w:spacing w:after="70" w:line="276"/>
      </w:pPr>
      <w:r>
        <w:rPr>
          <w:rFonts w:ascii="Calibri" w:cs="Calibri" w:eastAsia="Calibri" w:hAnsi="Calibri"/>
          <w:sz w:val="21"/>
          <w:szCs w:val="21"/>
        </w:rPr>
        <w:t xml:space="preserve">Use TikTok data only to provide the service to the connected seller; do not sell, share or use it for other purposes.</w:t>
      </w:r>
    </w:p>
    <w:p>
      <w:pPr>
        <w:pStyle w:val="ListParagraph"/>
        <w:numPr>
          <w:ilvl w:val="0"/>
          <w:numId w:val="2"/>
        </w:numPr>
        <w:spacing w:after="70" w:line="276"/>
      </w:pPr>
      <w:r>
        <w:rPr>
          <w:rFonts w:ascii="Calibri" w:cs="Calibri" w:eastAsia="Calibri" w:hAnsi="Calibri"/>
          <w:sz w:val="21"/>
          <w:szCs w:val="21"/>
        </w:rPr>
        <w:t xml:space="preserve">Check TikTok’s requirements on deletion after authorisation is revoked, and adopt the shorter of TikTok’s period and the 90 days proposed here.</w:t>
      </w:r>
    </w:p>
    <w:p>
      <w:pPr>
        <w:pStyle w:val="ListParagraph"/>
        <w:numPr>
          <w:ilvl w:val="0"/>
          <w:numId w:val="2"/>
        </w:numPr>
        <w:spacing w:after="70" w:line="276"/>
      </w:pPr>
      <w:r>
        <w:rPr>
          <w:rFonts w:ascii="Calibri" w:cs="Calibri" w:eastAsia="Calibri" w:hAnsi="Calibri"/>
          <w:sz w:val="21"/>
          <w:szCs w:val="21"/>
        </w:rPr>
        <w:t xml:space="preserve">Keep the app’s stated data uses in step with what was submitted for app review.</w:t>
      </w:r>
    </w:p>
    <w:p>
      <w:pPr>
        <w:pStyle w:val="Heading1"/>
        <w:keepNext/>
        <w:spacing w:after="100" w:before="280"/>
      </w:pPr>
      <w:r>
        <w:rPr>
          <w:rFonts w:ascii="Calibri" w:cs="Calibri" w:eastAsia="Calibri" w:hAnsi="Calibri"/>
        </w:rPr>
        <w:t xml:space="preserve">14. Governance and accountability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Item</w:t>
            </w:r>
          </w:p>
        </w:tc>
        <w:tc>
          <w:tcPr>
            <w:tcW w:type="dxa" w:w="64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Approach</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Data protection lead</w:t>
            </w:r>
            <w:r>
              <w:rPr>
                <w:rFonts w:ascii="Calibri" w:cs="Calibri" w:eastAsia="Calibri" w:hAnsi="Calibri"/>
                <w:b w:val="false"/>
                <w:bCs w:val="false"/>
                <w:sz w:val="19"/>
                <w:szCs w:val="19"/>
              </w:rPr>
              <w:t xml:space="preserve"/>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Named person responsible; whether a formal Data Protection Officer is required is confirmed with counsel.</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Regulator registration</w:t>
            </w:r>
            <w:r>
              <w:rPr>
                <w:rFonts w:ascii="Calibri" w:cs="Calibri" w:eastAsia="Calibri" w:hAnsi="Calibri"/>
                <w:b w:val="false"/>
                <w:bCs w:val="false"/>
                <w:sz w:val="19"/>
                <w:szCs w:val="19"/>
              </w:rPr>
              <w:t xml:space="preserve"/>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Register with the Information Commissioner’s Office and pay the data protection fee at the correct tier, unless exempt.</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Records</w:t>
            </w:r>
            <w:r>
              <w:rPr>
                <w:rFonts w:ascii="Calibri" w:cs="Calibri" w:eastAsia="Calibri" w:hAnsi="Calibri"/>
                <w:b w:val="false"/>
                <w:bCs w:val="false"/>
                <w:sz w:val="19"/>
                <w:szCs w:val="19"/>
              </w:rPr>
              <w:t xml:space="preserve"/>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Maintain a record of processing (Section 3 is its starting point), the legitimate interests assessment, the DPIA, breach log and request log.</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Policies</w:t>
            </w:r>
            <w:r>
              <w:rPr>
                <w:rFonts w:ascii="Calibri" w:cs="Calibri" w:eastAsia="Calibri" w:hAnsi="Calibri"/>
                <w:b w:val="false"/>
                <w:bCs w:val="false"/>
                <w:sz w:val="19"/>
                <w:szCs w:val="19"/>
              </w:rPr>
              <w:t xml:space="preserve"/>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Privacy notice; retention; data subject requests; breach response; access control; supplier due diligence; acceptable use.</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Contracts</w:t>
            </w:r>
            <w:r>
              <w:rPr>
                <w:rFonts w:ascii="Calibri" w:cs="Calibri" w:eastAsia="Calibri" w:hAnsi="Calibri"/>
                <w:b w:val="false"/>
                <w:bCs w:val="false"/>
                <w:sz w:val="19"/>
                <w:szCs w:val="19"/>
              </w:rPr>
              <w:t xml:space="preserve"/>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Terms of use with sellers; processor terms with each sub-processor.</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Training</w:t>
            </w:r>
            <w:r>
              <w:rPr>
                <w:rFonts w:ascii="Calibri" w:cs="Calibri" w:eastAsia="Calibri" w:hAnsi="Calibri"/>
                <w:b w:val="false"/>
                <w:bCs w:val="false"/>
                <w:sz w:val="19"/>
                <w:szCs w:val="19"/>
              </w:rPr>
              <w:t xml:space="preserve"/>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On joining and yearly for everyone with access.</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Review</w:t>
            </w:r>
            <w:r>
              <w:rPr>
                <w:rFonts w:ascii="Calibri" w:cs="Calibri" w:eastAsia="Calibri" w:hAnsi="Calibri"/>
                <w:b w:val="false"/>
                <w:bCs w:val="false"/>
                <w:sz w:val="19"/>
                <w:szCs w:val="19"/>
              </w:rPr>
              <w:t xml:space="preserve"/>
            </w:r>
          </w:p>
        </w:tc>
        <w:tc>
          <w:tcPr>
            <w:tcW w:type="dxa" w:w="6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At least yearly and on any material change, including any Release 2 feature that adds personal data or automated processing.</w:t>
            </w:r>
          </w:p>
        </w:tc>
      </w:tr>
    </w:tbl>
    <w:p>
      <w:pPr>
        <w:pStyle w:val="Heading1"/>
        <w:keepNext/>
        <w:spacing w:after="100" w:before="280"/>
      </w:pPr>
      <w:r>
        <w:rPr>
          <w:rFonts w:ascii="Calibri" w:cs="Calibri" w:eastAsia="Calibri" w:hAnsi="Calibri"/>
        </w:rPr>
        <w:t xml:space="preserve">15. Pre-launch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026"/>
      </w:tblGrid>
      <w:tr>
        <w:trPr>
          <w:cantSplit/>
          <w:tblHeader/>
        </w:trPr>
        <w:tc>
          <w:tcPr>
            <w:tcW w:type="dxa" w:w="46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Item</w:t>
            </w:r>
          </w:p>
        </w:tc>
        <w:tc>
          <w:tcPr>
            <w:tcW w:type="dxa" w:w="2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Owner</w:t>
            </w:r>
          </w:p>
        </w:tc>
        <w:tc>
          <w:tcPr>
            <w:tcW w:type="dxa" w:w="20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Status</w:t>
            </w:r>
          </w:p>
        </w:tc>
      </w:tr>
      <w:tr>
        <w:trPr>
          <w:cantSplit/>
        </w:trPr>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Confirm operating company and controller details</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Founder</w:t>
            </w:r>
          </w:p>
        </w:tc>
        <w:tc>
          <w:tcPr>
            <w:tcW w:type="dxa" w:w="2026"/>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Open</w:t>
            </w:r>
          </w:p>
        </w:tc>
      </w:tr>
      <w:tr>
        <w:trPr>
          <w:cantSplit/>
        </w:trPr>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ICO registration and fee</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Data protection lead</w:t>
            </w:r>
          </w:p>
        </w:tc>
        <w:tc>
          <w:tcPr>
            <w:tcW w:type="dxa" w:w="2026"/>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Open</w:t>
            </w:r>
          </w:p>
        </w:tc>
      </w:tr>
      <w:tr>
        <w:trPr>
          <w:cantSplit/>
        </w:trPr>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DPIA completed and signed off</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Data protection lead; counsel</w:t>
            </w:r>
          </w:p>
        </w:tc>
        <w:tc>
          <w:tcPr>
            <w:tcW w:type="dxa" w:w="2026"/>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Open</w:t>
            </w:r>
          </w:p>
        </w:tc>
      </w:tr>
      <w:tr>
        <w:trPr>
          <w:cantSplit/>
        </w:trPr>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Legitimate interests assessment recorded</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Data protection lead</w:t>
            </w:r>
          </w:p>
        </w:tc>
        <w:tc>
          <w:tcPr>
            <w:tcW w:type="dxa" w:w="2026"/>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Open</w:t>
            </w:r>
          </w:p>
        </w:tc>
      </w:tr>
      <w:tr>
        <w:trPr>
          <w:cantSplit/>
        </w:trPr>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Privacy notice and terms published</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Counsel; product</w:t>
            </w:r>
          </w:p>
        </w:tc>
        <w:tc>
          <w:tcPr>
            <w:tcW w:type="dxa" w:w="2026"/>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Open</w:t>
            </w:r>
          </w:p>
        </w:tc>
      </w:tr>
      <w:tr>
        <w:trPr>
          <w:cantSplit/>
        </w:trPr>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Processor terms signed with all sub-processors</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Founder</w:t>
            </w:r>
          </w:p>
        </w:tc>
        <w:tc>
          <w:tcPr>
            <w:tcW w:type="dxa" w:w="2026"/>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Open</w:t>
            </w:r>
          </w:p>
        </w:tc>
      </w:tr>
      <w:tr>
        <w:trPr>
          <w:cantSplit/>
        </w:trPr>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Retention and deletion tests passed (QA NT-15)</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QA lead</w:t>
            </w:r>
          </w:p>
        </w:tc>
        <w:tc>
          <w:tcPr>
            <w:tcW w:type="dxa" w:w="2026"/>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Open</w:t>
            </w:r>
          </w:p>
        </w:tc>
      </w:tr>
      <w:tr>
        <w:trPr>
          <w:cantSplit/>
        </w:trPr>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Buyer-data removal verified (QA TC-SYN-09)</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QA lead</w:t>
            </w:r>
          </w:p>
        </w:tc>
        <w:tc>
          <w:tcPr>
            <w:tcW w:type="dxa" w:w="2026"/>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Open</w:t>
            </w:r>
          </w:p>
        </w:tc>
      </w:tr>
      <w:tr>
        <w:trPr>
          <w:cantSplit/>
        </w:trPr>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Penetration test complete; no open high findings</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Engineering lead</w:t>
            </w:r>
          </w:p>
        </w:tc>
        <w:tc>
          <w:tcPr>
            <w:tcW w:type="dxa" w:w="2026"/>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Open</w:t>
            </w:r>
          </w:p>
        </w:tc>
      </w:tr>
      <w:tr>
        <w:trPr>
          <w:cantSplit/>
        </w:trPr>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Breach response exercise run</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Engineering lead</w:t>
            </w:r>
          </w:p>
        </w:tc>
        <w:tc>
          <w:tcPr>
            <w:tcW w:type="dxa" w:w="2026"/>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Open</w:t>
            </w:r>
          </w:p>
        </w:tc>
      </w:tr>
      <w:tr>
        <w:trPr>
          <w:cantSplit/>
        </w:trPr>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TikTok data-use and deletion terms checked</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Product</w:t>
            </w:r>
          </w:p>
        </w:tc>
        <w:tc>
          <w:tcPr>
            <w:tcW w:type="dxa" w:w="2026"/>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Open</w:t>
            </w:r>
          </w:p>
        </w:tc>
      </w:tr>
    </w:tbl>
    <w:p>
      <w:pPr>
        <w:pStyle w:val="Heading1"/>
        <w:keepNext/>
        <w:spacing w:after="100" w:before="280"/>
      </w:pPr>
      <w:r>
        <w:rPr>
          <w:rFonts w:ascii="Calibri" w:cs="Calibri" w:eastAsia="Calibri" w:hAnsi="Calibri"/>
        </w:rPr>
        <w:t xml:space="preserve">16. Points for counsel</w:t>
      </w:r>
    </w:p>
    <w:p>
      <w:pPr>
        <w:pStyle w:val="ListParagraph"/>
        <w:numPr>
          <w:ilvl w:val="0"/>
          <w:numId w:val="2"/>
        </w:numPr>
        <w:spacing w:after="70" w:line="276"/>
      </w:pPr>
      <w:r>
        <w:rPr>
          <w:rFonts w:ascii="Calibri" w:cs="Calibri" w:eastAsia="Calibri" w:hAnsi="Calibri"/>
          <w:sz w:val="21"/>
          <w:szCs w:val="21"/>
        </w:rPr>
        <w:t xml:space="preserve">Characterisation of seller business data where the seller is a sole trader compared with a limited company.</w:t>
      </w:r>
    </w:p>
    <w:p>
      <w:pPr>
        <w:pStyle w:val="ListParagraph"/>
        <w:numPr>
          <w:ilvl w:val="0"/>
          <w:numId w:val="2"/>
        </w:numPr>
        <w:spacing w:after="70" w:line="276"/>
      </w:pPr>
      <w:r>
        <w:rPr>
          <w:rFonts w:ascii="Calibri" w:cs="Calibri" w:eastAsia="Calibri" w:hAnsi="Calibri"/>
          <w:sz w:val="21"/>
          <w:szCs w:val="21"/>
        </w:rPr>
        <w:t xml:space="preserve">Which provisions of the Data (Use and Access) Act 2025 are in force and whether they change any statement here.</w:t>
      </w:r>
    </w:p>
    <w:p>
      <w:pPr>
        <w:pStyle w:val="ListParagraph"/>
        <w:numPr>
          <w:ilvl w:val="0"/>
          <w:numId w:val="2"/>
        </w:numPr>
        <w:spacing w:after="70" w:line="276"/>
      </w:pPr>
      <w:r>
        <w:rPr>
          <w:rFonts w:ascii="Calibri" w:cs="Calibri" w:eastAsia="Calibri" w:hAnsi="Calibri"/>
          <w:sz w:val="21"/>
          <w:szCs w:val="21"/>
        </w:rPr>
        <w:t xml:space="preserve">TikTok’s contractual limits on retention and use, and their effect on the 90-day disconnect period.</w:t>
      </w:r>
    </w:p>
    <w:p>
      <w:pPr>
        <w:pStyle w:val="ListParagraph"/>
        <w:numPr>
          <w:ilvl w:val="0"/>
          <w:numId w:val="2"/>
        </w:numPr>
        <w:spacing w:after="70" w:line="276"/>
      </w:pPr>
      <w:r>
        <w:rPr>
          <w:rFonts w:ascii="Calibri" w:cs="Calibri" w:eastAsia="Calibri" w:hAnsi="Calibri"/>
          <w:sz w:val="21"/>
          <w:szCs w:val="21"/>
        </w:rPr>
        <w:t xml:space="preserve">Whether the legitimate interests basis is suitable for usage events, or whether to rely on consent.</w:t>
      </w:r>
    </w:p>
    <w:p>
      <w:pPr>
        <w:pStyle w:val="ListParagraph"/>
        <w:numPr>
          <w:ilvl w:val="0"/>
          <w:numId w:val="2"/>
        </w:numPr>
        <w:spacing w:after="70" w:line="276"/>
      </w:pPr>
      <w:r>
        <w:rPr>
          <w:rFonts w:ascii="Calibri" w:cs="Calibri" w:eastAsia="Calibri" w:hAnsi="Calibri"/>
          <w:sz w:val="21"/>
          <w:szCs w:val="21"/>
        </w:rPr>
        <w:t xml:space="preserve">Safeguards needed if backups are ever copied outside the UK; and whether keeping backups in one UK region is adequate resilience.</w:t>
      </w:r>
    </w:p>
    <w:p>
      <w:pPr>
        <w:pStyle w:val="ListParagraph"/>
        <w:numPr>
          <w:ilvl w:val="0"/>
          <w:numId w:val="2"/>
        </w:numPr>
        <w:spacing w:after="70" w:line="276"/>
      </w:pPr>
      <w:r>
        <w:rPr>
          <w:rFonts w:ascii="Calibri" w:cs="Calibri" w:eastAsia="Calibri" w:hAnsi="Calibri"/>
          <w:sz w:val="21"/>
          <w:szCs w:val="21"/>
        </w:rPr>
        <w:t xml:space="preserve">ICO fee tier and whether a Data Protection Officer is required.</w:t>
      </w:r>
    </w:p>
    <w:p>
      <w:pPr>
        <w:pStyle w:val="ListParagraph"/>
        <w:numPr>
          <w:ilvl w:val="0"/>
          <w:numId w:val="2"/>
        </w:numPr>
        <w:spacing w:after="70" w:line="276"/>
      </w:pPr>
      <w:r>
        <w:rPr>
          <w:rFonts w:ascii="Calibri" w:cs="Calibri" w:eastAsia="Calibri" w:hAnsi="Calibri"/>
          <w:sz w:val="21"/>
          <w:szCs w:val="21"/>
        </w:rPr>
        <w:t xml:space="preserve">Whether the tax and VAT guidance, with its wording and disclaimers, sits comfortably within consumer law and professional-standards expectations for a guide that is not advice.</w:t>
      </w:r>
    </w:p>
    <w:p>
      <w:pPr>
        <w:pStyle w:val="ListParagraph"/>
        <w:numPr>
          <w:ilvl w:val="0"/>
          <w:numId w:val="2"/>
        </w:numPr>
        <w:spacing w:after="70" w:line="276"/>
      </w:pPr>
      <w:r>
        <w:rPr>
          <w:rFonts w:ascii="Calibri" w:cs="Calibri" w:eastAsia="Calibri" w:hAnsi="Calibri"/>
          <w:sz w:val="21"/>
          <w:szCs w:val="21"/>
        </w:rPr>
        <w:t xml:space="preserve">If sellers outside the UK are added later, the local data protection law that would then apply.</w:t>
      </w:r>
    </w:p>
    <w:sectPr>
      <w:headerReference w:type="default" r:id="rId7"/>
      <w:footerReference w:type="default" r:id="rId8"/>
      <w:pgSz w:w="11906" w:h="16838" w:orient="portrait"/>
      <w:pgMar w:top="11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475569"/>
        <w:sz w:val="16"/>
        <w:szCs w:val="16"/>
      </w:rPr>
      <w:t xml:space="preserve">Draft for review  |  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475569"/>
        <w:sz w:val="16"/>
        <w:szCs w:val="16"/>
      </w:rPr>
      <w:t xml:space="preserve">MyShopEdge  |  Data Protection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F2A4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MyShopEdge Data Protection Document</dc:title>
  <dc:creator>MyShopEdge</dc:creator>
  <cp:lastModifiedBy>Un-named</cp:lastModifiedBy>
  <cp:revision>1</cp:revision>
  <dcterms:created xsi:type="dcterms:W3CDTF">2026-09-21T03:18:01.170Z</dcterms:created>
  <dcterms:modified xsi:type="dcterms:W3CDTF">2026-09-21T03:18:01.170Z</dcterms:modified>
</cp:coreProperties>
</file>

<file path=docProps/custom.xml><?xml version="1.0" encoding="utf-8"?>
<Properties xmlns="http://schemas.openxmlformats.org/officeDocument/2006/custom-properties" xmlns:vt="http://schemas.openxmlformats.org/officeDocument/2006/docPropsVTypes"/>
</file>