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766E"/>
          <w:sz w:val="18"/>
          <w:szCs w:val="18"/>
        </w:rPr>
        <w:t xml:space="preserve">MYSHOPEDGE  |  MSE-TRD-001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z w:val="44"/>
          <w:szCs w:val="44"/>
        </w:rPr>
        <w:t xml:space="preserve">Technical Requirements Document</w:t>
      </w:r>
    </w:p>
    <w:p>
      <w:pPr>
        <w:pBdr>
          <w:bottom w:val="single" w:color="0F766E" w:sz="8" w:space="6"/>
        </w:pBdr>
        <w:spacing w:after="20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Architecture, technology choices and engineering rules for the 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 ID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MSE-TRD-001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Version and status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0.1, draft for review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 September 2026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Product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MyShopEdge MVP: UK TikTok Shop sellers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Basis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 Specification v2.0 (requirement IDs such as VIS-1 and BK-2 refer to it)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Related documents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SRD (MSE-SRD-001), Backend Orchestration and Schema (MSE-BOS-001), Cloud Hosting (MSE-CLD-001), API Integration (MSE-API-001), QA (MSE-QA-001)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1. Purpose and scope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This document sets out how the MVP shall be built: the architecture, the recommended technology, and the engineering rules that protect the properties the product depends on, above all exact money, a traceable ledger and safe handling of seller data. Technology choices are recommendations with alternatives, for confirmation by the engineering lead.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2. Technical principles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cantSplit/>
          <w:tblHeader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6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Engineering consequence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Money is exact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Integer pence, never floating point. One calculation library owns all rounding. Golden datasets guard it.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ledger is the truth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Append-only ledger; every screen figure is derivable from ledger rows and stock movements; corrections are new entries.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TikTok is the record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TikTok values win on conflict; seller values are kept; the difference is a first-class object.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Idempotent everywhere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 job and event carries an idempotency key. Retrying can never double-post.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Read-only integration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TikTok connector holds only read scopes. No code path writes to TikTok.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Minimal personal data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Buyer fields are dropped at the edge of ingestion. Financial data is encrypted and tenant-isolated.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Explainable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Insights and tax figures come from versioned rules with visible inputs; nothing is a black box.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UK-resident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Primary storage and processing in the UK region.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3. Architecture</w:t>
      </w:r>
    </w:p>
    <w:p>
      <w:pPr>
        <w:keepNext w:val="false"/>
        <w:spacing w:after="120" w:before="60"/>
        <w:jc w:val="center"/>
      </w:pPr>
      <w:r>
        <w:drawing>
          <wp:inline distT="0" distB="0" distL="0" distR="0">
            <wp:extent cx="5619750" cy="4257675"/>
            <wp:effectExtent t="0" r="0" b="0" l="0"/>
            <wp:docPr id="1" name="arch" descr="Logical architecture" title="Logica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26"/>
        <w:gridCol w:w="2500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Recommended technology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Frontend PWA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Mobile-first interface; caches last figures for brief offline reading; charts as accessible SVG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React, TypeScript, Vite; CSS variables for design tokens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API layer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Authentication, tenant isolation, validation, REST /v1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Node.js with TypeScript (NestJS or Fastify); OpenAPI generated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Ingestion and sync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TikTok connector, webhook receiver, backfill, polling, raw event store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Worker processes on the same codebase; queue-driven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Ledger and calculation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Posting rules, reporting bases, daily metrics, month summary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Shared calculation package; PostgreSQL functions only for idempotent writes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Stock and returns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 states, movements, return lifecycle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Domain module with database constraints as a second guard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Discrepancy engine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Match, apply precedence, open and resolve flags, change log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Domain module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Insight and tax rules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Versioned rule sets, VAT monitor, set-aside, dates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Rule tables in the database; pure functions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Notification and export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In-app notices, email, Excel and CSV generation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Worker jobs; ExcelJS for files; managed email service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stores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Ledger and schema; uploads and exports; queues; secrets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PostgreSQL 15+; object storage; managed queue; managed secrets and keys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4. Technology 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500"/>
        <w:gridCol w:w="2526"/>
      </w:tblGrid>
      <w:tr>
        <w:trPr>
          <w:cantSplit/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Alternative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Language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TypeScript across frontend and backend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language, shared types and calculation code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Kotlin or Python for backend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Transactions, constraints, row-level security, JSON where needed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MySQL; not recommended for RLS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Queue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Managed queue with dead-letter (SQS)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Simple, reliable, no servers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BullMQ on Redis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Scheduling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Managed scheduler for polls and nightly jobs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always-on cron host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In-app scheduler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Identity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Managed identity provider with email login and optional MFA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Avoids storing passwords; supports UK region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Self-built auth; not recommended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Hosting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AWS London region on containers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See MSE-CLD-001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Azure UK South; GCP London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Infrastructure as code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Terraform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Repeatable environments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AWS CDK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Structured logs, metrics, traces; error tracking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Faster diagnosis; scrubbed of personal data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Vendor APM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Feature flags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Configuration table read at request time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Phase MVP and R2 features safely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Flag service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5. Key technical designs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5.1 Calculation engine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All amounts are BigInt pence in code and BIGINT in the database. Display formatting rounds half up to two places; percentages to one place.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Formulas follow Product Specification v2.0 Section 8 exactly. Each formula is a pure function with a golden test.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Contribution is computed only when a valid cost exists; the function returns “not available” otherwise, never zero.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Reporting bases: the sales basis groups ledger rows by basis_month; the cash basis groups by settlement_month. A nightly check asserts Net Proceeds = Paid Out + Awaiting Settlement per order month.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Daily metrics are a cache. They can be rebuilt from the ledger and are compared to a recomputation each night.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5.2 Ledger and stock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Ledger writes are inserts only. The application role has no update or delete permission on the ledger table.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 unique index on shop, source, source reference, entry type and category makes reposting a no-op.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Stock positions are a projection of TikTok stock plus movements. A unique index prevents a return item being applied twice.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Units in hand equals On the shelf plus Sold, not posted; a test asserts the identity on every recalculation.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5.3 Discrepancy engine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Seller-supplied values (from cost uploads and confirmations) are compared with TikTok records after each sync.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On difference the TikTok value is applied, the seller value is stored on the discrepancy, and a notification is created with a dedupe key.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Resolution writes a change log entry and, where the seller corrects their record, updates only the seller-owned field.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5.4 Insight and tax rules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Insight rules and tax parameters live in versioned tables (reference_rules and a rules configuration). A rule change is data, not a release.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Each insight stores its inputs, so the seller can see the figures behind it and QA can replay it.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The VAT monitor computes rolling 12-month turnover at each month end, projects on the current monthly rate with the oldest months dropping out, and evaluates the 30-day forward test.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5.5 Multi-tenancy and access control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Every shop-scoped table carries shop_id. Row-level security limits every query to shops owned by the signed-in account.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The application sets the account context per request inside a transaction. A test suite tries cross-account reads on every endpoint.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Support staff have no default access to financial data. Any access is time-limited, approved and logged.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5.6 Security architecture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TikTok tokens use envelope encryption with a managed key; the key version is stored with the token for rotation.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Secrets are never in code or logs. Logs are scrubbed of tokens and financial values where not needed.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Web hardening: strict transport security, content security policy, same-site cookies, CSRF protection, input validation at the API boundary, rate limiting on authentication and file upload.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Uploaded files are scanned, size-limited, parsed in an isolated worker, and deleted after the retention period.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Dependency and container scanning run in the pipeline; releases are signed.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6. Frontend architecture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Progressive web app with a responsive single-column layout on phones and a centred column with side detail on larger screens.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Design tokens from the My Shop Buddy design language: brand orange, fixed cost-category colours, Archivo for figures and Plus Jakarta Sans for text, self-hosted.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Charts are small custom SVG with text alternatives; no third-party charting service.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State: server data cached by query key; no financial calculation in the client. The client formats and never computes money.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Accessibility: keyboard and screen reader support, focus order, contrast, reduced-motion respect, tested in CI with automated checks and by hand before launch.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Cookies: essential only. Any analytics are first-party events without financial values.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7. Engineering standards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Code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Strict TypeScript; linting and formatting enforced; code review required; trunk-based with short-lived branches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Testing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Unit and golden-dataset tests on calculation; integration tests against a real PostgreSQL; contract tests on recorded TikTok payloads; end-to-end tests on key journeys (see MSE-QA-001)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Migrations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Versioned, forward-only, reviewed; no destructive change without a two-step release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Environments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Development, staging, production; TikTok development shop attached to non-production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Delivery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Continuous integration; automated deploy to staging; manual approval to production; rollback within minutes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Logging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Structured, correlation IDs across jobs; no personal or token data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Configuration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Environment-specific, typed, validated at start-up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8. Sizing assumptions</w:t>
      </w:r>
    </w:p>
    <w:p>
      <w:pPr>
        <w:keepNext/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Sizing is provisional and drives the cloud plan.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42"/>
        <w:gridCol w:w="2142"/>
        <w:gridCol w:w="2142"/>
      </w:tblGrid>
      <w:tr>
        <w:trPr>
          <w:cantSplit/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Assumption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Pilot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Launch year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Growth case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Connected shops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Orders per shop per day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 events per day (all shops)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600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15,000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150,000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Ledger rows per order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to 10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to 10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to 10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Backfill per new shop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 months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 months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 months</w:t>
            </w:r>
          </w:p>
        </w:tc>
      </w:tr>
    </w:tbl>
    <w:p>
      <w:pPr>
        <w:spacing w:after="120" w:before="100" w:line="276"/>
      </w:pPr>
      <w:r>
        <w:rPr>
          <w:rFonts w:ascii="Calibri" w:cs="Calibri" w:eastAsia="Calibri" w:hAnsi="Calibri"/>
          <w:sz w:val="21"/>
          <w:szCs w:val="21"/>
        </w:rPr>
        <w:t xml:space="preserve">At the growth case the ledger reaches tens of millions of rows a year, which a single PostgreSQL instance with the indexes in MSE-BOS-001 handles, provided reporting reads use daily metrics.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9. Technical risks and spikes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rPr>
          <w:cantSplit/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Spike or control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TikTok fields differ from assumption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Two-week integration spike on a development shop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Field map signed off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Webhook loss or reorder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Poll and nightly reconciliation; replay tests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Recovery test passes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Rate limits slow backfill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Throttled queue; progress UI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Backfill time measured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Rounding or basis error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Golden datasets; nightly reconciliation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Zero unexplained differences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Cost file variety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Sample files from pilot sellers; mapping tests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 layouts detected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10. Decisions to confirm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Decided:</w:t>
      </w:r>
      <w:r>
        <w:rPr>
          <w:rFonts w:ascii="Calibri" w:cs="Calibri" w:eastAsia="Calibri" w:hAnsi="Calibri"/>
          <w:sz w:val="21"/>
          <w:szCs w:val="21"/>
        </w:rPr>
        <w:t xml:space="preserve"> AWS in the London region; backups in the UK; all data backed up. Backend framework remains a recommendation for the engineering lead.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Identity provider choice and MFA policy.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Whether to store raw TikTok payloads for 90 days or a shorter period (see Data Protection Document).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Independent security test provider and timing.</w:t>
      </w:r>
    </w:p>
    <w:sectPr>
      <w:headerReference w:type="default" r:id="rId7"/>
      <w:footerReference w:type="default" r:id="rId8"/>
      <w:pgSz w:w="11906" w:h="16838" w:orient="portrait"/>
      <w:pgMar w:top="11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cs="Calibri" w:eastAsia="Calibri" w:hAnsi="Calibri"/>
        <w:color w:val="475569"/>
        <w:sz w:val="16"/>
        <w:szCs w:val="16"/>
      </w:rPr>
      <w:t xml:space="preserve">Draft for review  |  Page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MyShopEdge  |  Technical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libri" w:cs="Calibri" w:eastAsia="Calibri" w:hAnsi="Calibri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1afbbf22a0282ce732a79f6cbe7cf3ac180020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MyShopEdge Technical Requirements Document</dc:title>
  <dc:creator>MyShopEdge</dc:creator>
  <cp:lastModifiedBy>Un-named</cp:lastModifiedBy>
  <cp:revision>1</cp:revision>
  <dcterms:created xsi:type="dcterms:W3CDTF">2026-09-21T03:17:59.547Z</dcterms:created>
  <dcterms:modified xsi:type="dcterms:W3CDTF">2026-09-21T03:17:59.548Z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