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88C2" w14:textId="26EC03C4" w:rsidR="00D61302" w:rsidRPr="00D61302" w:rsidRDefault="00D61302" w:rsidP="00D61302">
      <w:pPr>
        <w:jc w:val="center"/>
        <w:rPr>
          <w:rFonts w:ascii="Times New Roman" w:hAnsi="Times New Roman" w:cs="Times New Roman"/>
          <w:b/>
          <w:bCs/>
        </w:rPr>
      </w:pPr>
      <w:r w:rsidRPr="00D61302">
        <w:rPr>
          <w:rFonts w:ascii="Times New Roman" w:hAnsi="Times New Roman" w:cs="Times New Roman"/>
          <w:b/>
          <w:bCs/>
        </w:rPr>
        <w:t>ANSC 689</w:t>
      </w:r>
    </w:p>
    <w:p w14:paraId="1F50B2EF" w14:textId="11369B9D" w:rsidR="00AD789E" w:rsidRPr="00AD789E" w:rsidRDefault="00D61302" w:rsidP="00D61302">
      <w:pPr>
        <w:jc w:val="center"/>
        <w:rPr>
          <w:rFonts w:ascii="Times New Roman" w:hAnsi="Times New Roman" w:cs="Times New Roman"/>
        </w:rPr>
      </w:pPr>
      <w:r w:rsidRPr="00D61302">
        <w:rPr>
          <w:rFonts w:ascii="Times New Roman" w:hAnsi="Times New Roman" w:cs="Times New Roman"/>
          <w:b/>
          <w:bCs/>
        </w:rPr>
        <w:t xml:space="preserve">Observations on </w:t>
      </w:r>
      <w:r w:rsidR="00AD789E" w:rsidRPr="00AD789E">
        <w:rPr>
          <w:rFonts w:ascii="Times New Roman" w:hAnsi="Times New Roman" w:cs="Times New Roman"/>
          <w:b/>
          <w:bCs/>
        </w:rPr>
        <w:t>Data Visualization Analysis in Decision Science</w:t>
      </w:r>
    </w:p>
    <w:p w14:paraId="75ED4560"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Abstract</w:t>
      </w:r>
      <w:r w:rsidRPr="00AD789E">
        <w:rPr>
          <w:rFonts w:ascii="Times New Roman" w:hAnsi="Times New Roman" w:cs="Times New Roman"/>
        </w:rPr>
        <w:t xml:space="preserve"> This study presents a detailed visualization analysis of a dataset related to decision science, focusing on the relationships among wild temperament, temperature, humidity, stocking density, diet management, and Sub-Acute Ruminal Acidosis (SAARA) status in beef cattle. Using multiple visualization techniques, we explore patterns, correlations, and distributions that provide insights into SAARA's impact on cattle behavior and management. Key findings suggest distinct behavioral trends associated with environmental factors, which can aid in predictive modeling, early diagnosis, and decision-making strategies for managing SAARA in cattle.</w:t>
      </w:r>
    </w:p>
    <w:p w14:paraId="2A8B69D0"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1. Introduction</w:t>
      </w:r>
      <w:r w:rsidRPr="00AD789E">
        <w:rPr>
          <w:rFonts w:ascii="Times New Roman" w:hAnsi="Times New Roman" w:cs="Times New Roman"/>
        </w:rPr>
        <w:t xml:space="preserve"> Data visualization plays a crucial role in understanding complex datasets by highlighting patterns and relationships that may not be immediately apparent. This study employs various graphical techniques to analyze a dataset containing information on wild temperament, temperature, humidity, stocking density, diet transmission, and SAARA status. The objective is to extract meaningful insights that can inform clinical decisions, disease management, and preventive strategies for cattle affected by SAARA.</w:t>
      </w:r>
    </w:p>
    <w:p w14:paraId="416726CE"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2. Methods</w:t>
      </w:r>
      <w:r w:rsidRPr="00AD789E">
        <w:rPr>
          <w:rFonts w:ascii="Times New Roman" w:hAnsi="Times New Roman" w:cs="Times New Roman"/>
        </w:rPr>
        <w:t xml:space="preserve"> A structured approach was employed to generate and analyze visualizations. The dataset was preprocessed to handle missing values and ensure consistency. The following visualization techniques were used:</w:t>
      </w:r>
    </w:p>
    <w:p w14:paraId="2D48894D"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Bar plots</w:t>
      </w:r>
      <w:r w:rsidRPr="00AD789E">
        <w:rPr>
          <w:rFonts w:ascii="Times New Roman" w:hAnsi="Times New Roman" w:cs="Times New Roman"/>
        </w:rPr>
        <w:t xml:space="preserve"> to compare categorical distributions related to SAARA status.</w:t>
      </w:r>
    </w:p>
    <w:p w14:paraId="52C807FE"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Scatter plots</w:t>
      </w:r>
      <w:r w:rsidRPr="00AD789E">
        <w:rPr>
          <w:rFonts w:ascii="Times New Roman" w:hAnsi="Times New Roman" w:cs="Times New Roman"/>
        </w:rPr>
        <w:t xml:space="preserve"> to assess bivariate relationships in cattle feeding and environmental conditions.</w:t>
      </w:r>
    </w:p>
    <w:p w14:paraId="5EE77DE1"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Pie charts</w:t>
      </w:r>
      <w:r w:rsidRPr="00AD789E">
        <w:rPr>
          <w:rFonts w:ascii="Times New Roman" w:hAnsi="Times New Roman" w:cs="Times New Roman"/>
        </w:rPr>
        <w:t xml:space="preserve"> to visualize categorical proportions of grain type and SAARA occurrence.</w:t>
      </w:r>
    </w:p>
    <w:p w14:paraId="71D4FC13"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 xml:space="preserve">Box and violin </w:t>
      </w:r>
      <w:proofErr w:type="gramStart"/>
      <w:r w:rsidRPr="00AD789E">
        <w:rPr>
          <w:rFonts w:ascii="Times New Roman" w:hAnsi="Times New Roman" w:cs="Times New Roman"/>
          <w:b/>
          <w:bCs/>
        </w:rPr>
        <w:t>plots</w:t>
      </w:r>
      <w:r w:rsidRPr="00AD789E">
        <w:rPr>
          <w:rFonts w:ascii="Times New Roman" w:hAnsi="Times New Roman" w:cs="Times New Roman"/>
        </w:rPr>
        <w:t xml:space="preserve"> to</w:t>
      </w:r>
      <w:proofErr w:type="gramEnd"/>
      <w:r w:rsidRPr="00AD789E">
        <w:rPr>
          <w:rFonts w:ascii="Times New Roman" w:hAnsi="Times New Roman" w:cs="Times New Roman"/>
        </w:rPr>
        <w:t xml:space="preserve"> examine distribution variations.</w:t>
      </w:r>
    </w:p>
    <w:p w14:paraId="12D74EDB"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Histograms</w:t>
      </w:r>
      <w:r w:rsidRPr="00AD789E">
        <w:rPr>
          <w:rFonts w:ascii="Times New Roman" w:hAnsi="Times New Roman" w:cs="Times New Roman"/>
        </w:rPr>
        <w:t xml:space="preserve"> to assess humidity patterns.</w:t>
      </w:r>
    </w:p>
    <w:p w14:paraId="68F8D50A" w14:textId="77777777" w:rsidR="00AD789E" w:rsidRPr="00AD789E" w:rsidRDefault="00AD789E" w:rsidP="00D61302">
      <w:pPr>
        <w:numPr>
          <w:ilvl w:val="0"/>
          <w:numId w:val="5"/>
        </w:numPr>
        <w:jc w:val="both"/>
        <w:rPr>
          <w:rFonts w:ascii="Times New Roman" w:hAnsi="Times New Roman" w:cs="Times New Roman"/>
        </w:rPr>
      </w:pPr>
      <w:r w:rsidRPr="00AD789E">
        <w:rPr>
          <w:rFonts w:ascii="Times New Roman" w:hAnsi="Times New Roman" w:cs="Times New Roman"/>
          <w:b/>
          <w:bCs/>
        </w:rPr>
        <w:t>Regression plots</w:t>
      </w:r>
      <w:r w:rsidRPr="00AD789E">
        <w:rPr>
          <w:rFonts w:ascii="Times New Roman" w:hAnsi="Times New Roman" w:cs="Times New Roman"/>
        </w:rPr>
        <w:t xml:space="preserve"> to model linear relationships in stocking density and temperature.</w:t>
      </w:r>
    </w:p>
    <w:p w14:paraId="2D11C44A"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3. Results</w:t>
      </w:r>
    </w:p>
    <w:p w14:paraId="1DA414B1" w14:textId="77777777"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3.1. Bar Plot: Average Wild Temperament by SAARA Status</w:t>
      </w:r>
      <w:r w:rsidRPr="00AD789E">
        <w:rPr>
          <w:rFonts w:ascii="Times New Roman" w:hAnsi="Times New Roman" w:cs="Times New Roman"/>
        </w:rPr>
        <w:t xml:space="preserve"> This plot shows the variation in wild temperament based on SAARA status. Higher wild temperament scores were observed in SAARA-affected cattle, indicating increased restlessness and possible discomfort due to metabolic imbalances (</w:t>
      </w:r>
      <w:proofErr w:type="spellStart"/>
      <w:r w:rsidRPr="00AD789E">
        <w:rPr>
          <w:rFonts w:ascii="Times New Roman" w:hAnsi="Times New Roman" w:cs="Times New Roman"/>
        </w:rPr>
        <w:t>Plaizier</w:t>
      </w:r>
      <w:proofErr w:type="spellEnd"/>
      <w:r w:rsidRPr="00AD789E">
        <w:rPr>
          <w:rFonts w:ascii="Times New Roman" w:hAnsi="Times New Roman" w:cs="Times New Roman"/>
        </w:rPr>
        <w:t xml:space="preserve"> et al., 2008).</w:t>
      </w:r>
    </w:p>
    <w:p w14:paraId="18BD3E5C" w14:textId="52F4C1B2" w:rsidR="00AD789E" w:rsidRPr="00AD789E" w:rsidRDefault="00AD789E" w:rsidP="00D61302">
      <w:pPr>
        <w:jc w:val="both"/>
        <w:rPr>
          <w:rFonts w:ascii="Times New Roman" w:hAnsi="Times New Roman" w:cs="Times New Roman"/>
        </w:rPr>
      </w:pPr>
      <w:r w:rsidRPr="00D61302">
        <w:rPr>
          <w:rFonts w:ascii="Times New Roman" w:hAnsi="Times New Roman" w:cs="Times New Roman"/>
        </w:rPr>
        <w:lastRenderedPageBreak/>
        <w:drawing>
          <wp:inline distT="0" distB="0" distL="0" distR="0" wp14:anchorId="12B7B1D1" wp14:editId="290EA350">
            <wp:extent cx="2262094" cy="1538514"/>
            <wp:effectExtent l="0" t="0" r="5080" b="5080"/>
            <wp:docPr id="134731400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4003" name="Picture 1" descr="A graph with blue squares&#10;&#10;Description automatically generated"/>
                    <pic:cNvPicPr/>
                  </pic:nvPicPr>
                  <pic:blipFill>
                    <a:blip r:embed="rId5"/>
                    <a:stretch>
                      <a:fillRect/>
                    </a:stretch>
                  </pic:blipFill>
                  <pic:spPr>
                    <a:xfrm>
                      <a:off x="0" y="0"/>
                      <a:ext cx="2272197" cy="1545385"/>
                    </a:xfrm>
                    <a:prstGeom prst="rect">
                      <a:avLst/>
                    </a:prstGeom>
                  </pic:spPr>
                </pic:pic>
              </a:graphicData>
            </a:graphic>
          </wp:inline>
        </w:drawing>
      </w:r>
    </w:p>
    <w:p w14:paraId="3ABA7A8E" w14:textId="2FB7D807"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3.2. Scatter Plot: Wild Temperament vs. Temperature</w:t>
      </w:r>
      <w:r w:rsidRPr="00AD789E">
        <w:rPr>
          <w:rFonts w:ascii="Times New Roman" w:hAnsi="Times New Roman" w:cs="Times New Roman"/>
        </w:rPr>
        <w:t xml:space="preserve"> A moderate correlation was noted, where higher temperatures were associated with increased wild temperament. This suggests that heat stress may exacerbate behavioral instability in cattle suffering from SAARA (</w:t>
      </w:r>
      <w:r w:rsidR="00B366D5" w:rsidRPr="00D61302">
        <w:rPr>
          <w:rFonts w:ascii="Times New Roman" w:hAnsi="Times New Roman" w:cs="Times New Roman"/>
        </w:rPr>
        <w:t>Spigarelli</w:t>
      </w:r>
      <w:r w:rsidRPr="00AD789E">
        <w:rPr>
          <w:rFonts w:ascii="Times New Roman" w:hAnsi="Times New Roman" w:cs="Times New Roman"/>
        </w:rPr>
        <w:t xml:space="preserve"> et al., 20</w:t>
      </w:r>
      <w:r w:rsidR="00B366D5" w:rsidRPr="00D61302">
        <w:rPr>
          <w:rFonts w:ascii="Times New Roman" w:hAnsi="Times New Roman" w:cs="Times New Roman"/>
        </w:rPr>
        <w:t>20</w:t>
      </w:r>
      <w:r w:rsidRPr="00AD789E">
        <w:rPr>
          <w:rFonts w:ascii="Times New Roman" w:hAnsi="Times New Roman" w:cs="Times New Roman"/>
        </w:rPr>
        <w:t>).</w:t>
      </w:r>
    </w:p>
    <w:p w14:paraId="486FA3E1" w14:textId="3EFC0110"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64C1A770" wp14:editId="092F95F1">
            <wp:extent cx="2565391" cy="1745343"/>
            <wp:effectExtent l="0" t="0" r="6985" b="7620"/>
            <wp:docPr id="63565614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6147" name="Picture 1" descr="A graph of different colored dots&#10;&#10;Description automatically generated"/>
                    <pic:cNvPicPr/>
                  </pic:nvPicPr>
                  <pic:blipFill>
                    <a:blip r:embed="rId6"/>
                    <a:stretch>
                      <a:fillRect/>
                    </a:stretch>
                  </pic:blipFill>
                  <pic:spPr>
                    <a:xfrm>
                      <a:off x="0" y="0"/>
                      <a:ext cx="2570129" cy="1748567"/>
                    </a:xfrm>
                    <a:prstGeom prst="rect">
                      <a:avLst/>
                    </a:prstGeom>
                  </pic:spPr>
                </pic:pic>
              </a:graphicData>
            </a:graphic>
          </wp:inline>
        </w:drawing>
      </w:r>
    </w:p>
    <w:p w14:paraId="1EFC7287" w14:textId="6FFB78D1"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3.3. Pie Chart: Proportion of SAARA Status</w:t>
      </w:r>
      <w:r w:rsidRPr="00AD789E">
        <w:rPr>
          <w:rFonts w:ascii="Times New Roman" w:hAnsi="Times New Roman" w:cs="Times New Roman"/>
        </w:rPr>
        <w:t xml:space="preserve"> The distribution of SAARA statuses was imbalanced, with a higher proportion of cattle classified as SAARA-positive. This highlights a pressing need for early interventions and improved management strategies (</w:t>
      </w:r>
      <w:r w:rsidR="00F27CCA" w:rsidRPr="00D61302">
        <w:rPr>
          <w:rFonts w:ascii="Times New Roman" w:hAnsi="Times New Roman" w:cs="Times New Roman"/>
        </w:rPr>
        <w:t xml:space="preserve">Nagaraja &amp; Lechtenberg, </w:t>
      </w:r>
      <w:r w:rsidR="00F27CCA" w:rsidRPr="00AD789E">
        <w:rPr>
          <w:rFonts w:ascii="Times New Roman" w:hAnsi="Times New Roman" w:cs="Times New Roman"/>
        </w:rPr>
        <w:t>200</w:t>
      </w:r>
      <w:r w:rsidR="00F27CCA" w:rsidRPr="00D61302">
        <w:rPr>
          <w:rFonts w:ascii="Times New Roman" w:hAnsi="Times New Roman" w:cs="Times New Roman"/>
        </w:rPr>
        <w:t>7</w:t>
      </w:r>
      <w:r w:rsidR="00F27CCA" w:rsidRPr="00D61302">
        <w:rPr>
          <w:rFonts w:ascii="Times New Roman" w:hAnsi="Times New Roman" w:cs="Times New Roman"/>
        </w:rPr>
        <w:t>)</w:t>
      </w:r>
    </w:p>
    <w:p w14:paraId="3B5DFD09" w14:textId="29BBE930"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28ED93F5" wp14:editId="0DFA2072">
            <wp:extent cx="2449286" cy="2566404"/>
            <wp:effectExtent l="0" t="0" r="8255" b="5715"/>
            <wp:docPr id="207440782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07822" name="Picture 1" descr="A blue and orange pie chart&#10;&#10;Description automatically generated"/>
                    <pic:cNvPicPr/>
                  </pic:nvPicPr>
                  <pic:blipFill>
                    <a:blip r:embed="rId7"/>
                    <a:stretch>
                      <a:fillRect/>
                    </a:stretch>
                  </pic:blipFill>
                  <pic:spPr>
                    <a:xfrm>
                      <a:off x="0" y="0"/>
                      <a:ext cx="2454476" cy="2571842"/>
                    </a:xfrm>
                    <a:prstGeom prst="rect">
                      <a:avLst/>
                    </a:prstGeom>
                  </pic:spPr>
                </pic:pic>
              </a:graphicData>
            </a:graphic>
          </wp:inline>
        </w:drawing>
      </w:r>
    </w:p>
    <w:p w14:paraId="55C26FD2" w14:textId="568C2D32"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lastRenderedPageBreak/>
        <w:t>3.4. Bar Plot: Distribution of Diet Transmission Management (Slow vs. Fast)</w:t>
      </w:r>
      <w:r w:rsidRPr="00AD789E">
        <w:rPr>
          <w:rFonts w:ascii="Times New Roman" w:hAnsi="Times New Roman" w:cs="Times New Roman"/>
        </w:rPr>
        <w:t xml:space="preserve"> The diet transmission management approach significantly affects SAARA occurrence. Cattle fed at a faster rate exhibited higher SAARA prevalence, aligning with findings that rapid grain introduction increases ruminal acid load (</w:t>
      </w:r>
      <w:proofErr w:type="spellStart"/>
      <w:r w:rsidR="000F251B" w:rsidRPr="00AD789E">
        <w:rPr>
          <w:rFonts w:ascii="Times New Roman" w:hAnsi="Times New Roman" w:cs="Times New Roman"/>
        </w:rPr>
        <w:t>Plaizier</w:t>
      </w:r>
      <w:proofErr w:type="spellEnd"/>
      <w:r w:rsidR="000F251B" w:rsidRPr="00AD789E">
        <w:rPr>
          <w:rFonts w:ascii="Times New Roman" w:hAnsi="Times New Roman" w:cs="Times New Roman"/>
        </w:rPr>
        <w:t xml:space="preserve"> et al., 2008</w:t>
      </w:r>
      <w:r w:rsidRPr="00AD789E">
        <w:rPr>
          <w:rFonts w:ascii="Times New Roman" w:hAnsi="Times New Roman" w:cs="Times New Roman"/>
        </w:rPr>
        <w:t>).</w:t>
      </w:r>
    </w:p>
    <w:p w14:paraId="6551B1E0" w14:textId="7F56F076"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4553CD63" wp14:editId="2C93489E">
            <wp:extent cx="2772229" cy="2330420"/>
            <wp:effectExtent l="0" t="0" r="0" b="0"/>
            <wp:docPr id="976120116" name="Picture 1" descr="A diagram of a diet transition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20116" name="Picture 1" descr="A diagram of a diet transition management&#10;&#10;Description automatically generated"/>
                    <pic:cNvPicPr/>
                  </pic:nvPicPr>
                  <pic:blipFill>
                    <a:blip r:embed="rId8"/>
                    <a:stretch>
                      <a:fillRect/>
                    </a:stretch>
                  </pic:blipFill>
                  <pic:spPr>
                    <a:xfrm>
                      <a:off x="0" y="0"/>
                      <a:ext cx="2780122" cy="2337055"/>
                    </a:xfrm>
                    <a:prstGeom prst="rect">
                      <a:avLst/>
                    </a:prstGeom>
                  </pic:spPr>
                </pic:pic>
              </a:graphicData>
            </a:graphic>
          </wp:inline>
        </w:drawing>
      </w:r>
    </w:p>
    <w:p w14:paraId="1F48AFC5" w14:textId="00C2B8A6"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3.5. Bar Plot: Climatic Events Categorized by SAARA Presence</w:t>
      </w:r>
      <w:r w:rsidRPr="00AD789E">
        <w:rPr>
          <w:rFonts w:ascii="Times New Roman" w:hAnsi="Times New Roman" w:cs="Times New Roman"/>
        </w:rPr>
        <w:t xml:space="preserve"> This visualization categorizes climatic conditions in relation to SAARA prevalence. Hot and humid conditions were linked to increased SAARA cases, reinforcing the role of environmental stressors (</w:t>
      </w:r>
      <w:r w:rsidR="00F27CCA" w:rsidRPr="00D61302">
        <w:rPr>
          <w:rFonts w:ascii="Times New Roman" w:hAnsi="Times New Roman" w:cs="Times New Roman"/>
        </w:rPr>
        <w:t xml:space="preserve">Nagaraja &amp; Lechtenberg, </w:t>
      </w:r>
      <w:r w:rsidR="00F27CCA" w:rsidRPr="00AD789E">
        <w:rPr>
          <w:rFonts w:ascii="Times New Roman" w:hAnsi="Times New Roman" w:cs="Times New Roman"/>
        </w:rPr>
        <w:t>200</w:t>
      </w:r>
      <w:r w:rsidR="00F27CCA" w:rsidRPr="00D61302">
        <w:rPr>
          <w:rFonts w:ascii="Times New Roman" w:hAnsi="Times New Roman" w:cs="Times New Roman"/>
        </w:rPr>
        <w:t>7</w:t>
      </w:r>
      <w:r w:rsidRPr="00AD789E">
        <w:rPr>
          <w:rFonts w:ascii="Times New Roman" w:hAnsi="Times New Roman" w:cs="Times New Roman"/>
        </w:rPr>
        <w:t>).</w:t>
      </w:r>
    </w:p>
    <w:p w14:paraId="524B4138" w14:textId="09E37B2F"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76F95FD6" wp14:editId="37995D1D">
            <wp:extent cx="3029857" cy="2170750"/>
            <wp:effectExtent l="0" t="0" r="0" b="1270"/>
            <wp:docPr id="145913956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9561" name="Picture 1" descr="A graph of different colored bars&#10;&#10;Description automatically generated"/>
                    <pic:cNvPicPr/>
                  </pic:nvPicPr>
                  <pic:blipFill>
                    <a:blip r:embed="rId9"/>
                    <a:stretch>
                      <a:fillRect/>
                    </a:stretch>
                  </pic:blipFill>
                  <pic:spPr>
                    <a:xfrm>
                      <a:off x="0" y="0"/>
                      <a:ext cx="3035533" cy="2174817"/>
                    </a:xfrm>
                    <a:prstGeom prst="rect">
                      <a:avLst/>
                    </a:prstGeom>
                  </pic:spPr>
                </pic:pic>
              </a:graphicData>
            </a:graphic>
          </wp:inline>
        </w:drawing>
      </w:r>
    </w:p>
    <w:p w14:paraId="428BE24C" w14:textId="6A0F4076"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3.6. Scatter Plot: Rumen Modifiers Usage vs. Feeding Frequency</w:t>
      </w:r>
      <w:r w:rsidRPr="00AD789E">
        <w:rPr>
          <w:rFonts w:ascii="Times New Roman" w:hAnsi="Times New Roman" w:cs="Times New Roman"/>
        </w:rPr>
        <w:t xml:space="preserve"> The plot illustrates how feeding frequency interacts with the use of rumen modifiers like </w:t>
      </w:r>
      <w:proofErr w:type="spellStart"/>
      <w:r w:rsidRPr="00AD789E">
        <w:rPr>
          <w:rFonts w:ascii="Times New Roman" w:hAnsi="Times New Roman" w:cs="Times New Roman"/>
        </w:rPr>
        <w:t>monensin</w:t>
      </w:r>
      <w:proofErr w:type="spellEnd"/>
      <w:r w:rsidRPr="00AD789E">
        <w:rPr>
          <w:rFonts w:ascii="Times New Roman" w:hAnsi="Times New Roman" w:cs="Times New Roman"/>
        </w:rPr>
        <w:t xml:space="preserve"> and virginiamycin. Frequent feeding with these modifiers helps in SAARA mitigation by stabilizing ruminal </w:t>
      </w:r>
      <w:proofErr w:type="spellStart"/>
      <w:r w:rsidRPr="00AD789E">
        <w:rPr>
          <w:rFonts w:ascii="Times New Roman" w:hAnsi="Times New Roman" w:cs="Times New Roman"/>
        </w:rPr>
        <w:t>pH</w:t>
      </w:r>
      <w:r w:rsidR="00530985" w:rsidRPr="00D61302">
        <w:rPr>
          <w:rFonts w:ascii="Times New Roman" w:hAnsi="Times New Roman" w:cs="Times New Roman"/>
        </w:rPr>
        <w:t>.</w:t>
      </w:r>
      <w:proofErr w:type="spellEnd"/>
    </w:p>
    <w:p w14:paraId="3E2A8DF7" w14:textId="0E8A1E47" w:rsidR="00AD789E" w:rsidRPr="00AD789E" w:rsidRDefault="00AD789E" w:rsidP="00D61302">
      <w:pPr>
        <w:jc w:val="both"/>
        <w:rPr>
          <w:rFonts w:ascii="Times New Roman" w:hAnsi="Times New Roman" w:cs="Times New Roman"/>
        </w:rPr>
      </w:pPr>
      <w:r w:rsidRPr="00D61302">
        <w:rPr>
          <w:rFonts w:ascii="Times New Roman" w:hAnsi="Times New Roman" w:cs="Times New Roman"/>
        </w:rPr>
        <w:lastRenderedPageBreak/>
        <w:drawing>
          <wp:inline distT="0" distB="0" distL="0" distR="0" wp14:anchorId="63B84F40" wp14:editId="5C47465B">
            <wp:extent cx="2507343" cy="1956585"/>
            <wp:effectExtent l="0" t="0" r="7620" b="5715"/>
            <wp:docPr id="1177006105" name="Picture 1" descr="A chart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06105" name="Picture 1" descr="A chart with colored dots&#10;&#10;Description automatically generated"/>
                    <pic:cNvPicPr/>
                  </pic:nvPicPr>
                  <pic:blipFill>
                    <a:blip r:embed="rId10"/>
                    <a:stretch>
                      <a:fillRect/>
                    </a:stretch>
                  </pic:blipFill>
                  <pic:spPr>
                    <a:xfrm>
                      <a:off x="0" y="0"/>
                      <a:ext cx="2518598" cy="1965367"/>
                    </a:xfrm>
                    <a:prstGeom prst="rect">
                      <a:avLst/>
                    </a:prstGeom>
                  </pic:spPr>
                </pic:pic>
              </a:graphicData>
            </a:graphic>
          </wp:inline>
        </w:drawing>
      </w:r>
    </w:p>
    <w:p w14:paraId="0B754D43" w14:textId="1B38F089"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3.7. Regression Plot: Stocking Density vs. Temperature</w:t>
      </w:r>
      <w:r w:rsidRPr="00AD789E">
        <w:rPr>
          <w:rFonts w:ascii="Times New Roman" w:hAnsi="Times New Roman" w:cs="Times New Roman"/>
        </w:rPr>
        <w:t xml:space="preserve"> The regression analysis suggests a link between higher stocking density and increased environmental temperature. Overcrowded conditions can heighten stress responses, indirectly worsening SAARA outcomes (</w:t>
      </w:r>
      <w:proofErr w:type="spellStart"/>
      <w:r w:rsidR="00530985" w:rsidRPr="00D61302">
        <w:rPr>
          <w:rFonts w:ascii="Times New Roman" w:hAnsi="Times New Roman" w:cs="Times New Roman"/>
        </w:rPr>
        <w:t>Compiani</w:t>
      </w:r>
      <w:proofErr w:type="spellEnd"/>
      <w:r w:rsidR="00530985" w:rsidRPr="00D61302">
        <w:rPr>
          <w:rFonts w:ascii="Times New Roman" w:hAnsi="Times New Roman" w:cs="Times New Roman"/>
        </w:rPr>
        <w:t>, 2014</w:t>
      </w:r>
      <w:r w:rsidRPr="00AD789E">
        <w:rPr>
          <w:rFonts w:ascii="Times New Roman" w:hAnsi="Times New Roman" w:cs="Times New Roman"/>
        </w:rPr>
        <w:t>).</w:t>
      </w:r>
    </w:p>
    <w:p w14:paraId="51F5F681" w14:textId="497E306F"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0914F65B" wp14:editId="71ED53E8">
            <wp:extent cx="2993571" cy="1926312"/>
            <wp:effectExtent l="0" t="0" r="0" b="0"/>
            <wp:docPr id="906840400" name="Picture 1" descr="A graph of a graph showing the difference between a temperature and a stocking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40400" name="Picture 1" descr="A graph of a graph showing the difference between a temperature and a stocking density&#10;&#10;Description automatically generated"/>
                    <pic:cNvPicPr/>
                  </pic:nvPicPr>
                  <pic:blipFill>
                    <a:blip r:embed="rId11"/>
                    <a:stretch>
                      <a:fillRect/>
                    </a:stretch>
                  </pic:blipFill>
                  <pic:spPr>
                    <a:xfrm>
                      <a:off x="0" y="0"/>
                      <a:ext cx="2998716" cy="1929623"/>
                    </a:xfrm>
                    <a:prstGeom prst="rect">
                      <a:avLst/>
                    </a:prstGeom>
                  </pic:spPr>
                </pic:pic>
              </a:graphicData>
            </a:graphic>
          </wp:inline>
        </w:drawing>
      </w:r>
    </w:p>
    <w:p w14:paraId="1E7CB349" w14:textId="77777777"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3.8. Violin Plot: Stocking Density vs. Days on Concentrate Diet</w:t>
      </w:r>
      <w:r w:rsidRPr="00AD789E">
        <w:rPr>
          <w:rFonts w:ascii="Times New Roman" w:hAnsi="Times New Roman" w:cs="Times New Roman"/>
        </w:rPr>
        <w:t xml:space="preserve"> Stocking density variations influenced the number of days on a concentrate diet. A longer concentrate feeding period correlated with increased SAARA risks, emphasizing the importance of controlled grain adaptation (Owens et al., 1998).</w:t>
      </w:r>
    </w:p>
    <w:p w14:paraId="016F914C" w14:textId="6B53801E" w:rsidR="00AD789E" w:rsidRPr="00D61302"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7D66EE51" wp14:editId="26C7CCF8">
            <wp:extent cx="3410857" cy="2194828"/>
            <wp:effectExtent l="0" t="0" r="0" b="0"/>
            <wp:docPr id="679957524" name="Picture 1" descr="A graph of stocking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7524" name="Picture 1" descr="A graph of stocking density&#10;&#10;Description automatically generated"/>
                    <pic:cNvPicPr/>
                  </pic:nvPicPr>
                  <pic:blipFill>
                    <a:blip r:embed="rId12"/>
                    <a:stretch>
                      <a:fillRect/>
                    </a:stretch>
                  </pic:blipFill>
                  <pic:spPr>
                    <a:xfrm>
                      <a:off x="0" y="0"/>
                      <a:ext cx="3430395" cy="2207401"/>
                    </a:xfrm>
                    <a:prstGeom prst="rect">
                      <a:avLst/>
                    </a:prstGeom>
                  </pic:spPr>
                </pic:pic>
              </a:graphicData>
            </a:graphic>
          </wp:inline>
        </w:drawing>
      </w:r>
    </w:p>
    <w:p w14:paraId="5EEADC09" w14:textId="30F6A6F3"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lastRenderedPageBreak/>
        <w:t>3.9. Pie Chart: Proportion of Different Grain Types Fed to Cattle</w:t>
      </w:r>
      <w:r w:rsidRPr="00AD789E">
        <w:rPr>
          <w:rFonts w:ascii="Times New Roman" w:hAnsi="Times New Roman" w:cs="Times New Roman"/>
        </w:rPr>
        <w:t xml:space="preserve"> This visualization highlights variations in grain types. Diets rich in highly fermentable grains like wheat and barley were more prevalent in SAARA-positive cattle, reinforcing the need for balanced ration formulation (Nagaraja &amp; Lechtenberg, 2007).</w:t>
      </w:r>
    </w:p>
    <w:p w14:paraId="0C77BCFB" w14:textId="4CA3F0BF"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4857BB6F" wp14:editId="49F40C14">
            <wp:extent cx="2438400" cy="2522805"/>
            <wp:effectExtent l="0" t="0" r="0" b="0"/>
            <wp:docPr id="116628026"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8026" name="Picture 1" descr="A pie chart with different colored circles&#10;&#10;Description automatically generated"/>
                    <pic:cNvPicPr/>
                  </pic:nvPicPr>
                  <pic:blipFill>
                    <a:blip r:embed="rId13"/>
                    <a:stretch>
                      <a:fillRect/>
                    </a:stretch>
                  </pic:blipFill>
                  <pic:spPr>
                    <a:xfrm>
                      <a:off x="0" y="0"/>
                      <a:ext cx="2459330" cy="2544459"/>
                    </a:xfrm>
                    <a:prstGeom prst="rect">
                      <a:avLst/>
                    </a:prstGeom>
                  </pic:spPr>
                </pic:pic>
              </a:graphicData>
            </a:graphic>
          </wp:inline>
        </w:drawing>
      </w:r>
    </w:p>
    <w:p w14:paraId="73082D44" w14:textId="2B5F17D2"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3.10. Histogram: Humidity Distribution in Percentages</w:t>
      </w:r>
      <w:r w:rsidRPr="00AD789E">
        <w:rPr>
          <w:rFonts w:ascii="Times New Roman" w:hAnsi="Times New Roman" w:cs="Times New Roman"/>
        </w:rPr>
        <w:t xml:space="preserve"> Humidity patterns showed clustering at higher levels, suggesting that environmental moisture may be a contributing factor to SAARA incidence, likely through effects on heat stress and microbial activity (</w:t>
      </w:r>
      <w:r w:rsidR="00F27CCA" w:rsidRPr="00D61302">
        <w:rPr>
          <w:rFonts w:ascii="Times New Roman" w:hAnsi="Times New Roman" w:cs="Times New Roman"/>
        </w:rPr>
        <w:t>Spigarelli</w:t>
      </w:r>
      <w:r w:rsidR="00F27CCA" w:rsidRPr="00AD789E">
        <w:rPr>
          <w:rFonts w:ascii="Times New Roman" w:hAnsi="Times New Roman" w:cs="Times New Roman"/>
        </w:rPr>
        <w:t xml:space="preserve"> et al., 20</w:t>
      </w:r>
      <w:r w:rsidR="00F27CCA" w:rsidRPr="00D61302">
        <w:rPr>
          <w:rFonts w:ascii="Times New Roman" w:hAnsi="Times New Roman" w:cs="Times New Roman"/>
        </w:rPr>
        <w:t>20</w:t>
      </w:r>
      <w:r w:rsidRPr="00AD789E">
        <w:rPr>
          <w:rFonts w:ascii="Times New Roman" w:hAnsi="Times New Roman" w:cs="Times New Roman"/>
        </w:rPr>
        <w:t>).</w:t>
      </w:r>
    </w:p>
    <w:p w14:paraId="7E819BF2" w14:textId="0E040E5E" w:rsidR="00AD789E" w:rsidRP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4CA7E146" wp14:editId="62EF5A0B">
            <wp:extent cx="2707790" cy="2159000"/>
            <wp:effectExtent l="0" t="0" r="0" b="0"/>
            <wp:docPr id="1415141904" name="Picture 1" descr="A graph of a distribution of hum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41904" name="Picture 1" descr="A graph of a distribution of humidity&#10;&#10;Description automatically generated"/>
                    <pic:cNvPicPr/>
                  </pic:nvPicPr>
                  <pic:blipFill>
                    <a:blip r:embed="rId14"/>
                    <a:stretch>
                      <a:fillRect/>
                    </a:stretch>
                  </pic:blipFill>
                  <pic:spPr>
                    <a:xfrm>
                      <a:off x="0" y="0"/>
                      <a:ext cx="2715807" cy="2165393"/>
                    </a:xfrm>
                    <a:prstGeom prst="rect">
                      <a:avLst/>
                    </a:prstGeom>
                  </pic:spPr>
                </pic:pic>
              </a:graphicData>
            </a:graphic>
          </wp:inline>
        </w:drawing>
      </w:r>
    </w:p>
    <w:p w14:paraId="1BBD8E67" w14:textId="42B09EBF"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3.11. Grouped Bar Plot: Rumen Modifiers (</w:t>
      </w:r>
      <w:proofErr w:type="spellStart"/>
      <w:r w:rsidRPr="00AD789E">
        <w:rPr>
          <w:rFonts w:ascii="Times New Roman" w:hAnsi="Times New Roman" w:cs="Times New Roman"/>
          <w:b/>
          <w:bCs/>
        </w:rPr>
        <w:t>Virginomycin</w:t>
      </w:r>
      <w:proofErr w:type="spellEnd"/>
      <w:r w:rsidRPr="00AD789E">
        <w:rPr>
          <w:rFonts w:ascii="Times New Roman" w:hAnsi="Times New Roman" w:cs="Times New Roman"/>
          <w:b/>
          <w:bCs/>
        </w:rPr>
        <w:t xml:space="preserve">, </w:t>
      </w:r>
      <w:proofErr w:type="spellStart"/>
      <w:r w:rsidRPr="00AD789E">
        <w:rPr>
          <w:rFonts w:ascii="Times New Roman" w:hAnsi="Times New Roman" w:cs="Times New Roman"/>
          <w:b/>
          <w:bCs/>
        </w:rPr>
        <w:t>Monensin</w:t>
      </w:r>
      <w:proofErr w:type="spellEnd"/>
      <w:r w:rsidRPr="00AD789E">
        <w:rPr>
          <w:rFonts w:ascii="Times New Roman" w:hAnsi="Times New Roman" w:cs="Times New Roman"/>
          <w:b/>
          <w:bCs/>
        </w:rPr>
        <w:t>) vs. SAARA Occurrence</w:t>
      </w:r>
      <w:r w:rsidRPr="00AD789E">
        <w:rPr>
          <w:rFonts w:ascii="Times New Roman" w:hAnsi="Times New Roman" w:cs="Times New Roman"/>
        </w:rPr>
        <w:t xml:space="preserve"> This grouped bar plot demonstrates that cattle receiving rumen modifiers had a lower incidence of SAARA, highlighting their role in mitigating acidotic conditions (</w:t>
      </w:r>
      <w:r w:rsidR="00F27CCA" w:rsidRPr="00D61302">
        <w:rPr>
          <w:rFonts w:ascii="Times New Roman" w:hAnsi="Times New Roman" w:cs="Times New Roman"/>
        </w:rPr>
        <w:t xml:space="preserve">Nagaraja </w:t>
      </w:r>
      <w:r w:rsidR="00F27CCA" w:rsidRPr="00D61302">
        <w:rPr>
          <w:rFonts w:ascii="Times New Roman" w:hAnsi="Times New Roman" w:cs="Times New Roman"/>
        </w:rPr>
        <w:t xml:space="preserve">&amp; </w:t>
      </w:r>
      <w:r w:rsidR="00F27CCA" w:rsidRPr="00D61302">
        <w:rPr>
          <w:rFonts w:ascii="Times New Roman" w:hAnsi="Times New Roman" w:cs="Times New Roman"/>
        </w:rPr>
        <w:t>Lechtenberg</w:t>
      </w:r>
      <w:r w:rsidR="00F27CCA" w:rsidRPr="00D61302">
        <w:rPr>
          <w:rFonts w:ascii="Times New Roman" w:hAnsi="Times New Roman" w:cs="Times New Roman"/>
        </w:rPr>
        <w:t>,</w:t>
      </w:r>
      <w:r w:rsidR="00F27CCA" w:rsidRPr="00D61302">
        <w:rPr>
          <w:rFonts w:ascii="Times New Roman" w:hAnsi="Times New Roman" w:cs="Times New Roman"/>
        </w:rPr>
        <w:t xml:space="preserve"> </w:t>
      </w:r>
      <w:r w:rsidRPr="00AD789E">
        <w:rPr>
          <w:rFonts w:ascii="Times New Roman" w:hAnsi="Times New Roman" w:cs="Times New Roman"/>
        </w:rPr>
        <w:t>200</w:t>
      </w:r>
      <w:r w:rsidR="00F27CCA" w:rsidRPr="00D61302">
        <w:rPr>
          <w:rFonts w:ascii="Times New Roman" w:hAnsi="Times New Roman" w:cs="Times New Roman"/>
        </w:rPr>
        <w:t>7</w:t>
      </w:r>
      <w:r w:rsidRPr="00AD789E">
        <w:rPr>
          <w:rFonts w:ascii="Times New Roman" w:hAnsi="Times New Roman" w:cs="Times New Roman"/>
        </w:rPr>
        <w:t>).</w:t>
      </w:r>
    </w:p>
    <w:p w14:paraId="21DE1711" w14:textId="145A45CC" w:rsidR="00AD789E" w:rsidRPr="00AD789E" w:rsidRDefault="00AD789E" w:rsidP="00D61302">
      <w:pPr>
        <w:jc w:val="both"/>
        <w:rPr>
          <w:rFonts w:ascii="Times New Roman" w:hAnsi="Times New Roman" w:cs="Times New Roman"/>
        </w:rPr>
      </w:pPr>
      <w:r w:rsidRPr="00D61302">
        <w:rPr>
          <w:rFonts w:ascii="Times New Roman" w:hAnsi="Times New Roman" w:cs="Times New Roman"/>
        </w:rPr>
        <w:lastRenderedPageBreak/>
        <w:drawing>
          <wp:inline distT="0" distB="0" distL="0" distR="0" wp14:anchorId="66346B7D" wp14:editId="43D092DC">
            <wp:extent cx="3707094" cy="1839685"/>
            <wp:effectExtent l="0" t="0" r="8255" b="8255"/>
            <wp:docPr id="1725546099"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6099" name="Picture 1" descr="A graph with blue and orange squares&#10;&#10;Description automatically generated"/>
                    <pic:cNvPicPr/>
                  </pic:nvPicPr>
                  <pic:blipFill>
                    <a:blip r:embed="rId15"/>
                    <a:stretch>
                      <a:fillRect/>
                    </a:stretch>
                  </pic:blipFill>
                  <pic:spPr>
                    <a:xfrm>
                      <a:off x="0" y="0"/>
                      <a:ext cx="3718967" cy="1845577"/>
                    </a:xfrm>
                    <a:prstGeom prst="rect">
                      <a:avLst/>
                    </a:prstGeom>
                  </pic:spPr>
                </pic:pic>
              </a:graphicData>
            </a:graphic>
          </wp:inline>
        </w:drawing>
      </w:r>
    </w:p>
    <w:p w14:paraId="520CD345" w14:textId="77777777" w:rsidR="00AD789E" w:rsidRPr="00D61302" w:rsidRDefault="00AD789E" w:rsidP="00D61302">
      <w:pPr>
        <w:jc w:val="both"/>
        <w:rPr>
          <w:rFonts w:ascii="Times New Roman" w:hAnsi="Times New Roman" w:cs="Times New Roman"/>
        </w:rPr>
      </w:pPr>
      <w:r w:rsidRPr="00AD789E">
        <w:rPr>
          <w:rFonts w:ascii="Times New Roman" w:hAnsi="Times New Roman" w:cs="Times New Roman"/>
          <w:b/>
          <w:bCs/>
        </w:rPr>
        <w:t>3.12. Plot: Grain Processing and Grain Types vs. SAARA Occurrence</w:t>
      </w:r>
      <w:r w:rsidRPr="00AD789E">
        <w:rPr>
          <w:rFonts w:ascii="Times New Roman" w:hAnsi="Times New Roman" w:cs="Times New Roman"/>
        </w:rPr>
        <w:t xml:space="preserve"> The impact of grain processing methods on SAARA was evident. Finely ground grains led to higher SAARA incidence, whereas coarsely processed grains reduced the risk, supporting recommendations for optimizing grain particle size (Owens et al., 1998).</w:t>
      </w:r>
    </w:p>
    <w:p w14:paraId="72FC7B81" w14:textId="05C5DD2B" w:rsidR="00AD789E" w:rsidRDefault="00AD789E" w:rsidP="00D61302">
      <w:pPr>
        <w:jc w:val="both"/>
        <w:rPr>
          <w:rFonts w:ascii="Times New Roman" w:hAnsi="Times New Roman" w:cs="Times New Roman"/>
        </w:rPr>
      </w:pPr>
      <w:r w:rsidRPr="00D61302">
        <w:rPr>
          <w:rFonts w:ascii="Times New Roman" w:hAnsi="Times New Roman" w:cs="Times New Roman"/>
        </w:rPr>
        <w:drawing>
          <wp:inline distT="0" distB="0" distL="0" distR="0" wp14:anchorId="12C276F1" wp14:editId="7D1953F9">
            <wp:extent cx="3907971" cy="1939372"/>
            <wp:effectExtent l="0" t="0" r="0" b="3810"/>
            <wp:docPr id="89025001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0014" name="Picture 1" descr="A close-up of a graph&#10;&#10;Description automatically generated"/>
                    <pic:cNvPicPr/>
                  </pic:nvPicPr>
                  <pic:blipFill>
                    <a:blip r:embed="rId16"/>
                    <a:stretch>
                      <a:fillRect/>
                    </a:stretch>
                  </pic:blipFill>
                  <pic:spPr>
                    <a:xfrm>
                      <a:off x="0" y="0"/>
                      <a:ext cx="3919756" cy="1945220"/>
                    </a:xfrm>
                    <a:prstGeom prst="rect">
                      <a:avLst/>
                    </a:prstGeom>
                  </pic:spPr>
                </pic:pic>
              </a:graphicData>
            </a:graphic>
          </wp:inline>
        </w:drawing>
      </w:r>
    </w:p>
    <w:p w14:paraId="2E954E55" w14:textId="77777777" w:rsidR="00D61302" w:rsidRPr="00AD789E" w:rsidRDefault="00D61302" w:rsidP="00D61302">
      <w:pPr>
        <w:jc w:val="both"/>
        <w:rPr>
          <w:rFonts w:ascii="Times New Roman" w:hAnsi="Times New Roman" w:cs="Times New Roman"/>
        </w:rPr>
      </w:pPr>
    </w:p>
    <w:p w14:paraId="5111CD57"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4. Discussion</w:t>
      </w:r>
      <w:r w:rsidRPr="00AD789E">
        <w:rPr>
          <w:rFonts w:ascii="Times New Roman" w:hAnsi="Times New Roman" w:cs="Times New Roman"/>
        </w:rPr>
        <w:t xml:space="preserve"> The visualization results highlight significant trends and interactions within the dataset. The observed correlations suggest environmental influences on temperament, which have direct implications for SAARA diagnosis and management. Specifically:</w:t>
      </w:r>
    </w:p>
    <w:p w14:paraId="32FF6330" w14:textId="77777777" w:rsidR="00AD789E" w:rsidRPr="00AD789E" w:rsidRDefault="00AD789E" w:rsidP="00D61302">
      <w:pPr>
        <w:numPr>
          <w:ilvl w:val="0"/>
          <w:numId w:val="6"/>
        </w:numPr>
        <w:jc w:val="both"/>
        <w:rPr>
          <w:rFonts w:ascii="Times New Roman" w:hAnsi="Times New Roman" w:cs="Times New Roman"/>
        </w:rPr>
      </w:pPr>
      <w:r w:rsidRPr="00AD789E">
        <w:rPr>
          <w:rFonts w:ascii="Times New Roman" w:hAnsi="Times New Roman" w:cs="Times New Roman"/>
        </w:rPr>
        <w:t>Cattle with SAARA exhibit increased wild temperament scores, potentially due to discomfort or metabolic imbalances.</w:t>
      </w:r>
    </w:p>
    <w:p w14:paraId="0A8D0773" w14:textId="77777777" w:rsidR="00AD789E" w:rsidRPr="00AD789E" w:rsidRDefault="00AD789E" w:rsidP="00D61302">
      <w:pPr>
        <w:numPr>
          <w:ilvl w:val="0"/>
          <w:numId w:val="6"/>
        </w:numPr>
        <w:jc w:val="both"/>
        <w:rPr>
          <w:rFonts w:ascii="Times New Roman" w:hAnsi="Times New Roman" w:cs="Times New Roman"/>
        </w:rPr>
      </w:pPr>
      <w:r w:rsidRPr="00AD789E">
        <w:rPr>
          <w:rFonts w:ascii="Times New Roman" w:hAnsi="Times New Roman" w:cs="Times New Roman"/>
        </w:rPr>
        <w:t>Temperature and humidity interact with temperament, suggesting that environmental stressors may aggravate SAARA symptoms.</w:t>
      </w:r>
    </w:p>
    <w:p w14:paraId="5F63868A" w14:textId="77777777" w:rsidR="00AD789E" w:rsidRPr="00AD789E" w:rsidRDefault="00AD789E" w:rsidP="00D61302">
      <w:pPr>
        <w:numPr>
          <w:ilvl w:val="0"/>
          <w:numId w:val="6"/>
        </w:numPr>
        <w:jc w:val="both"/>
        <w:rPr>
          <w:rFonts w:ascii="Times New Roman" w:hAnsi="Times New Roman" w:cs="Times New Roman"/>
        </w:rPr>
      </w:pPr>
      <w:r w:rsidRPr="00AD789E">
        <w:rPr>
          <w:rFonts w:ascii="Times New Roman" w:hAnsi="Times New Roman" w:cs="Times New Roman"/>
        </w:rPr>
        <w:t>The presence of distinct behavioral clusters suggests that cattle may respond differently to SAARA based on intrinsic and extrinsic factors.</w:t>
      </w:r>
    </w:p>
    <w:p w14:paraId="082D4C14"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Clinical Implications:</w:t>
      </w:r>
    </w:p>
    <w:p w14:paraId="4CCC5CFA" w14:textId="77777777" w:rsidR="00AD789E" w:rsidRPr="00AD789E" w:rsidRDefault="00AD789E" w:rsidP="00D61302">
      <w:pPr>
        <w:numPr>
          <w:ilvl w:val="0"/>
          <w:numId w:val="7"/>
        </w:numPr>
        <w:jc w:val="both"/>
        <w:rPr>
          <w:rFonts w:ascii="Times New Roman" w:hAnsi="Times New Roman" w:cs="Times New Roman"/>
        </w:rPr>
      </w:pPr>
      <w:r w:rsidRPr="00AD789E">
        <w:rPr>
          <w:rFonts w:ascii="Times New Roman" w:hAnsi="Times New Roman" w:cs="Times New Roman"/>
          <w:b/>
          <w:bCs/>
        </w:rPr>
        <w:t>Diagnosis:</w:t>
      </w:r>
      <w:r w:rsidRPr="00AD789E">
        <w:rPr>
          <w:rFonts w:ascii="Times New Roman" w:hAnsi="Times New Roman" w:cs="Times New Roman"/>
        </w:rPr>
        <w:t xml:space="preserve"> Increased temperament scores could serve as an early indicator of SAARA, enabling timely intervention.</w:t>
      </w:r>
    </w:p>
    <w:p w14:paraId="5717C81F" w14:textId="77777777" w:rsidR="00AD789E" w:rsidRPr="00AD789E" w:rsidRDefault="00AD789E" w:rsidP="00D61302">
      <w:pPr>
        <w:numPr>
          <w:ilvl w:val="0"/>
          <w:numId w:val="7"/>
        </w:numPr>
        <w:jc w:val="both"/>
        <w:rPr>
          <w:rFonts w:ascii="Times New Roman" w:hAnsi="Times New Roman" w:cs="Times New Roman"/>
        </w:rPr>
      </w:pPr>
      <w:r w:rsidRPr="00AD789E">
        <w:rPr>
          <w:rFonts w:ascii="Times New Roman" w:hAnsi="Times New Roman" w:cs="Times New Roman"/>
          <w:b/>
          <w:bCs/>
        </w:rPr>
        <w:lastRenderedPageBreak/>
        <w:t>Management:</w:t>
      </w:r>
      <w:r w:rsidRPr="00AD789E">
        <w:rPr>
          <w:rFonts w:ascii="Times New Roman" w:hAnsi="Times New Roman" w:cs="Times New Roman"/>
        </w:rPr>
        <w:t xml:space="preserve"> Monitoring temperature and humidity levels can help predict high-risk periods, allowing for proactive feeding adjustments.</w:t>
      </w:r>
    </w:p>
    <w:p w14:paraId="46653D48" w14:textId="77777777" w:rsidR="00AD789E" w:rsidRPr="00AD789E" w:rsidRDefault="00AD789E" w:rsidP="00D61302">
      <w:pPr>
        <w:numPr>
          <w:ilvl w:val="0"/>
          <w:numId w:val="7"/>
        </w:numPr>
        <w:jc w:val="both"/>
        <w:rPr>
          <w:rFonts w:ascii="Times New Roman" w:hAnsi="Times New Roman" w:cs="Times New Roman"/>
        </w:rPr>
      </w:pPr>
      <w:r w:rsidRPr="00AD789E">
        <w:rPr>
          <w:rFonts w:ascii="Times New Roman" w:hAnsi="Times New Roman" w:cs="Times New Roman"/>
          <w:b/>
          <w:bCs/>
        </w:rPr>
        <w:t>Recommendations:</w:t>
      </w:r>
      <w:r w:rsidRPr="00AD789E">
        <w:rPr>
          <w:rFonts w:ascii="Times New Roman" w:hAnsi="Times New Roman" w:cs="Times New Roman"/>
        </w:rPr>
        <w:t xml:space="preserve"> Farmers should implement strategies such as modifying feeding regimens, providing adequate ventilation, and ensuring proper hydration to mitigate SAARA risks.</w:t>
      </w:r>
    </w:p>
    <w:p w14:paraId="34ECBBD6"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rPr>
        <w:t>The imbalanced distribution of SAARA statuses in the dataset suggests that certain populations may be more susceptible, highlighting the need for targeted preventative measures.</w:t>
      </w:r>
    </w:p>
    <w:p w14:paraId="78EEE1EC"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5. Conclusion</w:t>
      </w:r>
      <w:r w:rsidRPr="00AD789E">
        <w:rPr>
          <w:rFonts w:ascii="Times New Roman" w:hAnsi="Times New Roman" w:cs="Times New Roman"/>
        </w:rPr>
        <w:t xml:space="preserve"> This analysis underscores the power of data visualization in uncovering hidden patterns related to SAARA in cattle. Future work should incorporate advanced statistical modeling and machine learning techniques to enhance predictive capabilities based on these findings. Further research is recommended to validate these insights through controlled experimental studies and real-time monitoring of cattle behavior.</w:t>
      </w:r>
    </w:p>
    <w:p w14:paraId="7F5E0B20" w14:textId="77777777" w:rsidR="00AD789E" w:rsidRPr="00AD789E" w:rsidRDefault="00AD789E" w:rsidP="00D61302">
      <w:pPr>
        <w:jc w:val="both"/>
        <w:rPr>
          <w:rFonts w:ascii="Times New Roman" w:hAnsi="Times New Roman" w:cs="Times New Roman"/>
        </w:rPr>
      </w:pPr>
      <w:r w:rsidRPr="00AD789E">
        <w:rPr>
          <w:rFonts w:ascii="Times New Roman" w:hAnsi="Times New Roman" w:cs="Times New Roman"/>
          <w:b/>
          <w:bCs/>
        </w:rPr>
        <w:t>References</w:t>
      </w:r>
    </w:p>
    <w:p w14:paraId="33D75E36" w14:textId="77777777" w:rsidR="001943C3" w:rsidRPr="00D61302" w:rsidRDefault="001943C3" w:rsidP="00D61302">
      <w:pPr>
        <w:numPr>
          <w:ilvl w:val="0"/>
          <w:numId w:val="8"/>
        </w:numPr>
        <w:jc w:val="both"/>
        <w:rPr>
          <w:rFonts w:ascii="Times New Roman" w:hAnsi="Times New Roman" w:cs="Times New Roman"/>
        </w:rPr>
      </w:pPr>
      <w:r w:rsidRPr="00D61302">
        <w:rPr>
          <w:rFonts w:ascii="Times New Roman" w:hAnsi="Times New Roman" w:cs="Times New Roman"/>
        </w:rPr>
        <w:t xml:space="preserve">Nagaraja TG, Lechtenberg KF. Acidosis in feedlot cattle. Vet Clin North Am Food Anim </w:t>
      </w:r>
      <w:proofErr w:type="spellStart"/>
      <w:r w:rsidRPr="00D61302">
        <w:rPr>
          <w:rFonts w:ascii="Times New Roman" w:hAnsi="Times New Roman" w:cs="Times New Roman"/>
        </w:rPr>
        <w:t>Pract</w:t>
      </w:r>
      <w:proofErr w:type="spellEnd"/>
      <w:r w:rsidRPr="00D61302">
        <w:rPr>
          <w:rFonts w:ascii="Times New Roman" w:hAnsi="Times New Roman" w:cs="Times New Roman"/>
        </w:rPr>
        <w:t xml:space="preserve">. 2007 Jul;23(2):333-50, viii-ix. </w:t>
      </w:r>
      <w:proofErr w:type="spellStart"/>
      <w:r w:rsidRPr="00D61302">
        <w:rPr>
          <w:rFonts w:ascii="Times New Roman" w:hAnsi="Times New Roman" w:cs="Times New Roman"/>
        </w:rPr>
        <w:t>doi</w:t>
      </w:r>
      <w:proofErr w:type="spellEnd"/>
      <w:r w:rsidRPr="00D61302">
        <w:rPr>
          <w:rFonts w:ascii="Times New Roman" w:hAnsi="Times New Roman" w:cs="Times New Roman"/>
        </w:rPr>
        <w:t>: 10.1016/j.cvfa.2007.04.002. PMID: 17606155.</w:t>
      </w:r>
    </w:p>
    <w:p w14:paraId="7CFBC78E" w14:textId="77777777" w:rsidR="001943C3" w:rsidRPr="00D61302" w:rsidRDefault="001943C3" w:rsidP="00D61302">
      <w:pPr>
        <w:numPr>
          <w:ilvl w:val="0"/>
          <w:numId w:val="8"/>
        </w:numPr>
        <w:jc w:val="both"/>
        <w:rPr>
          <w:rFonts w:ascii="Times New Roman" w:hAnsi="Times New Roman" w:cs="Times New Roman"/>
        </w:rPr>
      </w:pPr>
      <w:proofErr w:type="spellStart"/>
      <w:r w:rsidRPr="00D61302">
        <w:rPr>
          <w:rFonts w:ascii="Times New Roman" w:hAnsi="Times New Roman" w:cs="Times New Roman"/>
        </w:rPr>
        <w:t>Plaizier</w:t>
      </w:r>
      <w:proofErr w:type="spellEnd"/>
      <w:r w:rsidRPr="00D61302">
        <w:rPr>
          <w:rFonts w:ascii="Times New Roman" w:hAnsi="Times New Roman" w:cs="Times New Roman"/>
        </w:rPr>
        <w:t xml:space="preserve"> JC, Krause DO, </w:t>
      </w:r>
      <w:proofErr w:type="spellStart"/>
      <w:r w:rsidRPr="00D61302">
        <w:rPr>
          <w:rFonts w:ascii="Times New Roman" w:hAnsi="Times New Roman" w:cs="Times New Roman"/>
        </w:rPr>
        <w:t>Gozho</w:t>
      </w:r>
      <w:proofErr w:type="spellEnd"/>
      <w:r w:rsidRPr="00D61302">
        <w:rPr>
          <w:rFonts w:ascii="Times New Roman" w:hAnsi="Times New Roman" w:cs="Times New Roman"/>
        </w:rPr>
        <w:t xml:space="preserve"> GN, McBride BW. Subacute ruminal acidosis in dairy cows: the physiological causes, incidence and consequences. Vet J. 2008 Apr;176(1):21-31. </w:t>
      </w:r>
      <w:proofErr w:type="spellStart"/>
      <w:r w:rsidRPr="00D61302">
        <w:rPr>
          <w:rFonts w:ascii="Times New Roman" w:hAnsi="Times New Roman" w:cs="Times New Roman"/>
        </w:rPr>
        <w:t>doi</w:t>
      </w:r>
      <w:proofErr w:type="spellEnd"/>
      <w:r w:rsidRPr="00D61302">
        <w:rPr>
          <w:rFonts w:ascii="Times New Roman" w:hAnsi="Times New Roman" w:cs="Times New Roman"/>
        </w:rPr>
        <w:t xml:space="preserve">: 10.1016/j.tvjl.2007.12.016. </w:t>
      </w:r>
      <w:proofErr w:type="spellStart"/>
      <w:r w:rsidRPr="00D61302">
        <w:rPr>
          <w:rFonts w:ascii="Times New Roman" w:hAnsi="Times New Roman" w:cs="Times New Roman"/>
        </w:rPr>
        <w:t>Epub</w:t>
      </w:r>
      <w:proofErr w:type="spellEnd"/>
      <w:r w:rsidRPr="00D61302">
        <w:rPr>
          <w:rFonts w:ascii="Times New Roman" w:hAnsi="Times New Roman" w:cs="Times New Roman"/>
        </w:rPr>
        <w:t xml:space="preserve"> 2008 Mar 10. PMID: 18329918.</w:t>
      </w:r>
    </w:p>
    <w:p w14:paraId="4BB670FE" w14:textId="77777777" w:rsidR="001943C3" w:rsidRPr="00D61302" w:rsidRDefault="001943C3" w:rsidP="00D61302">
      <w:pPr>
        <w:numPr>
          <w:ilvl w:val="0"/>
          <w:numId w:val="8"/>
        </w:numPr>
        <w:jc w:val="both"/>
        <w:rPr>
          <w:rFonts w:ascii="Times New Roman" w:hAnsi="Times New Roman" w:cs="Times New Roman"/>
        </w:rPr>
      </w:pPr>
      <w:r w:rsidRPr="00D61302">
        <w:rPr>
          <w:rFonts w:ascii="Times New Roman" w:hAnsi="Times New Roman" w:cs="Times New Roman"/>
        </w:rPr>
        <w:t xml:space="preserve">Spigarelli C, Zuliani A, </w:t>
      </w:r>
      <w:proofErr w:type="spellStart"/>
      <w:r w:rsidRPr="00D61302">
        <w:rPr>
          <w:rFonts w:ascii="Times New Roman" w:hAnsi="Times New Roman" w:cs="Times New Roman"/>
        </w:rPr>
        <w:t>Battini</w:t>
      </w:r>
      <w:proofErr w:type="spellEnd"/>
      <w:r w:rsidRPr="00D61302">
        <w:rPr>
          <w:rFonts w:ascii="Times New Roman" w:hAnsi="Times New Roman" w:cs="Times New Roman"/>
        </w:rPr>
        <w:t xml:space="preserve"> M, Mattiello S, </w:t>
      </w:r>
      <w:proofErr w:type="spellStart"/>
      <w:r w:rsidRPr="00D61302">
        <w:rPr>
          <w:rFonts w:ascii="Times New Roman" w:hAnsi="Times New Roman" w:cs="Times New Roman"/>
        </w:rPr>
        <w:t>Bovolenta</w:t>
      </w:r>
      <w:proofErr w:type="spellEnd"/>
      <w:r w:rsidRPr="00D61302">
        <w:rPr>
          <w:rFonts w:ascii="Times New Roman" w:hAnsi="Times New Roman" w:cs="Times New Roman"/>
        </w:rPr>
        <w:t xml:space="preserve"> S. Welfare Assessment on Pasture: A Review on Animal-Based Measures for Ruminants. Animals (Basel). 2020 Apr 2;10(4):609. </w:t>
      </w:r>
      <w:proofErr w:type="spellStart"/>
      <w:r w:rsidRPr="00D61302">
        <w:rPr>
          <w:rFonts w:ascii="Times New Roman" w:hAnsi="Times New Roman" w:cs="Times New Roman"/>
        </w:rPr>
        <w:t>doi</w:t>
      </w:r>
      <w:proofErr w:type="spellEnd"/>
      <w:r w:rsidRPr="00D61302">
        <w:rPr>
          <w:rFonts w:ascii="Times New Roman" w:hAnsi="Times New Roman" w:cs="Times New Roman"/>
        </w:rPr>
        <w:t>: 10.3390/ani10040609. PMID: 32252331; PMCID: PMC7222824.</w:t>
      </w:r>
    </w:p>
    <w:p w14:paraId="16180DEA" w14:textId="73EAF3E2" w:rsidR="00A062B0" w:rsidRPr="00D61302" w:rsidRDefault="00AD789E" w:rsidP="00D61302">
      <w:pPr>
        <w:numPr>
          <w:ilvl w:val="0"/>
          <w:numId w:val="8"/>
        </w:numPr>
        <w:jc w:val="both"/>
        <w:rPr>
          <w:rFonts w:ascii="Times New Roman" w:hAnsi="Times New Roman" w:cs="Times New Roman"/>
        </w:rPr>
      </w:pPr>
      <w:r w:rsidRPr="00AD789E">
        <w:rPr>
          <w:rFonts w:ascii="Times New Roman" w:hAnsi="Times New Roman" w:cs="Times New Roman"/>
        </w:rPr>
        <w:t xml:space="preserve">Owens, F. N., et al. (1998). Acidosis in cattle: A review. </w:t>
      </w:r>
      <w:r w:rsidRPr="00AD789E">
        <w:rPr>
          <w:rFonts w:ascii="Times New Roman" w:hAnsi="Times New Roman" w:cs="Times New Roman"/>
          <w:i/>
          <w:iCs/>
        </w:rPr>
        <w:t>Journal of Animal Science</w:t>
      </w:r>
      <w:r w:rsidRPr="00AD789E">
        <w:rPr>
          <w:rFonts w:ascii="Times New Roman" w:hAnsi="Times New Roman" w:cs="Times New Roman"/>
        </w:rPr>
        <w:t>, 76(1), 275-286.</w:t>
      </w:r>
    </w:p>
    <w:p w14:paraId="1014EE02" w14:textId="32B303ED" w:rsidR="00D61302" w:rsidRPr="00D61302" w:rsidRDefault="00530985" w:rsidP="00D61302">
      <w:pPr>
        <w:numPr>
          <w:ilvl w:val="0"/>
          <w:numId w:val="8"/>
        </w:numPr>
        <w:jc w:val="both"/>
        <w:rPr>
          <w:rFonts w:ascii="Times New Roman" w:hAnsi="Times New Roman" w:cs="Times New Roman"/>
        </w:rPr>
      </w:pPr>
      <w:proofErr w:type="spellStart"/>
      <w:r w:rsidRPr="00D61302">
        <w:rPr>
          <w:rFonts w:ascii="Times New Roman" w:hAnsi="Times New Roman" w:cs="Times New Roman"/>
        </w:rPr>
        <w:t>Compiani</w:t>
      </w:r>
      <w:proofErr w:type="spellEnd"/>
      <w:r w:rsidRPr="00D61302">
        <w:rPr>
          <w:rFonts w:ascii="Times New Roman" w:hAnsi="Times New Roman" w:cs="Times New Roman"/>
        </w:rPr>
        <w:t>, R. (2014). Strategies to optimize the productive performance of beef cattle.</w:t>
      </w:r>
    </w:p>
    <w:sectPr w:rsidR="00D61302" w:rsidRPr="00D6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E17"/>
    <w:multiLevelType w:val="multilevel"/>
    <w:tmpl w:val="4FA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7983"/>
    <w:multiLevelType w:val="multilevel"/>
    <w:tmpl w:val="E61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25465"/>
    <w:multiLevelType w:val="multilevel"/>
    <w:tmpl w:val="BA7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0B69"/>
    <w:multiLevelType w:val="multilevel"/>
    <w:tmpl w:val="D14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F1EF8"/>
    <w:multiLevelType w:val="multilevel"/>
    <w:tmpl w:val="AE4A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A1026"/>
    <w:multiLevelType w:val="multilevel"/>
    <w:tmpl w:val="480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5393A"/>
    <w:multiLevelType w:val="multilevel"/>
    <w:tmpl w:val="509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B270F"/>
    <w:multiLevelType w:val="multilevel"/>
    <w:tmpl w:val="66D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09546">
    <w:abstractNumId w:val="4"/>
  </w:num>
  <w:num w:numId="2" w16cid:durableId="478376804">
    <w:abstractNumId w:val="6"/>
  </w:num>
  <w:num w:numId="3" w16cid:durableId="824394666">
    <w:abstractNumId w:val="3"/>
  </w:num>
  <w:num w:numId="4" w16cid:durableId="869219379">
    <w:abstractNumId w:val="1"/>
  </w:num>
  <w:num w:numId="5" w16cid:durableId="1221936964">
    <w:abstractNumId w:val="0"/>
  </w:num>
  <w:num w:numId="6" w16cid:durableId="842472239">
    <w:abstractNumId w:val="5"/>
  </w:num>
  <w:num w:numId="7" w16cid:durableId="1297028616">
    <w:abstractNumId w:val="2"/>
  </w:num>
  <w:num w:numId="8" w16cid:durableId="1713650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75"/>
    <w:rsid w:val="000E62F5"/>
    <w:rsid w:val="000F251B"/>
    <w:rsid w:val="001124EC"/>
    <w:rsid w:val="00120D0F"/>
    <w:rsid w:val="001943C3"/>
    <w:rsid w:val="001F7487"/>
    <w:rsid w:val="00530985"/>
    <w:rsid w:val="005323ED"/>
    <w:rsid w:val="005A3E75"/>
    <w:rsid w:val="006F152C"/>
    <w:rsid w:val="007A2F49"/>
    <w:rsid w:val="00A062B0"/>
    <w:rsid w:val="00AD789E"/>
    <w:rsid w:val="00B366D5"/>
    <w:rsid w:val="00C61F43"/>
    <w:rsid w:val="00D24CE8"/>
    <w:rsid w:val="00D61302"/>
    <w:rsid w:val="00F2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E5FBB"/>
  <w15:chartTrackingRefBased/>
  <w15:docId w15:val="{CB303A32-DC00-4A85-8AD0-61D83597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E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E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E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E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E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E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E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E75"/>
    <w:rPr>
      <w:rFonts w:eastAsiaTheme="majorEastAsia" w:cstheme="majorBidi"/>
      <w:color w:val="272727" w:themeColor="text1" w:themeTint="D8"/>
    </w:rPr>
  </w:style>
  <w:style w:type="paragraph" w:styleId="Title">
    <w:name w:val="Title"/>
    <w:basedOn w:val="Normal"/>
    <w:next w:val="Normal"/>
    <w:link w:val="TitleChar"/>
    <w:uiPriority w:val="10"/>
    <w:qFormat/>
    <w:rsid w:val="005A3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E75"/>
    <w:pPr>
      <w:spacing w:before="160"/>
      <w:jc w:val="center"/>
    </w:pPr>
    <w:rPr>
      <w:i/>
      <w:iCs/>
      <w:color w:val="404040" w:themeColor="text1" w:themeTint="BF"/>
    </w:rPr>
  </w:style>
  <w:style w:type="character" w:customStyle="1" w:styleId="QuoteChar">
    <w:name w:val="Quote Char"/>
    <w:basedOn w:val="DefaultParagraphFont"/>
    <w:link w:val="Quote"/>
    <w:uiPriority w:val="29"/>
    <w:rsid w:val="005A3E75"/>
    <w:rPr>
      <w:i/>
      <w:iCs/>
      <w:color w:val="404040" w:themeColor="text1" w:themeTint="BF"/>
    </w:rPr>
  </w:style>
  <w:style w:type="paragraph" w:styleId="ListParagraph">
    <w:name w:val="List Paragraph"/>
    <w:basedOn w:val="Normal"/>
    <w:uiPriority w:val="34"/>
    <w:qFormat/>
    <w:rsid w:val="005A3E75"/>
    <w:pPr>
      <w:ind w:left="720"/>
      <w:contextualSpacing/>
    </w:pPr>
  </w:style>
  <w:style w:type="character" w:styleId="IntenseEmphasis">
    <w:name w:val="Intense Emphasis"/>
    <w:basedOn w:val="DefaultParagraphFont"/>
    <w:uiPriority w:val="21"/>
    <w:qFormat/>
    <w:rsid w:val="005A3E75"/>
    <w:rPr>
      <w:i/>
      <w:iCs/>
      <w:color w:val="0F4761" w:themeColor="accent1" w:themeShade="BF"/>
    </w:rPr>
  </w:style>
  <w:style w:type="paragraph" w:styleId="IntenseQuote">
    <w:name w:val="Intense Quote"/>
    <w:basedOn w:val="Normal"/>
    <w:next w:val="Normal"/>
    <w:link w:val="IntenseQuoteChar"/>
    <w:uiPriority w:val="30"/>
    <w:qFormat/>
    <w:rsid w:val="005A3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E75"/>
    <w:rPr>
      <w:i/>
      <w:iCs/>
      <w:color w:val="0F4761" w:themeColor="accent1" w:themeShade="BF"/>
    </w:rPr>
  </w:style>
  <w:style w:type="character" w:styleId="IntenseReference">
    <w:name w:val="Intense Reference"/>
    <w:basedOn w:val="DefaultParagraphFont"/>
    <w:uiPriority w:val="32"/>
    <w:qFormat/>
    <w:rsid w:val="005A3E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98569">
      <w:bodyDiv w:val="1"/>
      <w:marLeft w:val="0"/>
      <w:marRight w:val="0"/>
      <w:marTop w:val="0"/>
      <w:marBottom w:val="0"/>
      <w:divBdr>
        <w:top w:val="none" w:sz="0" w:space="0" w:color="auto"/>
        <w:left w:val="none" w:sz="0" w:space="0" w:color="auto"/>
        <w:bottom w:val="none" w:sz="0" w:space="0" w:color="auto"/>
        <w:right w:val="none" w:sz="0" w:space="0" w:color="auto"/>
      </w:divBdr>
    </w:div>
    <w:div w:id="468942194">
      <w:bodyDiv w:val="1"/>
      <w:marLeft w:val="0"/>
      <w:marRight w:val="0"/>
      <w:marTop w:val="0"/>
      <w:marBottom w:val="0"/>
      <w:divBdr>
        <w:top w:val="none" w:sz="0" w:space="0" w:color="auto"/>
        <w:left w:val="none" w:sz="0" w:space="0" w:color="auto"/>
        <w:bottom w:val="none" w:sz="0" w:space="0" w:color="auto"/>
        <w:right w:val="none" w:sz="0" w:space="0" w:color="auto"/>
      </w:divBdr>
    </w:div>
    <w:div w:id="687177716">
      <w:bodyDiv w:val="1"/>
      <w:marLeft w:val="0"/>
      <w:marRight w:val="0"/>
      <w:marTop w:val="0"/>
      <w:marBottom w:val="0"/>
      <w:divBdr>
        <w:top w:val="none" w:sz="0" w:space="0" w:color="auto"/>
        <w:left w:val="none" w:sz="0" w:space="0" w:color="auto"/>
        <w:bottom w:val="none" w:sz="0" w:space="0" w:color="auto"/>
        <w:right w:val="none" w:sz="0" w:space="0" w:color="auto"/>
      </w:divBdr>
    </w:div>
    <w:div w:id="709454965">
      <w:bodyDiv w:val="1"/>
      <w:marLeft w:val="0"/>
      <w:marRight w:val="0"/>
      <w:marTop w:val="0"/>
      <w:marBottom w:val="0"/>
      <w:divBdr>
        <w:top w:val="none" w:sz="0" w:space="0" w:color="auto"/>
        <w:left w:val="none" w:sz="0" w:space="0" w:color="auto"/>
        <w:bottom w:val="none" w:sz="0" w:space="0" w:color="auto"/>
        <w:right w:val="none" w:sz="0" w:space="0" w:color="auto"/>
      </w:divBdr>
    </w:div>
    <w:div w:id="870147152">
      <w:bodyDiv w:val="1"/>
      <w:marLeft w:val="0"/>
      <w:marRight w:val="0"/>
      <w:marTop w:val="0"/>
      <w:marBottom w:val="0"/>
      <w:divBdr>
        <w:top w:val="none" w:sz="0" w:space="0" w:color="auto"/>
        <w:left w:val="none" w:sz="0" w:space="0" w:color="auto"/>
        <w:bottom w:val="none" w:sz="0" w:space="0" w:color="auto"/>
        <w:right w:val="none" w:sz="0" w:space="0" w:color="auto"/>
      </w:divBdr>
    </w:div>
    <w:div w:id="974138223">
      <w:bodyDiv w:val="1"/>
      <w:marLeft w:val="0"/>
      <w:marRight w:val="0"/>
      <w:marTop w:val="0"/>
      <w:marBottom w:val="0"/>
      <w:divBdr>
        <w:top w:val="none" w:sz="0" w:space="0" w:color="auto"/>
        <w:left w:val="none" w:sz="0" w:space="0" w:color="auto"/>
        <w:bottom w:val="none" w:sz="0" w:space="0" w:color="auto"/>
        <w:right w:val="none" w:sz="0" w:space="0" w:color="auto"/>
      </w:divBdr>
    </w:div>
    <w:div w:id="1026515467">
      <w:bodyDiv w:val="1"/>
      <w:marLeft w:val="0"/>
      <w:marRight w:val="0"/>
      <w:marTop w:val="0"/>
      <w:marBottom w:val="0"/>
      <w:divBdr>
        <w:top w:val="none" w:sz="0" w:space="0" w:color="auto"/>
        <w:left w:val="none" w:sz="0" w:space="0" w:color="auto"/>
        <w:bottom w:val="none" w:sz="0" w:space="0" w:color="auto"/>
        <w:right w:val="none" w:sz="0" w:space="0" w:color="auto"/>
      </w:divBdr>
    </w:div>
    <w:div w:id="1443263203">
      <w:bodyDiv w:val="1"/>
      <w:marLeft w:val="0"/>
      <w:marRight w:val="0"/>
      <w:marTop w:val="0"/>
      <w:marBottom w:val="0"/>
      <w:divBdr>
        <w:top w:val="none" w:sz="0" w:space="0" w:color="auto"/>
        <w:left w:val="none" w:sz="0" w:space="0" w:color="auto"/>
        <w:bottom w:val="none" w:sz="0" w:space="0" w:color="auto"/>
        <w:right w:val="none" w:sz="0" w:space="0" w:color="auto"/>
      </w:divBdr>
    </w:div>
    <w:div w:id="1510950168">
      <w:bodyDiv w:val="1"/>
      <w:marLeft w:val="0"/>
      <w:marRight w:val="0"/>
      <w:marTop w:val="0"/>
      <w:marBottom w:val="0"/>
      <w:divBdr>
        <w:top w:val="none" w:sz="0" w:space="0" w:color="auto"/>
        <w:left w:val="none" w:sz="0" w:space="0" w:color="auto"/>
        <w:bottom w:val="none" w:sz="0" w:space="0" w:color="auto"/>
        <w:right w:val="none" w:sz="0" w:space="0" w:color="auto"/>
      </w:divBdr>
    </w:div>
    <w:div w:id="1888449680">
      <w:bodyDiv w:val="1"/>
      <w:marLeft w:val="0"/>
      <w:marRight w:val="0"/>
      <w:marTop w:val="0"/>
      <w:marBottom w:val="0"/>
      <w:divBdr>
        <w:top w:val="none" w:sz="0" w:space="0" w:color="auto"/>
        <w:left w:val="none" w:sz="0" w:space="0" w:color="auto"/>
        <w:bottom w:val="none" w:sz="0" w:space="0" w:color="auto"/>
        <w:right w:val="none" w:sz="0" w:space="0" w:color="auto"/>
      </w:divBdr>
    </w:div>
    <w:div w:id="1916932886">
      <w:bodyDiv w:val="1"/>
      <w:marLeft w:val="0"/>
      <w:marRight w:val="0"/>
      <w:marTop w:val="0"/>
      <w:marBottom w:val="0"/>
      <w:divBdr>
        <w:top w:val="none" w:sz="0" w:space="0" w:color="auto"/>
        <w:left w:val="none" w:sz="0" w:space="0" w:color="auto"/>
        <w:bottom w:val="none" w:sz="0" w:space="0" w:color="auto"/>
        <w:right w:val="none" w:sz="0" w:space="0" w:color="auto"/>
      </w:divBdr>
    </w:div>
    <w:div w:id="2057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1071</Words>
  <Characters>6946</Characters>
  <Application>Microsoft Office Word</Application>
  <DocSecurity>0</DocSecurity>
  <Lines>121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 J. Adekunle</dc:creator>
  <cp:keywords/>
  <dc:description/>
  <cp:lastModifiedBy>Adeolu J. Adekunle</cp:lastModifiedBy>
  <cp:revision>2</cp:revision>
  <dcterms:created xsi:type="dcterms:W3CDTF">2025-02-07T17:48:00Z</dcterms:created>
  <dcterms:modified xsi:type="dcterms:W3CDTF">2025-02-07T18:52:00Z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2f58b16f-ae43-4746-9cbb-46d6e053efca</vt:lpwstr>
  </property>
</Properties>
</file>