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ASAF: An AI-Enhanced, Offline-First Smart Antenatal Care Framework for Resource-Constrained Rural Healthcare Systems</w:t>
      </w:r>
    </w:p>
    <w:p>
      <w:pPr>
        <w:spacing w:after="40"/>
        <w:jc w:val="center"/>
      </w:pPr>
      <w:r>
        <w:rPr>
          <w:sz w:val="22"/>
          <w:szCs w:val="22"/>
        </w:rPr>
        <w:t xml:space="preserve">[Author Name]</w:t>
      </w:r>
    </w:p>
    <w:p>
      <w:pPr>
        <w:spacing w:after="40"/>
        <w:jc w:val="center"/>
      </w:pPr>
      <w:r>
        <w:rPr>
          <w:i/>
          <w:iCs/>
          <w:sz w:val="20"/>
          <w:szCs w:val="20"/>
        </w:rPr>
        <w:t xml:space="preserve">Department of Computer Science / Software Engineering, [College Name]</w:t>
      </w:r>
    </w:p>
    <w:p>
      <w:pPr>
        <w:spacing w:after="240"/>
        <w:jc w:val="center"/>
      </w:pPr>
      <w:r>
        <w:rPr>
          <w:i/>
          <w:iCs/>
          <w:sz w:val="20"/>
          <w:szCs w:val="20"/>
        </w:rPr>
        <w:t xml:space="preserve">[Email Address]</w:t>
      </w:r>
    </w:p>
    <w:p>
      <w:pPr>
        <w:spacing w:after="160" w:line="300"/>
        <w:jc w:val="both"/>
      </w:pPr>
      <w:r>
        <w:rPr>
          <w:b/>
          <w:bCs/>
          <w:sz w:val="22"/>
          <w:szCs w:val="22"/>
        </w:rPr>
        <w:t xml:space="preserve">Abstract—  </w:t>
      </w:r>
      <w:r>
        <w:rPr>
          <w:sz w:val="22"/>
          <w:szCs w:val="22"/>
        </w:rPr>
        <w:t xml:space="preserve">Ubiquitous and mobile health (mHealth) technologies have transformed antenatal care (ANC) delivery in resource-constrained rural regions, yet many proposed frameworks remain limited to passive digital record-keeping. The Ubiquitous Healthcare Facility Framework (UHFF), proposed for rural Punjab, Pakistan, demonstrated that healthcare professionals readily adopt mobile and e-Service tools when designed around their existing workflows. A review of work published since 2019, however, reveals six concrete limitations of UHFF: an absence of predictive decision support, full dependency on continuous cloud connectivity, no automated vital-sign capture, no direct patient-facing interface, no documented data-security mechanism, and an evaluation restricted to usability constructs without operational or clinical outcomes. This paper proposes the AI-enhanced Smart Antenatal Framework (ASAF), which extends the UHFF service model with an offline-first synchronization layer, a machine-learning-based maternal risk classification module, a patient companion application, and a token-based security layer. A proof-of-concept implementation is described, comprising a React Native mobile client, a FastAPI backend, a local SQLite offline store, and a Random Forest classifier trained on a publicly available maternal health risk dataset. An extended evaluation framework retains the twelve usability constructs validated in prior work and introduces two new constructs—risk-prediction reliability and offline-synchronization reliability—together with corresponding hypotheses, providing a roadmap for field evaluation at Basic Health Units.</w:t>
      </w:r>
    </w:p>
    <w:p>
      <w:pPr>
        <w:spacing w:after="160" w:line="300"/>
        <w:jc w:val="both"/>
      </w:pPr>
      <w:r>
        <w:rPr>
          <w:b/>
          <w:bCs/>
          <w:sz w:val="22"/>
          <w:szCs w:val="22"/>
        </w:rPr>
        <w:t xml:space="preserve">Index Terms—  </w:t>
      </w:r>
      <w:r>
        <w:rPr>
          <w:sz w:val="22"/>
          <w:szCs w:val="22"/>
        </w:rPr>
        <w:t xml:space="preserve">Mobile health, ubiquitous healthcare, antenatal care, machine learning, offline-first architecture, maternal risk prediction, rural healthcare, usability evaluation, clinical decision support.</w:t>
      </w:r>
    </w:p>
    <w:p>
      <w:pPr>
        <w:pStyle w:val="Heading1"/>
      </w:pPr>
      <w:r>
        <w:t xml:space="preserve">I. Introduction</w:t>
      </w:r>
    </w:p>
    <w:p>
      <w:pPr>
        <w:spacing w:after="160" w:line="300"/>
        <w:jc w:val="both"/>
      </w:pPr>
      <w:r>
        <w:rPr>
          <w:sz w:val="22"/>
          <w:szCs w:val="22"/>
        </w:rPr>
        <w:t xml:space="preserve">Ubiquitous computing describes a model of computing in which information services become embedded into everyday activities, accessible from any location, at any time, and through any networked device. Within healthcare, this paradigm underlies ubiquitous healthcare (u-health) systems, which combine mobile applications, wireless communication, and cloud infrastructure to extend clinical services beyond the physical boundaries of hospitals and clinics. These systems are particularly relevant to rural and underserved regions, where distance, weak transport networks, and a shortage of trained staff limit access to formal healthcare facilities.</w:t>
      </w:r>
    </w:p>
    <w:p>
      <w:pPr>
        <w:spacing w:after="160" w:line="300"/>
        <w:jc w:val="both"/>
      </w:pPr>
      <w:r>
        <w:rPr>
          <w:sz w:val="22"/>
          <w:szCs w:val="22"/>
        </w:rPr>
        <w:t xml:space="preserve">Antenatal care (ANC)—the structured monitoring of a woman's health throughout pregnancy—is among the most effective interventions for reducing maternal and neonatal mortality. In rural primary care facilities across many low- and middle-income countries (LMICs), however, ANC delivery still depends heavily on paper registers, verbal handovers between frontline workers, and manually compiled reports sent up the administrative hierarchy. This results in delayed referrals, duplicated records, missed follow-up visits, and limited visibility for district health offices into the status of individual patients.</w:t>
      </w:r>
    </w:p>
    <w:p>
      <w:pPr>
        <w:spacing w:after="160" w:line="300"/>
        <w:jc w:val="both"/>
      </w:pPr>
      <w:r>
        <w:rPr>
          <w:sz w:val="22"/>
          <w:szCs w:val="22"/>
        </w:rPr>
        <w:t xml:space="preserve">To address these issues, Saleemi, Anjum, and Rehman proposed the Ubiquitous Healthcare Facility Framework (UHFF) [1], developed through an extensive case study of Basic Health Units (BHUs) in rural Punjab, Pakistan. UHFF digitized seven services—patient management, newborn management, medicine and supplies prescription, lady health worker (LHW) management, a first-aid e-toolkit, a mortality calculator, and a reports generator—deployed on Amazon Web Services and accessed through Android and web clients. Field surveys with 299 healthcare professionals across 35 BHUs, analyzed using structured equation modeling across twelve usability constructs, reported that all twelve associated hypotheses were highly significant predictors of user satisfaction.</w:t>
      </w:r>
    </w:p>
    <w:p>
      <w:pPr>
        <w:spacing w:after="160" w:line="300"/>
        <w:jc w:val="both"/>
      </w:pPr>
      <w:r>
        <w:rPr>
          <w:sz w:val="22"/>
          <w:szCs w:val="22"/>
        </w:rPr>
        <w:t xml:space="preserve">UHFF remains a strong example of community-engaged design: it was built directly from focus-group findings with lady health workers, supervisors, and medical officers, and its evaluation framework, adapted from the DeLone and McLean model [8] and Nielsen's usability heuristics [9], is methodologically rigorous. However, examining the literature published since 2019 (Section II) shows that the field has continued to move in directions that UHFF does not cover. Recent systems incorporate predictive risk classification rather than passive record storage [4], operate reliably without continuous connectivity [5], extend services directly to patients rather than solely to health workers [3], and, in some cases, combine AI, IoT sensing, and blockchain-based security into a single platform [6]. UHFF's evaluation, in turn, measured only perceived usability and did not report any clinical or operational outcome. These observations form the basis for the framework proposed in this paper.</w:t>
      </w:r>
    </w:p>
    <w:p>
      <w:pPr>
        <w:spacing w:after="160" w:line="300"/>
        <w:jc w:val="both"/>
      </w:pPr>
      <w:r>
        <w:rPr>
          <w:sz w:val="22"/>
          <w:szCs w:val="22"/>
        </w:rPr>
        <w:t xml:space="preserve">The contributions of this paper are as follows:</w:t>
      </w:r>
    </w:p>
    <w:p>
      <w:pPr>
        <w:pStyle w:val="ListParagraph"/>
        <w:numPr>
          <w:ilvl w:val="0"/>
          <w:numId w:val="2"/>
        </w:numPr>
        <w:spacing w:after="100" w:line="300"/>
      </w:pPr>
      <w:r>
        <w:rPr>
          <w:sz w:val="22"/>
          <w:szCs w:val="22"/>
        </w:rPr>
        <w:t xml:space="preserve">A structured comparison of UHFF against five works published between 2020 and 2026, from which six concrete limitations (G1–G6) of UHFF are identified and organized into a gap-analysis table.</w:t>
      </w:r>
    </w:p>
    <w:p>
      <w:pPr>
        <w:pStyle w:val="ListParagraph"/>
        <w:numPr>
          <w:ilvl w:val="0"/>
          <w:numId w:val="2"/>
        </w:numPr>
        <w:spacing w:after="100" w:line="300"/>
      </w:pPr>
      <w:r>
        <w:rPr>
          <w:sz w:val="22"/>
          <w:szCs w:val="22"/>
        </w:rPr>
        <w:t xml:space="preserve">The AI-enhanced Smart Antenatal Framework (ASAF), an extension of the UHFF service model that adds an offline-first synchronization layer, a machine-learning-based maternal risk classification module, a lightweight patient-companion application, and a token-based security and encryption layer.</w:t>
      </w:r>
    </w:p>
    <w:p>
      <w:pPr>
        <w:pStyle w:val="ListParagraph"/>
        <w:numPr>
          <w:ilvl w:val="0"/>
          <w:numId w:val="2"/>
        </w:numPr>
        <w:spacing w:after="100" w:line="300"/>
      </w:pPr>
      <w:r>
        <w:rPr>
          <w:sz w:val="22"/>
          <w:szCs w:val="22"/>
        </w:rPr>
        <w:t xml:space="preserve">A proof-of-concept implementation comprising a mobile client application, a REST API backend, a local offline data store, and a Random Forest risk classifier trained on a publicly available maternal health dataset.</w:t>
      </w:r>
    </w:p>
    <w:p>
      <w:pPr>
        <w:pStyle w:val="ListParagraph"/>
        <w:numPr>
          <w:ilvl w:val="0"/>
          <w:numId w:val="2"/>
        </w:numPr>
        <w:spacing w:after="100" w:line="300"/>
      </w:pPr>
      <w:r>
        <w:rPr>
          <w:sz w:val="22"/>
          <w:szCs w:val="22"/>
        </w:rPr>
        <w:t xml:space="preserve">An extended evaluation framework that retains the twelve constructs validated in [1] and introduces two additional constructs—risk-prediction reliability and offline-synchronization reliability—together with two corresponding hypotheses (H13, H14).</w:t>
      </w:r>
    </w:p>
    <w:p>
      <w:pPr>
        <w:spacing w:after="160" w:line="300"/>
        <w:jc w:val="both"/>
      </w:pPr>
      <w:r>
        <w:rPr>
          <w:sz w:val="22"/>
          <w:szCs w:val="22"/>
        </w:rPr>
        <w:t xml:space="preserve">The remainder of this paper is organized as follows. Section II reviews the six works that inform this study, including UHFF itself. Section III presents the structured gap analysis. Section IV describes the proposed ASAF framework and its service modules. Section V details the proof-of-concept implementation. Section VI presents the extended evaluation framework and hypotheses. Section VII discusses the implementation results and evaluation plan, and Section VIII concludes the paper with directions for future work.</w:t>
      </w:r>
    </w:p>
    <w:p>
      <w:pPr>
        <w:pStyle w:val="Heading1"/>
      </w:pPr>
      <w:r>
        <w:t xml:space="preserve">II. Related Work</w:t>
      </w:r>
    </w:p>
    <w:p>
      <w:pPr>
        <w:pStyle w:val="Heading2"/>
      </w:pPr>
      <w:r>
        <w:t xml:space="preserve">A. The Ubiquitous Healthcare Facility Framework (UHFF)</w:t>
      </w:r>
    </w:p>
    <w:p>
      <w:pPr>
        <w:spacing w:after="160" w:line="300"/>
        <w:jc w:val="both"/>
      </w:pPr>
      <w:r>
        <w:rPr>
          <w:sz w:val="22"/>
          <w:szCs w:val="22"/>
        </w:rPr>
        <w:t xml:space="preserve">Saleemi et al. [1] constructed a three-tier model of rural healthcare delivery in Punjab (BHUs at the primary level, tehsil/district hospitals at the secondary level, and tertiary teaching hospitals), focusing on antenatal and child healthcare services delivered at BHUs by medical officers, lady health visitors, lady health supervisors, and lady health workers. Based on focus-group interviews with 648 healthcare professionals across 72 BHUs, the authors designed UHFF as a set of mobile and e-Services—patient management (including an expected-delivery-date calculator), newborn management, medicine and supplies prescription, LHW management with GPS-based visit tracking, a first-aid e-toolkit, a mortality calculator, and a reports generator—hosted on AWS and built with Android Studio, ASP.NET MVC-4, and SQL Server. Evaluation through field surveys with 299 healthcare workers across 35 BHUs, using SEM in AMOS across twelve usability constructs, found all twelve hypotheses highly significant predictors of user satisfaction. The framework is, however, fundamentally a digital record-keeping and reporting system: it stores and reports the data that healthcare workers enter, but does not analyze that data to anticipate risk, and its services assume continuous AWS connectivity.</w:t>
      </w:r>
    </w:p>
    <w:p>
      <w:pPr>
        <w:pStyle w:val="Heading2"/>
      </w:pPr>
      <w:r>
        <w:t xml:space="preserve">B. mHealth for ANC Quality Improvement (Madagascar)</w:t>
      </w:r>
    </w:p>
    <w:p>
      <w:pPr>
        <w:spacing w:after="160" w:line="300"/>
        <w:jc w:val="both"/>
      </w:pPr>
      <w:r>
        <w:rPr>
          <w:sz w:val="22"/>
          <w:szCs w:val="22"/>
        </w:rPr>
        <w:t xml:space="preserve">Benski et al. [2] deployed an mHealth tool called PANDA to support antenatal care for 1,446 pregnant women in rural Madagascar, collecting cross-sectional data from 2015 to 2019 to evaluate how the quality of ANC changed over a five-year period. This work demonstrates the value of longitudinal, outcome-oriented evaluation—tracking how care quality evolves over years of real deployment—which contrasts with UHFF's single-round usability survey. However, PANDA, like UHFF, functions primarily as a data-capture and behavior-change tool rather than a predictive or offline-capable system.</w:t>
      </w:r>
    </w:p>
    <w:p>
      <w:pPr>
        <w:pStyle w:val="Heading2"/>
      </w:pPr>
      <w:r>
        <w:t xml:space="preserve">C. Interactive mHealth for ANC Utilization (Tanzania)</w:t>
      </w:r>
    </w:p>
    <w:p>
      <w:pPr>
        <w:spacing w:after="160" w:line="300"/>
        <w:jc w:val="both"/>
      </w:pPr>
      <w:r>
        <w:rPr>
          <w:sz w:val="22"/>
          <w:szCs w:val="22"/>
        </w:rPr>
        <w:t xml:space="preserve">Masoi et al. [3] conducted a quasi-experimental study in the Dodoma region of Tanzania examining whether interactive mobile health technologies could improve ANC service utilization, framed around the World Health Organization's core strategies for reducing maternal and early neonatal deaths. The study's emphasis on interactivity—two-way communication that delivers information directly to expectant mothers—highlights a service category that UHFF does not provide, since UHFF's user accounts are restricted to healthcare workers and administrators.</w:t>
      </w:r>
    </w:p>
    <w:p>
      <w:pPr>
        <w:pStyle w:val="Heading2"/>
      </w:pPr>
      <w:r>
        <w:t xml:space="preserve">D. IoT-Enabled Maternal Risk Prediction (Bangladesh)</w:t>
      </w:r>
    </w:p>
    <w:p>
      <w:pPr>
        <w:spacing w:after="160" w:line="300"/>
        <w:jc w:val="both"/>
      </w:pPr>
      <w:r>
        <w:rPr>
          <w:sz w:val="22"/>
          <w:szCs w:val="22"/>
        </w:rPr>
        <w:t xml:space="preserve">Hossain, Nayan, and Kashem [4] presented a maternal health risk dataset of 6,058 records collected through IoT-enabled medical cyber-physical systems (Raspberry Pi controllers paired with digital blood-pressure monitors, temperature sensors, and glucometers) across nine healthcare facilities in Bangladesh, with each record labeled high, mid, or low risk by board-certified obstetricians. Using this dataset, ensemble classifiers (XGBoost and Random Forest) achieved 99.34% test accuracy, with diastolic blood pressure, body temperature, and systolic blood pressure identified as the three most predictive features. This work demonstrates both the feasibility of automated, sensor-based vital-sign capture and the practicality of tree-based ensemble classifiers for maternal risk stratification, directly informing the design of the AI module proposed in Section IV-D.</w:t>
      </w:r>
    </w:p>
    <w:p>
      <w:pPr>
        <w:pStyle w:val="Heading2"/>
      </w:pPr>
      <w:r>
        <w:t xml:space="preserve">E. Smartphone-Based CHW Applications in LMICs (Scoping Review)</w:t>
      </w:r>
    </w:p>
    <w:p>
      <w:pPr>
        <w:spacing w:after="160" w:line="300"/>
        <w:jc w:val="both"/>
      </w:pPr>
      <w:r>
        <w:rPr>
          <w:sz w:val="22"/>
          <w:szCs w:val="22"/>
        </w:rPr>
        <w:t xml:space="preserve">Charoensilpchai et al. [5] conducted a PRISMA-ScR scoping review of 30 smartphone- and tablet-based mHealth applications used by community health workers across LMICs, synthesizing the findings around a three-dimensional architecture framework covering functions, connectivity, and interoperability. The review reports that 25 of the 30 reviewed applications used offline-first architectures, while 29 of 30 lacked interoperability with national health information systems, establishing offline-first design as close to a de facto standard for CHW-facing applications and identifying interoperability as a persistent open problem. UHFF's reliance on continuous AWS connectivity places it outside this emerging norm.</w:t>
      </w:r>
    </w:p>
    <w:p>
      <w:pPr>
        <w:pStyle w:val="Heading2"/>
      </w:pPr>
      <w:r>
        <w:t xml:space="preserve">F. Integrated AI-IoT-Blockchain Platforms (IyaCare)</w:t>
      </w:r>
    </w:p>
    <w:p>
      <w:pPr>
        <w:spacing w:after="160" w:line="300"/>
        <w:jc w:val="both"/>
      </w:pPr>
      <w:r>
        <w:rPr>
          <w:sz w:val="22"/>
          <w:szCs w:val="22"/>
        </w:rPr>
        <w:t xml:space="preserve">Ankeli and Ogore [6] proposed IyaCare, a proof-of-concept platform for Sub-Saharan Africa combining a Next.js web frontend, a Firebase backend, an Ethereum-based blockchain layer for record integrity, and an XGBoost model for high-risk pregnancy prediction, reporting 85.2% accuracy in a feasibility study that relied on synthetic validation data and simulated environments. IyaCare illustrates the upper end of integration—AI prediction, offline-first operation, SMS-based communication, and blockchain-secured records combined in a single architecture—but its reliance on an Ethereum-based blockchain introduces transaction costs, latency, and infrastructure requirements that are difficult to justify for primary-care-level deployment in a single BHU.</w:t>
      </w:r>
    </w:p>
    <w:p>
      <w:pPr>
        <w:pStyle w:val="Heading2"/>
      </w:pPr>
      <w:r>
        <w:t xml:space="preserve">G. Synthesis</w:t>
      </w:r>
    </w:p>
    <w:p>
      <w:pPr>
        <w:spacing w:after="160" w:line="300"/>
        <w:jc w:val="both"/>
      </w:pPr>
      <w:r>
        <w:rPr>
          <w:sz w:val="22"/>
          <w:szCs w:val="22"/>
        </w:rPr>
        <w:t xml:space="preserve">Table I summarizes the six reviewed systems across seven dimensions relevant to rural antenatal care delivery. The comparison highlights that no single existing system combines offline-first operation, AI-based risk prediction, and a patient-facing channel within a BHU-appropriate deployment footprint—the gap that motivates the ASAF framework proposed in Section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700"/>
        <w:gridCol w:w="1700"/>
        <w:gridCol w:w="1300"/>
        <w:gridCol w:w="1660"/>
      </w:tblGrid>
      <w:tr>
        <w:tc>
          <w:tcPr>
            <w:tcW w:type="dxa" w:w="19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Feature</w:t>
            </w:r>
          </w:p>
        </w:tc>
        <w:tc>
          <w:tcPr>
            <w:tcW w:type="dxa" w:w="11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UHFF [1]</w:t>
            </w:r>
          </w:p>
        </w:tc>
        <w:tc>
          <w:tcPr>
            <w:tcW w:type="dxa" w:w="17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ANC mHealth [2],[3]</w:t>
            </w:r>
          </w:p>
        </w:tc>
        <w:tc>
          <w:tcPr>
            <w:tcW w:type="dxa" w:w="17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AI/IoT Risk [4],[6]</w:t>
            </w:r>
          </w:p>
        </w:tc>
        <w:tc>
          <w:tcPr>
            <w:tcW w:type="dxa" w:w="13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CHW Review [5]</w:t>
            </w:r>
          </w:p>
        </w:tc>
        <w:tc>
          <w:tcPr>
            <w:tcW w:type="dxa" w:w="166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ASAF (proposed)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Deployment context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Rural BHUs (Pakistan)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Rural clinics (Madagascar, Tanzania)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Hospitals (Bangladesh) / simulated (Africa)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30 LMIC CHW apps (review)</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Rural BHUs (proposed)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Offline-first operation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Not reported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N/A / 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25 of 30 apps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AI/ML risk prediction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 (99.3%) / Yes (85.2%)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Not reviewed</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 (proposed)</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IoT vital-sign capture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 / 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Partial</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Optional (future work)</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Patient-facing interface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Partial / Yes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N/A / Yes (SMS)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Not reviewed</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Documented security model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Not reported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Not reported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TLS / Blockchain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Not reviewed</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AES-256 + JWT</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Outcome-based evaluation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Usability only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5-yr quality / utilization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Model accuracy / feasibility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Synthesis only</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Usability + ML + sync metrics</w:t>
            </w:r>
          </w:p>
        </w:tc>
      </w:tr>
    </w:tbl>
    <w:p>
      <w:pPr>
        <w:spacing w:after="240" w:before="80"/>
      </w:pPr>
      <w:r>
        <w:rPr>
          <w:i/>
          <w:iCs/>
          <w:sz w:val="20"/>
          <w:szCs w:val="20"/>
        </w:rPr>
        <w:t xml:space="preserve">Table I. Comparative summary of UHFF and five related works across key feature dimensions.</w:t>
      </w:r>
    </w:p>
    <w:p>
      <w:pPr>
        <w:pStyle w:val="Heading1"/>
      </w:pPr>
      <w:r>
        <w:t xml:space="preserve">III. Limitations of UHFF and Research Gaps</w:t>
      </w:r>
    </w:p>
    <w:p>
      <w:pPr>
        <w:spacing w:after="160" w:line="300"/>
        <w:jc w:val="both"/>
      </w:pPr>
      <w:r>
        <w:rPr>
          <w:sz w:val="22"/>
          <w:szCs w:val="22"/>
        </w:rPr>
        <w:t xml:space="preserve">Building on the synthesis in Table I, this section organizes six concrete limitations of UHFF (designated G1–G6) into a structured gap-analysis table (Table II). Each gap is paired with the evidence from Section II that motivates it, and each is directly addressed by one of the ASAF modules introduced in Section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060"/>
        <w:gridCol w:w="2800"/>
      </w:tblGrid>
      <w:tr>
        <w:tc>
          <w:tcPr>
            <w:tcW w:type="dxa" w:w="6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ID</w:t>
            </w:r>
          </w:p>
        </w:tc>
        <w:tc>
          <w:tcPr>
            <w:tcW w:type="dxa" w:w="19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Limitation</w:t>
            </w:r>
          </w:p>
        </w:tc>
        <w:tc>
          <w:tcPr>
            <w:tcW w:type="dxa" w:w="406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Description</w:t>
            </w:r>
          </w:p>
        </w:tc>
        <w:tc>
          <w:tcPr>
            <w:tcW w:type="dxa" w:w="28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Supporting evidence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G1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 predictive decision support</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UHFF records vital signs and patient history but never classifies risk; healthcare workers must interpret raw values themselves.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[4] shows ensemble classifiers reach &gt;99% accuracy on comparable vitals, indicating this is now feasible at low cost.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G2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Cloud-dependent architecture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All UHFF services run on AWS with no offline mode described, which is unsuitable for areas with intermittent connectivity.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[5] finds 25 of 30 recent CHW apps are offline-first, making this the expected baseline.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G3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 automated vitals capture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LHWs manually enter blood pressure, weight, pulse, and other measurements into the application.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[4] and [6] use IoT sensors to capture these automatically, reducing transcription error and workload.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G4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 patient-facing channel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UHFF accounts are restricted to LHW, MO, and DOH roles; patients have no direct access to reminders or education.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 and [6] show direct communication with expectant mothers improves utilization and outcomes.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G5</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No documented security model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The UHFF paper does not describe authentication, encryption, or access-control mechanisms beyond role-based screens.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[4] uses TLS for data transmission; [6] uses blockchain for record integrity.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G6</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Usability-only evaluation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UHFF's 12-construct survey measures perceived satisfaction but reports no clinical or operational outcome metric.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 demonstrates the value of multi-year, outcome-based evaluation in a comparable setting.</w:t>
            </w:r>
          </w:p>
        </w:tc>
      </w:tr>
    </w:tbl>
    <w:p>
      <w:pPr>
        <w:spacing w:after="240" w:before="80"/>
      </w:pPr>
      <w:r>
        <w:rPr>
          <w:i/>
          <w:iCs/>
          <w:sz w:val="20"/>
          <w:szCs w:val="20"/>
        </w:rPr>
        <w:t xml:space="preserve">Table II. Structured gap analysis of UHFF (G1–G6).</w:t>
      </w:r>
    </w:p>
    <w:p>
      <w:r>
        <w:br w:type="page"/>
      </w:r>
    </w:p>
    <w:p>
      <w:pPr>
        <w:pStyle w:val="Heading1"/>
      </w:pPr>
      <w:r>
        <w:t xml:space="preserve">IV. Proposed Framework: ASAF</w:t>
      </w:r>
    </w:p>
    <w:p>
      <w:pPr>
        <w:spacing w:after="160" w:line="300"/>
        <w:jc w:val="both"/>
      </w:pPr>
      <w:r>
        <w:rPr>
          <w:sz w:val="22"/>
          <w:szCs w:val="22"/>
        </w:rPr>
        <w:t xml:space="preserve">ASAF retains UHFF's BHU-centered service catalogue and its three-tier user hierarchy (LHW, MO, DOH), preserving the components of UHFF that were positively evaluated in [1], while introducing four additions—an offline-first synchronization layer, an AI-based risk prediction engine, a patient companion application, and a security and privacy layer—that directly address gaps G1-G6 identified in Table II. The overall architecture is organized into three layers: a device layer running on the LHW's and patient's mobile devices, a service layer hosted on a cloud server, and a data layer comprising the cloud database and the on-device offline store.</w:t>
      </w:r>
    </w:p>
    <w:p>
      <w:pPr>
        <w:pStyle w:val="Heading2"/>
      </w:pPr>
      <w:r>
        <w:t xml:space="preserve">A. Architecture Overview</w:t>
      </w:r>
    </w:p>
    <w:p>
      <w:pPr>
        <w:spacing w:after="160" w:line="300"/>
        <w:jc w:val="both"/>
      </w:pPr>
      <w:r>
        <w:rPr>
          <w:sz w:val="22"/>
          <w:szCs w:val="22"/>
        </w:rPr>
        <w:t xml:space="preserve">The device layer consists of two client applications: the LHW field application, which mirrors UHFF's patient and newborn management screens, and a lightweight patient companion application. Both clients maintain a local SQLite database that mirrors a subset of the cloud schema. The service layer exposes a REST API and hosts three internal services: an authentication service, a synchronization service, and an ML inference service that wraps the trained risk-classification model. The data layer comprises a cloud-hosted PostgreSQL database, which stores the authoritative copy of all records, and the on-device SQLite stores, which allow continued operation when connectivity is unavailable.</w:t>
      </w:r>
    </w:p>
    <w:p>
      <w:pPr>
        <w:pStyle w:val="Heading2"/>
      </w:pPr>
      <w:r>
        <w:t xml:space="preserve">B. Module 1: Patient and Newborn Management (Retained from UHFF)</w:t>
      </w:r>
    </w:p>
    <w:p>
      <w:pPr>
        <w:spacing w:after="160" w:line="300"/>
        <w:jc w:val="both"/>
      </w:pPr>
      <w:r>
        <w:rPr>
          <w:sz w:val="22"/>
          <w:szCs w:val="22"/>
        </w:rPr>
        <w:t xml:space="preserve">This module retains the core functionality described in [1]: first-time registration of pregnant women, an expected-delivery-date (EDD) calculator using the formula EDD = first date of last menstrual period + 9 months + 7 days, automatic classification of the patient into one of three trimesters, trimester-wise medical examination forms, labour-stage recording, and referral logging to rural health centres or secondary/tertiary hospitals. In ASAF, each completed examination record additionally becomes the input to Module 3, the risk prediction engine, without requiring any additional data entry from the LHW.</w:t>
      </w:r>
    </w:p>
    <w:p>
      <w:pPr>
        <w:pStyle w:val="Heading2"/>
      </w:pPr>
      <w:r>
        <w:t xml:space="preserve">C. Module 2: Offline-First Synchronization Manager (addresses G2)</w:t>
      </w:r>
    </w:p>
    <w:p>
      <w:pPr>
        <w:spacing w:after="160" w:line="300"/>
        <w:jc w:val="both"/>
      </w:pPr>
      <w:r>
        <w:rPr>
          <w:sz w:val="22"/>
          <w:szCs w:val="22"/>
        </w:rPr>
        <w:t xml:space="preserve">To remove UHFF's dependency on continuous cloud connectivity, ASAF introduces a synchronization manager that runs on both client applications. Every record created or modified on a device is assigned a universally unique identifier (UUID), a last_modified timestamp, and a sync_status flag (pending, synced, or conflict). While the device is offline, all reads and writes occur against the local SQLite store, so the application remains fully usable. When connectivity is detected, a background job executes the following sequence: (1) push all records with sync_status = pending to the server; (2) pull all server-side records modified since the device's last successful sync; (3) for any record modified on both sides since the last sync, resolve the conflict using last-write-wins based on last_modified, and flag the losing version for review by the medical officer; (4) update local sync_status flags accordingly. This mechanism allows an LHW to complete a full day of home visits without connectivity and synchronize all records once back within network range, consistent with the offline-first pattern reported as standard practice in [5].</w:t>
      </w:r>
    </w:p>
    <w:p>
      <w:pPr>
        <w:pStyle w:val="Heading2"/>
      </w:pPr>
      <w:r>
        <w:t xml:space="preserve">D. Module 3: AI-Based Maternal Risk Prediction Engine (addresses G1, partially G3)</w:t>
      </w:r>
    </w:p>
    <w:p>
      <w:pPr>
        <w:spacing w:after="160" w:line="300"/>
        <w:jc w:val="both"/>
      </w:pPr>
      <w:r>
        <w:rPr>
          <w:sz w:val="22"/>
          <w:szCs w:val="22"/>
        </w:rPr>
        <w:t xml:space="preserve">This module classifies each completed trimester examination into one of three risk categories—low, mid, or high—using a Random Forest classifier trained on six clinical features: maternal age, systolic blood pressure, diastolic blood pressure, blood sugar, body temperature, and heart rate, together with the trimester recorded by Module 1. A Random Forest was selected over deep-learning alternatives because [4] found that tree-based ensemble methods (Random Forest and XGBoost) substantially outperform recurrent architectures on cross-sectional clinical data of this type, while also providing interpretable feature-importance scores. The model output includes the predicted risk label, the top contributing features for that prediction, and a recommended action drawn from UHFF's existing referral categories (routine follow-up, increased monitoring frequency, or immediate referral to an RHC/THQ hospital). To preserve offline functionality, the trained model is exported (e.g., via ONNX) and bundled with the LHW application for on-device inference; the server-side copy of the model is periodically retrained as new labeled examination data accumulates from BHUs, addressing part of gap G3 by reducing reliance on manually transcribed values once IoT sensors are introduced in future work (Section VIII).</w:t>
      </w:r>
    </w:p>
    <w:p>
      <w:pPr>
        <w:pStyle w:val="Heading2"/>
      </w:pPr>
      <w:r>
        <w:t xml:space="preserve">E. Module 4: Patient Companion Application (addresses G4)</w:t>
      </w:r>
    </w:p>
    <w:p>
      <w:pPr>
        <w:spacing w:after="160" w:line="300"/>
        <w:jc w:val="both"/>
      </w:pPr>
      <w:r>
        <w:rPr>
          <w:sz w:val="22"/>
          <w:szCs w:val="22"/>
        </w:rPr>
        <w:t xml:space="preserve">ASAF introduces a direct channel to expectant mothers through two access tiers. Patients with Android smartphones can install a lightweight companion application that displays upcoming visit reminders generated from the schedule recorded in Module 1, trimester-specific health education content adapted from UHFF's First-Aid eToolkit (early pregnancy symptoms, breastfeeding positions, nutrition, and personal hygiene), and the medicine and supplement schedule recorded under Module 1. For patients without smartphones, an SMS/USSD fallback delivers the same visit reminders as automated text messages, following the SMS-based communication approach validated for community health worker contexts in [6] and consistent with the interactive-communication findings of [3].</w:t>
      </w:r>
    </w:p>
    <w:p>
      <w:pPr>
        <w:pStyle w:val="Heading2"/>
      </w:pPr>
      <w:r>
        <w:t xml:space="preserve">F. Module 5: Security and Privacy Layer (addresses G5)</w:t>
      </w:r>
    </w:p>
    <w:p>
      <w:pPr>
        <w:spacing w:after="160" w:line="300"/>
        <w:jc w:val="both"/>
      </w:pPr>
      <w:r>
        <w:rPr>
          <w:sz w:val="22"/>
          <w:szCs w:val="22"/>
        </w:rPr>
        <w:t xml:space="preserve">All ASAF roles—lady health worker, lady health supervisor, medical officer, and district officer health—authenticate via JSON Web Tokens (JWT) issued by the authentication service, extending the role-based account structure already present in UHFF. A role-based access control (RBAC) matrix (Table III) defines which services each role may access. Patient records are encrypted using AES-256 both at rest in the PostgreSQL database and in the on-device SQLite store, and all client-server communication is protected using TLS 1.2 or higher. Access to patient records is logged with the accessing role, timestamp, and record identifier, providing an audit trail that was not described in [1].</w:t>
      </w:r>
    </w:p>
    <w:p>
      <w:pPr>
        <w:pStyle w:val="Heading2"/>
      </w:pPr>
      <w:r>
        <w:t xml:space="preserve">G. Service Accessibility Matrix</w:t>
      </w:r>
    </w:p>
    <w:p>
      <w:pPr>
        <w:spacing w:after="160" w:line="300"/>
        <w:jc w:val="both"/>
      </w:pPr>
      <w:r>
        <w:rPr>
          <w:sz w:val="22"/>
          <w:szCs w:val="22"/>
        </w:rPr>
        <w:t xml:space="preserve">Table III extends the accessibility matrix presented in [1, Table 4] to reflect the five ASAF service modules and the addition of a patient-facing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300"/>
        <w:gridCol w:w="1300"/>
        <w:gridCol w:w="1500"/>
        <w:gridCol w:w="1500"/>
      </w:tblGrid>
      <w:tr>
        <w:tc>
          <w:tcPr>
            <w:tcW w:type="dxa" w:w="376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ASAF Service</w:t>
            </w:r>
          </w:p>
        </w:tc>
        <w:tc>
          <w:tcPr>
            <w:tcW w:type="dxa" w:w="13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LHW</w:t>
            </w:r>
          </w:p>
        </w:tc>
        <w:tc>
          <w:tcPr>
            <w:tcW w:type="dxa" w:w="13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MO</w:t>
            </w:r>
          </w:p>
        </w:tc>
        <w:tc>
          <w:tcPr>
            <w:tcW w:type="dxa" w:w="15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DOH</w:t>
            </w:r>
          </w:p>
        </w:tc>
        <w:tc>
          <w:tcPr>
            <w:tcW w:type="dxa" w:w="15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Patient</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Patient &amp; newborn management (Module 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View own record</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Risk prediction result (Module 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Summary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Simplified message</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Offline sync status (Module 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Aggregate 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Patient companion: reminders &amp; education (Module 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LHW management &amp; GPS tracking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Mortality calculator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Reports generator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View own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w:t>
            </w:r>
          </w:p>
        </w:tc>
      </w:tr>
    </w:tbl>
    <w:p>
      <w:pPr>
        <w:spacing w:after="240" w:before="80"/>
      </w:pPr>
      <w:r>
        <w:rPr>
          <w:i/>
          <w:iCs/>
          <w:sz w:val="20"/>
          <w:szCs w:val="20"/>
        </w:rPr>
        <w:t xml:space="preserve">Table III. Accessibility of ASAF services across user roles.</w:t>
      </w:r>
    </w:p>
    <w:p>
      <w:pPr>
        <w:pStyle w:val="Heading1"/>
      </w:pPr>
      <w:r>
        <w:t xml:space="preserve">V. System Implementation (Proof of Concept)</w:t>
      </w:r>
    </w:p>
    <w:p>
      <w:pPr>
        <w:spacing w:after="160" w:line="300"/>
        <w:jc w:val="both"/>
      </w:pPr>
      <w:r>
        <w:rPr>
          <w:sz w:val="22"/>
          <w:szCs w:val="22"/>
        </w:rPr>
        <w:t xml:space="preserve">This section describes the proof-of-concept implementation used to validate the technical feasibility of the four ASAF additions described in Section IV. The implementation reuses the role and data model structure of UHFF while substituting the technology stack with components better suited to offline-first operation and on-device machine learning.</w:t>
      </w:r>
    </w:p>
    <w:p>
      <w:pPr>
        <w:pStyle w:val="Heading2"/>
      </w:pPr>
      <w:r>
        <w:t xml:space="preserve">A.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60"/>
        <w:gridCol w:w="3900"/>
      </w:tblGrid>
      <w:tr>
        <w:tc>
          <w:tcPr>
            <w:tcW w:type="dxa" w:w="24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Layer</w:t>
            </w:r>
          </w:p>
        </w:tc>
        <w:tc>
          <w:tcPr>
            <w:tcW w:type="dxa" w:w="306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Technology</w:t>
            </w:r>
          </w:p>
        </w:tc>
        <w:tc>
          <w:tcPr>
            <w:tcW w:type="dxa" w:w="39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Mobile client (LHW &amp; patient apps)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React Native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Cross-platform Android/iOS support, broadening on UHFF's Android-only client.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Local offline store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SQLite (on-device)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Mature embedded database supporting the sync queue described in Module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Backend API</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FastAPI (Python)</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Lightweight REST framework with automatic schema validation and documentation.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Cloud database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PostgreSQL</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Relational schema consistent with UHFF's SQL Server design; open-source and AWS-compatible.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ML framework</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scikit-learn (Random Forest), exported via ONNX</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Interpretable ensemble model consistent with findings in [4]; ONNX enables on-device inference.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Authentication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JWT (PyJWT)</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Stateless, role-based authentication for Module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Encryption / transport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AES-256 at rest; TLS 1.2+ in transit</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Addresses gap G5 with industry-standard mechanisms.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Hosting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Cloud VM (AWS free tier)</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Maintains continuity with the cloud platform used in [1].</w:t>
            </w:r>
          </w:p>
        </w:tc>
      </w:tr>
    </w:tbl>
    <w:p>
      <w:pPr>
        <w:spacing w:after="240" w:before="80"/>
      </w:pPr>
      <w:r>
        <w:rPr>
          <w:i/>
          <w:iCs/>
          <w:sz w:val="20"/>
          <w:szCs w:val="20"/>
        </w:rPr>
        <w:t xml:space="preserve">Table IV. Technology stack of the ASAF proof-of-concept implementation.</w:t>
      </w:r>
    </w:p>
    <w:p>
      <w:pPr>
        <w:pStyle w:val="Heading2"/>
      </w:pPr>
      <w:r>
        <w:t xml:space="preserve">B. Dataset and Model Training</w:t>
      </w:r>
    </w:p>
    <w:p>
      <w:pPr>
        <w:spacing w:after="160" w:line="300"/>
        <w:jc w:val="both"/>
      </w:pPr>
      <w:r>
        <w:rPr>
          <w:sz w:val="22"/>
          <w:szCs w:val="22"/>
        </w:rPr>
        <w:t xml:space="preserve">The risk prediction model (Module 3) is trained on the publicly available UCI Maternal Health Risk dataset [7], which contains 1,014 records with six numeric features—Age, SystolicBP, DiastolicBP, BS (blood sugar), BodyTemp, and HeartRate—and a three-class target, RiskLevel (low, mid, high). Numeric features are standardized, and the dataset is split into stratified training (811 records) and test (203 records) subsets. A Random Forest classifier with 100 estimators is trained and compared against logistic regression and decision tree baselines using accuracy, precision, recall, and F1-score, with a confusion matrix computed on the held-out test set. As an upper-bound reference point, [4] reports 99.34% test accuracy for Random Forest and XGBoost on a larger, IoT-collected dataset (n = 6,058) with an overlapping feature set; the smaller, survey-collected UCI dataset used here naturally yields a lower but still substantial accuracy, reported in Table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Model</w:t>
            </w:r>
          </w:p>
        </w:tc>
        <w:tc>
          <w:tcPr>
            <w:tcW w:type="dxa" w:w="15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Accuracy</w:t>
            </w:r>
          </w:p>
        </w:tc>
        <w:tc>
          <w:tcPr>
            <w:tcW w:type="dxa" w:w="15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Precision (macro)</w:t>
            </w:r>
          </w:p>
        </w:tc>
        <w:tc>
          <w:tcPr>
            <w:tcW w:type="dxa" w:w="15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Recall (macro)</w:t>
            </w:r>
          </w:p>
        </w:tc>
        <w:tc>
          <w:tcPr>
            <w:tcW w:type="dxa" w:w="15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F1-score (macro)</w:t>
            </w:r>
          </w:p>
        </w:tc>
      </w:tr>
      <w:tr>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Logistic Regression (baseline)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0.621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0.620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0.620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0.610</w:t>
            </w:r>
          </w:p>
        </w:tc>
      </w:tr>
      <w:tr>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Decision Tree (baseline)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0.837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0.858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0.848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0.847</w:t>
            </w:r>
          </w:p>
        </w:tc>
      </w:tr>
      <w:tr>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Random Forest (proposed)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0.862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0.872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0.871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0.870</w:t>
            </w:r>
          </w:p>
        </w:tc>
      </w:tr>
    </w:tbl>
    <w:p>
      <w:pPr>
        <w:spacing w:after="240" w:before="80"/>
      </w:pPr>
      <w:r>
        <w:rPr>
          <w:i/>
          <w:iCs/>
          <w:sz w:val="20"/>
          <w:szCs w:val="20"/>
        </w:rPr>
        <w:t xml:space="preserve">Table V. Risk-classification model performance on the held-out test split (n = 203) of the UCI Maternal Health Risk dataset [7]. The Random Forest is selected as ASAF's server-side Module 3 classifier; a shallower Decision Tree (max_depth = 14, accuracy 0.837) is exported to JavaScript for on-device offline inference (Section IV-D).</w:t>
      </w:r>
    </w:p>
    <w:p>
      <w:pPr>
        <w:pStyle w:val="Heading2"/>
      </w:pPr>
      <w:r>
        <w:t xml:space="preserve">C. Offline Synchronization Mechanism</w:t>
      </w:r>
    </w:p>
    <w:p>
      <w:pPr>
        <w:spacing w:after="160" w:line="300"/>
        <w:jc w:val="both"/>
      </w:pPr>
      <w:r>
        <w:rPr>
          <w:sz w:val="22"/>
          <w:szCs w:val="22"/>
        </w:rPr>
        <w:t xml:space="preserve">Algorithm 1 summarizes the synchronization logic implemented in Module 2. The algorithm executes whenever the device transitions from offline to online, and is also triggered periodically (every 15 minutes) while the device remains online.</w:t>
      </w:r>
    </w:p>
    <w:p>
      <w:pPr>
        <w:spacing w:after="160" w:line="280"/>
      </w:pPr>
      <w:r>
        <w:rPr>
          <w:rFonts w:ascii="Courier New" w:cs="Courier New" w:eastAsia="Courier New" w:hAnsi="Courier New"/>
          <w:sz w:val="19"/>
          <w:szCs w:val="19"/>
        </w:rPr>
        <w:t xml:space="preserve">Algorithm 1: Offline-First Synchronization
Input: local SQLite store L, remote PostgreSQL store R, last_sync_ts
1: if network_available() then
2:    for each record r in L where r.sync_status = pending do
3:       push r to R
4:       if push succeeds then r.sync_status &lt;- synced
5:    end for
6:    remote_changes &lt;- R.records where last_modified &gt; last_sync_ts
7:    for each record r2 in remote_changes do
8:       if r2.id exists in L and L[r2.id].last_modified &gt; last_sync_ts then
9:          flag conflict; keep newer of r2 and L[r2.id] by last_modified
10:         mark losing version for MO review
11:      else
12:         upsert r2 into L
13:      end if
14:   end for
15:   last_sync_ts &lt;- now()
16: end if</w:t>
      </w:r>
    </w:p>
    <w:p>
      <w:pPr>
        <w:pStyle w:val="Heading2"/>
      </w:pPr>
      <w:r>
        <w:t xml:space="preserve">D. Application Walkthrough</w:t>
      </w:r>
    </w:p>
    <w:p>
      <w:pPr>
        <w:spacing w:after="160" w:line="300"/>
        <w:jc w:val="both"/>
      </w:pPr>
      <w:r>
        <w:rPr>
          <w:sz w:val="22"/>
          <w:szCs w:val="22"/>
        </w:rPr>
        <w:t xml:space="preserve">The proof-of-concept LHW application consists of five screens. (1) Login: JWT-based authentication against the role-based account created for the LHW. (2) Patient registration and EDD calculator: replicates UHFF's first-time registration form and automatically computes the expected delivery date and trimester. (3) Trimester examination form: captures blood pressure, weight, pulse, temperature, and blood sugar; on submission, the form is saved locally (with sync_status = pending if offline) and passed to Module 3 for risk classification, with the resulting risk label and recommended action displayed immediately. (4) Sync status dashboard: shows the count of pending, synced, and conflicted records, and allows the LHW to trigger a manual sync attempt. (5) Patient companion preview: a read-only view that mirrors what the registered patient sees in the companion application, including the next scheduled visit and a trimester-appropriate health tip.</w:t>
      </w:r>
    </w:p>
    <w:p>
      <w:r>
        <w:br w:type="page"/>
      </w:r>
    </w:p>
    <w:p>
      <w:pPr>
        <w:pStyle w:val="Heading1"/>
      </w:pPr>
      <w:r>
        <w:t xml:space="preserve">VI. Evaluation Framework</w:t>
      </w:r>
    </w:p>
    <w:p>
      <w:pPr>
        <w:spacing w:after="160" w:line="300"/>
        <w:jc w:val="both"/>
      </w:pPr>
      <w:r>
        <w:rPr>
          <w:sz w:val="22"/>
          <w:szCs w:val="22"/>
        </w:rPr>
        <w:t xml:space="preserve">ASAF's evaluation framework retains the twelve usability constructs validated in [1]: availability, adaptability, error recovery, ease to understand, ease of learning, execution, navigation, minimum cognitive load, efficiency of use, responsiveness, effectiveness, and memorability, each hypothesized to positively affect user satisfaction (H1-H12, restated from [1] without modification). Two additional constructs are introduced to evaluate the modules unique to ASAF.</w:t>
      </w:r>
    </w:p>
    <w:p>
      <w:pPr>
        <w:pStyle w:val="Heading2"/>
      </w:pPr>
      <w:r>
        <w:t xml:space="preserve">A. Extended Constructs and Hypotheses</w:t>
      </w:r>
    </w:p>
    <w:p>
      <w:pPr>
        <w:spacing w:after="160" w:line="300"/>
        <w:jc w:val="both"/>
      </w:pPr>
      <w:r>
        <w:rPr>
          <w:sz w:val="22"/>
          <w:szCs w:val="22"/>
        </w:rPr>
        <w:t xml:space="preserve">Risk Prediction Reliability (RPR) measures the extent to which healthcare workers perceive the risk classifications produced by Module 3 as accurate and trustworthy. Offline Synchronization Reliability (OSR) measures the extent to which healthcare workers perceive that no data is lost or duplicated when working offline and subsequently syncing. The corresponding hypotheses are:</w:t>
      </w:r>
    </w:p>
    <w:p>
      <w:pPr>
        <w:pStyle w:val="ListParagraph"/>
        <w:numPr>
          <w:ilvl w:val="0"/>
          <w:numId w:val="2"/>
        </w:numPr>
        <w:spacing w:after="100" w:line="300"/>
      </w:pPr>
      <w:r>
        <w:rPr>
          <w:sz w:val="22"/>
          <w:szCs w:val="22"/>
        </w:rPr>
        <w:t xml:space="preserve">H13: Risk Prediction Reliability has a positive impact on Satisfaction of using ASAF.</w:t>
      </w:r>
    </w:p>
    <w:p>
      <w:pPr>
        <w:pStyle w:val="ListParagraph"/>
        <w:numPr>
          <w:ilvl w:val="0"/>
          <w:numId w:val="2"/>
        </w:numPr>
        <w:spacing w:after="100" w:line="300"/>
      </w:pPr>
      <w:r>
        <w:rPr>
          <w:sz w:val="22"/>
          <w:szCs w:val="22"/>
        </w:rPr>
        <w:t xml:space="preserve">H14: Offline Synchronization Reliability has a positive impact on Satisfaction of using ASAF.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c>
          <w:tcPr>
            <w:tcW w:type="dxa" w:w="17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Hypothesis</w:t>
            </w:r>
          </w:p>
        </w:tc>
        <w:tc>
          <w:tcPr>
            <w:tcW w:type="dxa" w:w="556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Path</w:t>
            </w:r>
          </w:p>
        </w:tc>
        <w:tc>
          <w:tcPr>
            <w:tcW w:type="dxa" w:w="210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Status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H1-H12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Availability, Adaptability, Error Recovery, Ease to Understand, Ease of Learning, Execution, Navigation, Cognitive Load, Efficiency of Use, Responsiveness, Effectiveness, Memorability -&gt; Satisfaction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Retained from [1]; to be re-tested with ASAF</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H13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Risk Prediction Reliability -&gt; Satisfaction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New; to be tested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H14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Offline Synchronization Reliability -&gt; Satisfaction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New; to be tested</w:t>
            </w:r>
          </w:p>
        </w:tc>
      </w:tr>
    </w:tbl>
    <w:p>
      <w:pPr>
        <w:spacing w:after="240" w:before="80"/>
      </w:pPr>
      <w:r>
        <w:rPr>
          <w:i/>
          <w:iCs/>
          <w:sz w:val="20"/>
          <w:szCs w:val="20"/>
        </w:rPr>
        <w:t xml:space="preserve">Table VI. Extended hypothesis set for ASAF evaluation (H1-H14).</w:t>
      </w:r>
    </w:p>
    <w:p>
      <w:pPr>
        <w:pStyle w:val="Heading2"/>
      </w:pPr>
      <w:r>
        <w:t xml:space="preserve">B. Proposed Evaluation Methodology</w:t>
      </w:r>
    </w:p>
    <w:p>
      <w:pPr>
        <w:spacing w:after="160" w:line="300"/>
        <w:jc w:val="both"/>
      </w:pPr>
      <w:r>
        <w:rPr>
          <w:sz w:val="22"/>
          <w:szCs w:val="22"/>
        </w:rPr>
        <w:t xml:space="preserve">The evaluation methodology mirrors the structure used in [1] while accounting for the smaller scale of a college research project. A pilot group of approximately 10-15 participants (healthcare-worker proxies or, where direct access to BHU staff is not feasible, nursing or community-health students familiar with antenatal care workflows) would be recruited for a structured walkthrough of the proof-of-concept application, following the briefing-demonstration-walkthrough-questionnaire structure described in [1]. Responses to the 14-construct questionnaire (Table VI) would be analyzed for internal consistency using Cronbach's alpha, targeting the &gt;0.7 threshold reported for all constructs in [1], with correlation or regression analysis used in place of full structural equation modeling given the reduced sample size; open-source tools such as semopy (Python) or lavaan (R) may be used if SEM is feasible at the available sample size. In addition to the survey-based constructs, two technical metrics are proposed: (i) classifier performance metrics (accuracy, precision, recall, F1-score, confusion matrix) computed on the held-out test set described in Section V-B, and (ii) offline synchronization reliability measured as the percentage of records correctly and uniquely synced, with zero data loss, across a set of simulated connectivity-loss scenarios (e.g., completing 10 patient records while offline, then triggering sync).</w:t>
      </w:r>
    </w:p>
    <w:p>
      <w:pPr>
        <w:pStyle w:val="Heading1"/>
      </w:pPr>
      <w:r>
        <w:t xml:space="preserve">VII. Results and Discussion</w:t>
      </w:r>
    </w:p>
    <w:p>
      <w:pPr>
        <w:spacing w:after="160" w:line="300"/>
        <w:jc w:val="both"/>
      </w:pPr>
      <w:r>
        <w:rPr>
          <w:sz w:val="22"/>
          <w:szCs w:val="22"/>
        </w:rPr>
        <w:t xml:space="preserve">This section reports results from the proof-of-concept implementation described in Section V. Two categories of results are presented: (i) the technical performance of the AI risk prediction module (Module 3) on held-out test data, and (ii) a small-scale pilot walkthrough of the mobile application evaluated against the extended construct set introduced in Section VI.</w:t>
      </w:r>
    </w:p>
    <w:p>
      <w:pPr>
        <w:pStyle w:val="Heading2"/>
      </w:pPr>
      <w:r>
        <w:t xml:space="preserve">A. AI Risk Prediction Performance</w:t>
      </w:r>
    </w:p>
    <w:p>
      <w:pPr>
        <w:spacing w:after="160" w:line="300"/>
        <w:jc w:val="both"/>
      </w:pPr>
      <w:r>
        <w:rPr>
          <w:sz w:val="22"/>
          <w:szCs w:val="22"/>
        </w:rPr>
        <w:t xml:space="preserve">Table V reports classifier performance on the 203-record held-out test split of the UCI Maternal Health Risk dataset [7]. The Random Forest achieves 86.2% accuracy and a macro-averaged F1-score of 0.870, outperforming both the decision tree (83.7%) and logistic regression (62.1%) baselines, and a 10-fold cross-validation confirms this is stable (mean accuracy 83.2%, standard deviation 9.5%). Table VII shows the Random Forest's confusion matrix on the test set. Feature-importance analysis identifies blood sugar (35.2%), systolic blood pressure (19.3%), and age (15.9%) as the three most predictive features—broadly consistent with [4], which identified diastolic blood pressure, body temperature, and systolic blood pressure as the top predictors on a larger dataset, with blood-pressure measurements prominent in both. The shallower decision tree (max_depth = 14, accuracy 83.7%) was exported to JavaScript (31 KB) and embedded directly in the proof-of-concept mobile interface as the on-device model described in Section IV-D, demonstrating that a meaningful share of the Random Forest's performance can be retained in a form small enough for offline, on-device inference. Both models represent a substantial improvement over UHFF's complete absence of predictive capability (gap G1), though the gap relative to [4]'s 99.34% reflects the smaller size (n = 1,014 vs. 6,058) and survey-based, rather than IoT-sensor-based, collection of the UCI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2227"/>
        <w:gridCol w:w="2227"/>
        <w:gridCol w:w="2226"/>
      </w:tblGrid>
      <w:tr>
        <w:tc>
          <w:tcPr>
            <w:tcW w:type="dxa" w:w="2680"/>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
            </w:r>
          </w:p>
        </w:tc>
        <w:tc>
          <w:tcPr>
            <w:tcW w:type="dxa" w:w="2227"/>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Predicted: high risk</w:t>
            </w:r>
          </w:p>
        </w:tc>
        <w:tc>
          <w:tcPr>
            <w:tcW w:type="dxa" w:w="2227"/>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Predicted: low risk</w:t>
            </w:r>
          </w:p>
        </w:tc>
        <w:tc>
          <w:tcPr>
            <w:tcW w:type="dxa" w:w="2226"/>
            <w:tcBorders>
              <w:top w:val="single" w:color="CCCCCC" w:sz="1"/>
              <w:left w:val="single" w:color="CCCCCC" w:sz="1"/>
              <w:bottom w:val="single" w:color="CCCCCC" w:sz="1"/>
              <w:right w:val="single" w:color="CCCCCC" w:sz="1"/>
            </w:tcBorders>
            <w:shd w:fill="D9D9D9" w:val="clear"/>
            <w:tcMar>
              <w:top w:type="dxa" w:w="60"/>
              <w:left w:type="dxa" w:w="100"/>
              <w:bottom w:type="dxa" w:w="60"/>
              <w:right w:type="dxa" w:w="100"/>
            </w:tcMar>
            <w:vAlign w:val="center"/>
          </w:tcPr>
          <w:p>
            <w:pPr>
              <w:jc w:val="center"/>
            </w:pPr>
            <w:r>
              <w:rPr>
                <w:b/>
                <w:bCs/>
                <w:sz w:val="20"/>
                <w:szCs w:val="20"/>
              </w:rPr>
              <w:t xml:space="preserve">Predicted: mid risk</w:t>
            </w:r>
          </w:p>
        </w:tc>
      </w:tr>
      <w:tr>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True: high risk</w:t>
            </w:r>
          </w:p>
        </w:tc>
        <w:tc>
          <w:tcPr>
            <w:tcW w:type="dxa" w:w="222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52</w:t>
            </w:r>
          </w:p>
        </w:tc>
        <w:tc>
          <w:tcPr>
            <w:tcW w:type="dxa" w:w="222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3</w:t>
            </w:r>
          </w:p>
        </w:tc>
      </w:tr>
      <w:tr>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True: low risk</w:t>
            </w:r>
          </w:p>
        </w:tc>
        <w:tc>
          <w:tcPr>
            <w:tcW w:type="dxa" w:w="222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0</w:t>
            </w:r>
          </w:p>
        </w:tc>
        <w:tc>
          <w:tcPr>
            <w:tcW w:type="dxa" w:w="222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65</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16</w:t>
            </w:r>
          </w:p>
        </w:tc>
      </w:tr>
      <w:tr>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True: mid risk</w:t>
            </w:r>
          </w:p>
        </w:tc>
        <w:tc>
          <w:tcPr>
            <w:tcW w:type="dxa" w:w="222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2</w:t>
            </w:r>
          </w:p>
        </w:tc>
        <w:tc>
          <w:tcPr>
            <w:tcW w:type="dxa" w:w="222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7</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b w:val="false"/>
                <w:bCs w:val="false"/>
                <w:sz w:val="20"/>
                <w:szCs w:val="20"/>
              </w:rPr>
              <w:t xml:space="preserve">58</w:t>
            </w:r>
          </w:p>
        </w:tc>
      </w:tr>
    </w:tbl>
    <w:p>
      <w:pPr>
        <w:spacing w:after="240" w:before="80"/>
      </w:pPr>
      <w:r>
        <w:rPr>
          <w:i/>
          <w:iCs/>
          <w:sz w:val="20"/>
          <w:szCs w:val="20"/>
        </w:rPr>
        <w:t xml:space="preserve">Table VII. Confusion matrix for the Random Forest classifier on the held-out test set (n = 203).</w:t>
      </w:r>
    </w:p>
    <w:p>
      <w:pPr>
        <w:pStyle w:val="Heading2"/>
      </w:pPr>
      <w:r>
        <w:t xml:space="preserve">B. Pilot Usability Walkthrough</w:t>
      </w:r>
    </w:p>
    <w:p>
      <w:pPr>
        <w:spacing w:after="160" w:line="300"/>
        <w:jc w:val="both"/>
      </w:pPr>
      <w:r>
        <w:rPr>
          <w:sz w:val="22"/>
          <w:szCs w:val="22"/>
        </w:rPr>
        <w:t xml:space="preserve">Following the methodology proposed in Section VI-B, a pilot walkthrough with a convenience sample of participants would be conducted to obtain preliminary scores for the fourteen constructs in Table VI. Cronbach's alpha values are expected to exceed 0.7 for the twelve constructs retained from [1], consistent with the "good" to "excellent" reliability levels reported in that study. The two new constructs, RPR and OSR, are of particular interest: a high score on OSR combined with a successful zero-data-loss result in the synchronization test (Section VI-B) would directly demonstrate that gap G2 has been addressed without introducing new reliability concerns, while the RPR score indicates whether users are willing to trust and act on the Module 3 risk classification in practice.</w:t>
      </w:r>
    </w:p>
    <w:p>
      <w:pPr>
        <w:pStyle w:val="Heading2"/>
      </w:pPr>
      <w:r>
        <w:t xml:space="preserve">C. Discussion</w:t>
      </w:r>
    </w:p>
    <w:p>
      <w:pPr>
        <w:spacing w:after="160" w:line="300"/>
        <w:jc w:val="both"/>
      </w:pPr>
      <w:r>
        <w:rPr>
          <w:sz w:val="22"/>
          <w:szCs w:val="22"/>
        </w:rPr>
        <w:t xml:space="preserve">The technical results in Section VII-A confirm that classifier accuracy is broadly consistent with the benchmark established in [4]: both the server-side Random Forest (86.2%) and the on-device decision tree (83.7%) substantially exceed UHFF's baseline of no predictive capability, while remaining below [4]'s 99.34% for the reasons discussed above. If the pilot walkthrough proposed in Section VII-B also replicates the high satisfaction levels reported for the twelve constructs in [1], this would support the conclusion that the four additions proposed in Section IV address gaps G1-G6 without degrading the usability characteristics that made UHFF successful. Conversely, a low score on RPR or OSR, even alongside strong technical metrics, would indicate a gap between technical feasibility and field-level trust, which would itself be a useful finding: it would suggest that future deployment should prioritize explaining model outputs to LHWs (for example, via the feature-importance information reported in Section VII-A) and visibly surfacing sync status (Module 2's dashboard) rather than treating these as purely backend concerns.</w:t>
      </w:r>
    </w:p>
    <w:p>
      <w:pPr>
        <w:pStyle w:val="Heading1"/>
      </w:pPr>
      <w:r>
        <w:t xml:space="preserve">VIII. Conclusion and Future Work</w:t>
      </w:r>
    </w:p>
    <w:p>
      <w:pPr>
        <w:spacing w:after="160" w:line="300"/>
        <w:jc w:val="both"/>
      </w:pPr>
      <w:r>
        <w:rPr>
          <w:sz w:val="22"/>
          <w:szCs w:val="22"/>
        </w:rPr>
        <w:t xml:space="preserve">This paper presented ASAF, an extension of the Ubiquitous Healthcare Facility Framework [1] designed to address six gaps (G1-G6) identified through comparison with five works published between 2020 and 2026. ASAF retains UHFF's BHU-centered patient and newborn management services while adding an offline-first synchronization layer, a Random Forest-based maternal risk classification module, a patient companion application with an SMS fallback, and a JWT/AES-based security layer. A proof-of-concept implementation using React Native, FastAPI, SQLite, and scikit-learn was described, and an extended 14-construct evaluation framework (H1-H14) was proposed to assess the resulting system among healthcare workers.</w:t>
      </w:r>
    </w:p>
    <w:p>
      <w:pPr>
        <w:spacing w:after="160" w:line="300"/>
        <w:jc w:val="both"/>
      </w:pPr>
      <w:r>
        <w:rPr>
          <w:sz w:val="22"/>
          <w:szCs w:val="22"/>
        </w:rPr>
        <w:t xml:space="preserve">This work has several limitations. The proof-of-concept is a small-scale prototype rather than a field-deployed system, and the field evaluation proposed in Section VI has not yet been conducted at BHU scale. The risk prediction model is trained on a dataset collected in Bangladesh [7], and applying it to Punjab without local recalibration introduces a risk of domain shift between populations; this should be treated as a starting point for transfer learning rather than a final deployment model.</w:t>
      </w:r>
    </w:p>
    <w:p>
      <w:pPr>
        <w:spacing w:after="160" w:line="300"/>
        <w:jc w:val="both"/>
      </w:pPr>
      <w:r>
        <w:rPr>
          <w:sz w:val="22"/>
          <w:szCs w:val="22"/>
        </w:rPr>
        <w:t xml:space="preserve">Future work includes: (1) piloting ASAF at a small number of BHUs and retraining Module 3 on locally collected vitals data; (2) extending the patient companion application to Urdu and Punjabi, consistent with the language preferences documented in the original field study [1]; (3) integrating low-cost IoT sensors (blood-pressure cuffs, glucometers, thermometers) as in [4] to further reduce manual data entry (gap G3); (4) exploring a lightweight blockchain-based audit trail, as in [6], if data-integrity requirements grow beyond what the AES/JWT layer in Module 5 provides; and (5) conducting the full SEM-based field evaluation described in Section VI-B with a larger participant pool to formally test hypotheses H1-H14.</w:t>
      </w:r>
    </w:p>
    <w:p>
      <w:r>
        <w:br w:type="page"/>
      </w:r>
    </w:p>
    <w:p>
      <w:pPr>
        <w:pStyle w:val="Heading1"/>
      </w:pPr>
      <w:r>
        <w:t xml:space="preserve">References</w:t>
      </w:r>
    </w:p>
    <w:p>
      <w:pPr>
        <w:spacing w:after="100" w:line="280"/>
        <w:ind w:left="360" w:hanging="360"/>
      </w:pPr>
      <w:r>
        <w:rPr>
          <w:sz w:val="20"/>
          <w:szCs w:val="20"/>
        </w:rPr>
        <w:t xml:space="preserve">[1] M. Saleemi, M. Anjum, and M. Rehman, "The Ubiquitous Healthcare Facility Framework: A Proposed System for Managing Rural Antenatal Care," IEEE Access, vol. 7, pp. 161264-161282, 2019.</w:t>
      </w:r>
    </w:p>
    <w:p>
      <w:pPr>
        <w:spacing w:after="100" w:line="280"/>
        <w:ind w:left="360" w:hanging="360"/>
      </w:pPr>
      <w:r>
        <w:rPr>
          <w:sz w:val="20"/>
          <w:szCs w:val="20"/>
        </w:rPr>
        <w:t xml:space="preserve">[2] A. C. Benski, N. C. Schmidt, M. Viviano, G. Stancanelli, A. Soaroby, and M. R. Reich, "Improving the Quality of Antenatal Care Using Mobile Health in Madagascar: Five-Year Cross-Sectional Study," JMIR, doi: 10.2196/18543, 2020.</w:t>
      </w:r>
    </w:p>
    <w:p>
      <w:pPr>
        <w:spacing w:after="100" w:line="280"/>
        <w:ind w:left="360" w:hanging="360"/>
      </w:pPr>
      <w:r>
        <w:rPr>
          <w:sz w:val="20"/>
          <w:szCs w:val="20"/>
        </w:rPr>
        <w:t xml:space="preserve">[3] T. J. Masoi, S. M. Kibusi, D. Bintabara, A. Lilungulu, L. M. Konig, and L. Laranjo, "The effectiveness of interactive mobile health technologies in improving antenatal care service utilization in Dodoma region, Tanzania: A quasi-experimental study," PLOS Digital Health, doi: 10.1371/journal.pdig.0000321, 2023.</w:t>
      </w:r>
    </w:p>
    <w:p>
      <w:pPr>
        <w:spacing w:after="100" w:line="280"/>
        <w:ind w:left="360" w:hanging="360"/>
      </w:pPr>
      <w:r>
        <w:rPr>
          <w:sz w:val="20"/>
          <w:szCs w:val="20"/>
        </w:rPr>
        <w:t xml:space="preserve">[4] M. M. Hossain, N. M. Nayan, and M. A. Kashem, "A comprehensive maternal health risk prediction dataset from IoT-enabled medical cyber-physical systems in developing countries: supporting machine learning and deep learning applications for clinical decision support," BMC Medical Informatics and Decision Making, vol. 26, no. 79, 2026.</w:t>
      </w:r>
    </w:p>
    <w:p>
      <w:pPr>
        <w:spacing w:after="100" w:line="280"/>
        <w:ind w:left="360" w:hanging="360"/>
      </w:pPr>
      <w:r>
        <w:rPr>
          <w:sz w:val="20"/>
          <w:szCs w:val="20"/>
        </w:rPr>
        <w:t xml:space="preserve">[5] C. Charoensilpchai, Z. Lkhagvajav, and A. M. Turner, "Mobile health (mHealth) applications for community health workers in low- and middle-income countries: A scoping review," ScienceDirect (in press), 2026.</w:t>
      </w:r>
    </w:p>
    <w:p>
      <w:pPr>
        <w:spacing w:after="100" w:line="280"/>
        <w:ind w:left="360" w:hanging="360"/>
      </w:pPr>
      <w:r>
        <w:rPr>
          <w:sz w:val="20"/>
          <w:szCs w:val="20"/>
        </w:rPr>
        <w:t xml:space="preserve">[6] O. D. Ankeli and M. M. Ogore, "IyaCare: An Integrated AI-IoT-Blockchain Platform for Maternal Health in Resource-Constrained Settings," arXiv:2512.07333, 2025.</w:t>
      </w:r>
    </w:p>
    <w:p>
      <w:pPr>
        <w:spacing w:after="100" w:line="280"/>
        <w:ind w:left="360" w:hanging="360"/>
      </w:pPr>
      <w:r>
        <w:rPr>
          <w:sz w:val="20"/>
          <w:szCs w:val="20"/>
        </w:rPr>
        <w:t xml:space="preserve">[7] M. Ahmed, "Maternal Health Risk Data Set," UCI Machine Learning Repository, doi: 10.24432/C5DP5D, 2020.</w:t>
      </w:r>
    </w:p>
    <w:p>
      <w:pPr>
        <w:spacing w:after="100" w:line="280"/>
        <w:ind w:left="360" w:hanging="360"/>
      </w:pPr>
      <w:r>
        <w:rPr>
          <w:sz w:val="20"/>
          <w:szCs w:val="20"/>
        </w:rPr>
        <w:t xml:space="preserve">[8] W. H. DeLone and E. R. McLean, "Information systems success revisited," in Proc. 35th Annu. Hawaii Int. Conf. Syst. Sci., 2002, pp. 2966-2976.</w:t>
      </w:r>
    </w:p>
    <w:p>
      <w:pPr>
        <w:spacing w:after="100" w:line="280"/>
        <w:ind w:left="360" w:hanging="360"/>
      </w:pPr>
      <w:r>
        <w:rPr>
          <w:sz w:val="20"/>
          <w:szCs w:val="20"/>
        </w:rPr>
        <w:t xml:space="preserve">[9] J. Nielsen, "10 usability heuristics for user interface design," Nielsen Norman Group, 1995.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160"/>
      <w:outlineLvl w:val="1"/>
    </w:pPr>
    <w:rPr>
      <w:rFonts w:ascii="Times New Roman" w:cs="Times New Roman" w:eastAsia="Times New Roman" w:hAnsi="Times New Roman"/>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2026-06-12T05:14:29.258Z</dcterms:created>
  <dcterms:modified xsi:type="dcterms:W3CDTF">2026-06-12T05:14:29.259Z</dcterms:modified>
</cp:coreProperties>
</file>

<file path=docProps/custom.xml><?xml version="1.0" encoding="utf-8"?>
<Properties xmlns="http://schemas.openxmlformats.org/officeDocument/2006/custom-properties" xmlns:vt="http://schemas.openxmlformats.org/officeDocument/2006/docPropsVTypes"/>
</file>