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jc w:val="center"/>
        <w:rPr>
          <w:sz w:val="38"/>
          <w:szCs w:val="38"/>
        </w:rPr>
      </w:pPr>
      <w:r w:rsidDel="00000000" w:rsidR="00000000" w:rsidRPr="00000000">
        <w:rPr>
          <w:sz w:val="38"/>
          <w:szCs w:val="38"/>
          <w:rtl w:val="0"/>
        </w:rPr>
        <w:t xml:space="preserve">Universidad Internacional de La Rioja (UNIR)</w:t>
      </w:r>
    </w:p>
    <w:p w:rsidR="00000000" w:rsidDel="00000000" w:rsidP="00000000" w:rsidRDefault="00000000" w:rsidRPr="00000000" w14:paraId="00000004">
      <w:pPr>
        <w:jc w:val="center"/>
        <w:rPr>
          <w:sz w:val="38"/>
          <w:szCs w:val="38"/>
        </w:rPr>
      </w:pPr>
      <w:r w:rsidDel="00000000" w:rsidR="00000000" w:rsidRPr="00000000">
        <w:rPr>
          <w:sz w:val="38"/>
          <w:szCs w:val="38"/>
          <w:rtl w:val="0"/>
        </w:rPr>
        <w:br w:type="textWrapping"/>
        <w:t xml:space="preserve">Máster Universitario en Análisis y Visualización de Datos Masivos / Visual Analytics &amp; Big Data</w:t>
      </w:r>
    </w:p>
    <w:p w:rsidR="00000000" w:rsidDel="00000000" w:rsidP="00000000" w:rsidRDefault="00000000" w:rsidRPr="00000000" w14:paraId="00000005">
      <w:pPr>
        <w:jc w:val="center"/>
        <w:rPr>
          <w:sz w:val="38"/>
          <w:szCs w:val="38"/>
        </w:rPr>
      </w:pPr>
      <w:r w:rsidDel="00000000" w:rsidR="00000000" w:rsidRPr="00000000">
        <w:rPr>
          <w:sz w:val="38"/>
          <w:szCs w:val="38"/>
          <w:rtl w:val="0"/>
        </w:rPr>
        <w:br w:type="textWrapping"/>
        <w:t xml:space="preserve">Trabajo Fin de Máster (TFM)</w:t>
      </w:r>
    </w:p>
    <w:p w:rsidR="00000000" w:rsidDel="00000000" w:rsidP="00000000" w:rsidRDefault="00000000" w:rsidRPr="00000000" w14:paraId="00000006">
      <w:pPr>
        <w:jc w:val="center"/>
        <w:rPr>
          <w:b w:val="1"/>
          <w:bCs w:val="1"/>
          <w:color w:val="4f81bd"/>
          <w:sz w:val="38"/>
          <w:szCs w:val="38"/>
        </w:rPr>
      </w:pPr>
      <w:r w:rsidDel="00000000" w:rsidR="00000000" w:rsidRPr="00000000">
        <w:rPr>
          <w:sz w:val="38"/>
          <w:szCs w:val="38"/>
          <w:rtl w:val="0"/>
        </w:rPr>
        <w:br w:type="textWrapping"/>
        <w:br w:type="textWrapping"/>
      </w:r>
      <w:r w:rsidDel="00000000" w:rsidR="00000000" w:rsidRPr="00000000">
        <w:rPr>
          <w:b w:val="1"/>
          <w:bCs w:val="1"/>
          <w:color w:val="4f81bd"/>
          <w:sz w:val="38"/>
          <w:szCs w:val="38"/>
          <w:rtl w:val="0"/>
        </w:rPr>
        <w:t xml:space="preserve">Patrones diferenciales de conectividad cerebral en TDAH:</w:t>
        <w:br w:type="textWrapping"/>
        <w:t xml:space="preserve">Una aproximación desde la psicología del desarrollo y modelos predictivos</w:t>
      </w:r>
    </w:p>
    <w:p w:rsidR="00000000" w:rsidDel="00000000" w:rsidP="00000000" w:rsidRDefault="00000000" w:rsidRPr="00000000" w14:paraId="00000007">
      <w:pPr>
        <w:jc w:val="center"/>
        <w:rPr/>
      </w:pPr>
      <w:r w:rsidDel="00000000" w:rsidR="00000000" w:rsidRPr="00000000">
        <w:rPr>
          <w:rtl w:val="0"/>
        </w:rPr>
        <w:br w:type="textWrapping"/>
        <w:br w:type="textWrapping"/>
        <w:t xml:space="preserve">Autora: Alessia Mari Derossi</w:t>
      </w:r>
    </w:p>
    <w:p w:rsidR="00000000" w:rsidDel="00000000" w:rsidP="00000000" w:rsidRDefault="00000000" w:rsidRPr="00000000" w14:paraId="00000008">
      <w:pPr>
        <w:jc w:val="center"/>
        <w:rPr/>
      </w:pPr>
      <w:r w:rsidDel="00000000" w:rsidR="00000000" w:rsidRPr="00000000">
        <w:rPr>
          <w:rtl w:val="0"/>
        </w:rPr>
        <w:t xml:space="preserve">Tutor: Juan Vicent Camison</w:t>
      </w:r>
    </w:p>
    <w:p w:rsidR="00000000" w:rsidDel="00000000" w:rsidP="00000000" w:rsidRDefault="00000000" w:rsidRPr="00000000" w14:paraId="00000009">
      <w:pPr>
        <w:jc w:val="center"/>
        <w:rPr/>
      </w:pPr>
      <w:r w:rsidDel="00000000" w:rsidR="00000000" w:rsidRPr="00000000">
        <w:rPr>
          <w:rtl w:val="0"/>
        </w:rPr>
        <w:t xml:space="preserve">Fecha: Diciembre 2025</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both"/>
        <w:rPr>
          <w:rFonts w:ascii="Cambria" w:cs="Cambria" w:eastAsia="Cambria" w:hAnsi="Cambria"/>
        </w:rPr>
      </w:pPr>
      <w:r w:rsidDel="00000000" w:rsidR="00000000" w:rsidRPr="00000000">
        <w:rPr>
          <w:rFonts w:ascii="Cambria" w:cs="Cambria" w:eastAsia="Cambria" w:hAnsi="Cambria"/>
          <w:rtl w:val="0"/>
        </w:rPr>
        <w:t xml:space="preserve">Resumen</w:t>
      </w:r>
    </w:p>
    <w:p w:rsidR="00000000" w:rsidDel="00000000" w:rsidP="00000000" w:rsidRDefault="00000000" w:rsidRPr="00000000" w14:paraId="0000000C">
      <w:pPr>
        <w:jc w:val="both"/>
        <w:rPr/>
      </w:pPr>
      <w:sdt>
        <w:sdtPr>
          <w:id w:val="619931916"/>
          <w:tag w:val="goog_rdk_0"/>
        </w:sdtPr>
        <w:sdtContent>
          <w:commentRangeStart w:id="0"/>
        </w:sdtContent>
      </w:sdt>
      <w:r w:rsidDel="00000000" w:rsidR="00000000" w:rsidRPr="00000000">
        <w:rPr>
          <w:rtl w:val="0"/>
        </w:rPr>
        <w:t xml:space="preserve">El Trastorno por Déficit de Atención e Hiperactividad (TDAH) es una de las condiciones neuropsicológicas más prevalentes en la infancia y adolescencia.</w:t>
      </w:r>
      <w:commentRangeEnd w:id="0"/>
      <w:r w:rsidDel="00000000" w:rsidR="00000000" w:rsidRPr="00000000">
        <w:commentReference w:id="0"/>
      </w:r>
      <w:r w:rsidDel="00000000" w:rsidR="00000000" w:rsidRPr="00000000">
        <w:rPr>
          <w:rtl w:val="0"/>
        </w:rPr>
        <w:t xml:space="preserve"> </w:t>
      </w:r>
      <w:sdt>
        <w:sdtPr>
          <w:id w:val="-1586543354"/>
          <w:tag w:val="goog_rdk_1"/>
        </w:sdtPr>
        <w:sdtContent>
          <w:commentRangeStart w:id="1"/>
        </w:sdtContent>
      </w:sdt>
      <w:r w:rsidDel="00000000" w:rsidR="00000000" w:rsidRPr="00000000">
        <w:rPr>
          <w:rtl w:val="0"/>
        </w:rPr>
        <w:t xml:space="preserve">Sin embargo, numerosos estudios evidencian una subdetección del TDAH en mujeres, debido a diferencias en la manifestación sintomatológica y sesgos diagnósticos. </w:t>
      </w:r>
      <w:commentRangeEnd w:id="1"/>
      <w:r w:rsidDel="00000000" w:rsidR="00000000" w:rsidRPr="00000000">
        <w:commentReference w:id="1"/>
      </w:r>
      <w:r w:rsidDel="00000000" w:rsidR="00000000" w:rsidRPr="00000000">
        <w:rPr>
          <w:rtl w:val="0"/>
        </w:rPr>
        <w:t xml:space="preserve">El presente trabajo propone un enfoque integrador entre la psicología del desarrollo y la analítica de datos, empleando técnicas de machine learning aplicadas a datos de conectividad funcional cerebral (fMRI) del proyecto Healthy Brain Network (HBN). Se busca identificar patrones diferenciales de conectividad cerebral en individuos con diagnóstico de TDAH según el sexo, y analizar cómo estas diferencias pueden influir en la detección clínica. Los resultados esperados podrían aportar evidencia sobre marcadores neurofuncionales asociados al TDAH femenino, contribuyendo al desarrollo de herramientas diagnósticas más equitativas.</w:t>
      </w:r>
    </w:p>
    <w:p w:rsidR="00000000" w:rsidDel="00000000" w:rsidP="00000000" w:rsidRDefault="00000000" w:rsidRPr="00000000" w14:paraId="0000000D">
      <w:pPr>
        <w:jc w:val="both"/>
        <w:rPr/>
      </w:pPr>
      <w:r w:rsidDel="00000000" w:rsidR="00000000" w:rsidRPr="00000000">
        <w:rPr>
          <w:rtl w:val="0"/>
        </w:rPr>
        <w:br w:type="textWrapping"/>
        <w:t xml:space="preserve">Palabras clave: TDAH, fMRI, machine learning, psicología del desarrollo, diferencias de sexo, neurociencia computacional.</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both"/>
        <w:rPr>
          <w:rFonts w:ascii="Cambria" w:cs="Cambria" w:eastAsia="Cambria" w:hAnsi="Cambria"/>
          <w:color w:val="000000"/>
          <w:sz w:val="22"/>
          <w:szCs w:val="22"/>
          <w:u w:val="single"/>
        </w:rPr>
      </w:pPr>
      <w:bookmarkStart w:colFirst="0" w:colLast="0" w:name="_heading=h.m0v7vrsfzqdv" w:id="0"/>
      <w:bookmarkEnd w:id="0"/>
      <w:r w:rsidDel="00000000" w:rsidR="00000000" w:rsidRPr="00000000">
        <w:rPr>
          <w:rFonts w:ascii="Cambria" w:cs="Cambria" w:eastAsia="Cambria" w:hAnsi="Cambria"/>
          <w:color w:val="000000"/>
          <w:u w:val="single"/>
          <w:rtl w:val="0"/>
        </w:rPr>
        <w:t xml:space="preserve"> </w:t>
      </w:r>
      <w:r w:rsidDel="00000000" w:rsidR="00000000" w:rsidRPr="00000000">
        <w:rPr>
          <w:rFonts w:ascii="Cambria" w:cs="Cambria" w:eastAsia="Cambria" w:hAnsi="Cambria"/>
          <w:color w:val="000000"/>
          <w:sz w:val="22"/>
          <w:szCs w:val="22"/>
          <w:u w:val="single"/>
          <w:rtl w:val="0"/>
        </w:rPr>
        <w:t xml:space="preserve">Índice</w:t>
      </w:r>
    </w:p>
    <w:p w:rsidR="00000000" w:rsidDel="00000000" w:rsidP="00000000" w:rsidRDefault="00000000" w:rsidRPr="00000000" w14:paraId="00000010">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Resumen</w:t>
      </w:r>
    </w:p>
    <w:p w:rsidR="00000000" w:rsidDel="00000000" w:rsidP="00000000" w:rsidRDefault="00000000" w:rsidRPr="00000000" w14:paraId="00000011">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Abstract</w:t>
      </w:r>
    </w:p>
    <w:p w:rsidR="00000000" w:rsidDel="00000000" w:rsidP="00000000" w:rsidRDefault="00000000" w:rsidRPr="00000000" w14:paraId="00000012">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1. Introducción</w:t>
      </w:r>
    </w:p>
    <w:p w:rsidR="00000000" w:rsidDel="00000000" w:rsidP="00000000" w:rsidRDefault="00000000" w:rsidRPr="00000000" w14:paraId="00000013">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1.1. Contexto general del problema</w:t>
      </w:r>
    </w:p>
    <w:p w:rsidR="00000000" w:rsidDel="00000000" w:rsidP="00000000" w:rsidRDefault="00000000" w:rsidRPr="00000000" w14:paraId="00000014">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1.2. Importancia del estudio</w:t>
      </w:r>
    </w:p>
    <w:p w:rsidR="00000000" w:rsidDel="00000000" w:rsidP="00000000" w:rsidRDefault="00000000" w:rsidRPr="00000000" w14:paraId="00000015">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1.3. Uso de neuroimagen y machine learning en el diagnóstico del TDAH</w:t>
      </w:r>
    </w:p>
    <w:p w:rsidR="00000000" w:rsidDel="00000000" w:rsidP="00000000" w:rsidRDefault="00000000" w:rsidRPr="00000000" w14:paraId="00000016">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1.4. Estructura general del documento</w:t>
      </w:r>
    </w:p>
    <w:p w:rsidR="00000000" w:rsidDel="00000000" w:rsidP="00000000" w:rsidRDefault="00000000" w:rsidRPr="00000000" w14:paraId="00000017">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2. Justificación y planteamiento del problema</w:t>
      </w:r>
    </w:p>
    <w:p w:rsidR="00000000" w:rsidDel="00000000" w:rsidP="00000000" w:rsidRDefault="00000000" w:rsidRPr="00000000" w14:paraId="00000018">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2.1. Relevancia social y científica del tema</w:t>
      </w:r>
    </w:p>
    <w:p w:rsidR="00000000" w:rsidDel="00000000" w:rsidP="00000000" w:rsidRDefault="00000000" w:rsidRPr="00000000" w14:paraId="00000019">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2.2. Problema de investigación</w:t>
      </w:r>
    </w:p>
    <w:p w:rsidR="00000000" w:rsidDel="00000000" w:rsidP="00000000" w:rsidRDefault="00000000" w:rsidRPr="00000000" w14:paraId="0000001A">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2.3. Preguntas de investigación</w:t>
      </w:r>
    </w:p>
    <w:p w:rsidR="00000000" w:rsidDel="00000000" w:rsidP="00000000" w:rsidRDefault="00000000" w:rsidRPr="00000000" w14:paraId="0000001B">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2.4. Limitaciones y alcances del estudio</w:t>
      </w:r>
    </w:p>
    <w:p w:rsidR="00000000" w:rsidDel="00000000" w:rsidP="00000000" w:rsidRDefault="00000000" w:rsidRPr="00000000" w14:paraId="0000001C">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3. Estado del arte (Marco teórico)</w:t>
      </w:r>
    </w:p>
    <w:p w:rsidR="00000000" w:rsidDel="00000000" w:rsidP="00000000" w:rsidRDefault="00000000" w:rsidRPr="00000000" w14:paraId="0000001D">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3.1. Neuropsicología del TDAH: bases cognitivas y cerebrales</w:t>
      </w:r>
    </w:p>
    <w:p w:rsidR="00000000" w:rsidDel="00000000" w:rsidP="00000000" w:rsidRDefault="00000000" w:rsidRPr="00000000" w14:paraId="0000001E">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3.2. Sesgo de género y diagnóstico en psicología clínica</w:t>
      </w:r>
    </w:p>
    <w:p w:rsidR="00000000" w:rsidDel="00000000" w:rsidP="00000000" w:rsidRDefault="00000000" w:rsidRPr="00000000" w14:paraId="0000001F">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3.3. Aplicaciones de machine learning en neurociencia cognitiva</w:t>
      </w:r>
    </w:p>
    <w:p w:rsidR="00000000" w:rsidDel="00000000" w:rsidP="00000000" w:rsidRDefault="00000000" w:rsidRPr="00000000" w14:paraId="00000020">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3.4. Estudios previos relevantes con datos fMRI y TDAH</w:t>
      </w:r>
    </w:p>
    <w:p w:rsidR="00000000" w:rsidDel="00000000" w:rsidP="00000000" w:rsidRDefault="00000000" w:rsidRPr="00000000" w14:paraId="00000021">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3.5. Síntesis del marco teórico y brecha de conocimiento</w:t>
      </w:r>
    </w:p>
    <w:p w:rsidR="00000000" w:rsidDel="00000000" w:rsidP="00000000" w:rsidRDefault="00000000" w:rsidRPr="00000000" w14:paraId="00000022">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4. Metodología</w:t>
      </w:r>
    </w:p>
    <w:p w:rsidR="00000000" w:rsidDel="00000000" w:rsidP="00000000" w:rsidRDefault="00000000" w:rsidRPr="00000000" w14:paraId="00000023">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4.1. Diseño general del estudio</w:t>
      </w:r>
    </w:p>
    <w:p w:rsidR="00000000" w:rsidDel="00000000" w:rsidP="00000000" w:rsidRDefault="00000000" w:rsidRPr="00000000" w14:paraId="00000024">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4.2. Fuentes de datos y descripción del dataset</w:t>
      </w:r>
    </w:p>
    <w:p w:rsidR="00000000" w:rsidDel="00000000" w:rsidP="00000000" w:rsidRDefault="00000000" w:rsidRPr="00000000" w14:paraId="00000025">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4.3. Variables utilizadas</w:t>
      </w:r>
    </w:p>
    <w:p w:rsidR="00000000" w:rsidDel="00000000" w:rsidP="00000000" w:rsidRDefault="00000000" w:rsidRPr="00000000" w14:paraId="00000026">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4.4. Preprocesamiento y análisis de datos</w:t>
      </w:r>
    </w:p>
    <w:p w:rsidR="00000000" w:rsidDel="00000000" w:rsidP="00000000" w:rsidRDefault="00000000" w:rsidRPr="00000000" w14:paraId="00000027">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4.5. Modelos de machine learning aplicados</w:t>
      </w:r>
    </w:p>
    <w:p w:rsidR="00000000" w:rsidDel="00000000" w:rsidP="00000000" w:rsidRDefault="00000000" w:rsidRPr="00000000" w14:paraId="00000028">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4.6. Métricas de evaluación y validación del modelo</w:t>
      </w:r>
    </w:p>
    <w:p w:rsidR="00000000" w:rsidDel="00000000" w:rsidP="00000000" w:rsidRDefault="00000000" w:rsidRPr="00000000" w14:paraId="00000029">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4.7. Aspectos éticos y reproducibilidad</w:t>
      </w:r>
    </w:p>
    <w:p w:rsidR="00000000" w:rsidDel="00000000" w:rsidP="00000000" w:rsidRDefault="00000000" w:rsidRPr="00000000" w14:paraId="0000002A">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5. Resultados y análisis</w:t>
      </w:r>
    </w:p>
    <w:p w:rsidR="00000000" w:rsidDel="00000000" w:rsidP="00000000" w:rsidRDefault="00000000" w:rsidRPr="00000000" w14:paraId="0000002B">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5.1. Descripción general de los datos analizados</w:t>
      </w:r>
    </w:p>
    <w:p w:rsidR="00000000" w:rsidDel="00000000" w:rsidP="00000000" w:rsidRDefault="00000000" w:rsidRPr="00000000" w14:paraId="0000002C">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5.2. Resultados del modelo de predicción del TDAH</w:t>
      </w:r>
    </w:p>
    <w:p w:rsidR="00000000" w:rsidDel="00000000" w:rsidP="00000000" w:rsidRDefault="00000000" w:rsidRPr="00000000" w14:paraId="0000002D">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5.3. Análisis comparativo por sexo</w:t>
      </w:r>
    </w:p>
    <w:p w:rsidR="00000000" w:rsidDel="00000000" w:rsidP="00000000" w:rsidRDefault="00000000" w:rsidRPr="00000000" w14:paraId="0000002E">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5.4. Visualización de la conectividad funcional cerebral</w:t>
      </w:r>
    </w:p>
    <w:p w:rsidR="00000000" w:rsidDel="00000000" w:rsidP="00000000" w:rsidRDefault="00000000" w:rsidRPr="00000000" w14:paraId="0000002F">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5.5. Interpretación mediante técnicas explicativas (SHAP, LIME)</w:t>
      </w:r>
    </w:p>
    <w:p w:rsidR="00000000" w:rsidDel="00000000" w:rsidP="00000000" w:rsidRDefault="00000000" w:rsidRPr="00000000" w14:paraId="00000030">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6. Discusión</w:t>
      </w:r>
    </w:p>
    <w:p w:rsidR="00000000" w:rsidDel="00000000" w:rsidP="00000000" w:rsidRDefault="00000000" w:rsidRPr="00000000" w14:paraId="00000031">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6.1. Discusión de resultados frente a la literatura revisada</w:t>
      </w:r>
    </w:p>
    <w:p w:rsidR="00000000" w:rsidDel="00000000" w:rsidP="00000000" w:rsidRDefault="00000000" w:rsidRPr="00000000" w14:paraId="00000032">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6.2. Implicaciones psicológicas y neurocientíficas</w:t>
      </w:r>
    </w:p>
    <w:p w:rsidR="00000000" w:rsidDel="00000000" w:rsidP="00000000" w:rsidRDefault="00000000" w:rsidRPr="00000000" w14:paraId="00000033">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6.3. Posibles causas del sesgo de género detectado</w:t>
      </w:r>
    </w:p>
    <w:p w:rsidR="00000000" w:rsidDel="00000000" w:rsidP="00000000" w:rsidRDefault="00000000" w:rsidRPr="00000000" w14:paraId="00000034">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6.4. Limitaciones del estudio</w:t>
      </w:r>
    </w:p>
    <w:p w:rsidR="00000000" w:rsidDel="00000000" w:rsidP="00000000" w:rsidRDefault="00000000" w:rsidRPr="00000000" w14:paraId="00000035">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6.5. Recomendaciones para futuras investigaciones</w:t>
      </w:r>
    </w:p>
    <w:p w:rsidR="00000000" w:rsidDel="00000000" w:rsidP="00000000" w:rsidRDefault="00000000" w:rsidRPr="00000000" w14:paraId="00000036">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Capítulo 7. Conclusiones y futuras líneas de investigación</w:t>
      </w:r>
    </w:p>
    <w:p w:rsidR="00000000" w:rsidDel="00000000" w:rsidP="00000000" w:rsidRDefault="00000000" w:rsidRPr="00000000" w14:paraId="00000037">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7.1. Principales conclusiones</w:t>
      </w:r>
    </w:p>
    <w:p w:rsidR="00000000" w:rsidDel="00000000" w:rsidP="00000000" w:rsidRDefault="00000000" w:rsidRPr="00000000" w14:paraId="00000038">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7.2. Aportes a la psicología del desarrollo y la neurociencia computacional</w:t>
      </w:r>
    </w:p>
    <w:p w:rsidR="00000000" w:rsidDel="00000000" w:rsidP="00000000" w:rsidRDefault="00000000" w:rsidRPr="00000000" w14:paraId="00000039">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7.3. Aplicaciones clínicas y sociales</w:t>
      </w:r>
    </w:p>
    <w:p w:rsidR="00000000" w:rsidDel="00000000" w:rsidP="00000000" w:rsidRDefault="00000000" w:rsidRPr="00000000" w14:paraId="0000003A">
      <w:pPr>
        <w:pStyle w:val="Heading1"/>
        <w:spacing w:after="240" w:before="240" w:lineRule="auto"/>
        <w:jc w:val="both"/>
        <w:rPr>
          <w:rFonts w:ascii="Cambria" w:cs="Cambria" w:eastAsia="Cambria" w:hAnsi="Cambria"/>
          <w:b w:val="0"/>
          <w:bCs w:val="0"/>
          <w:color w:val="000000"/>
          <w:sz w:val="22"/>
          <w:szCs w:val="22"/>
        </w:rPr>
      </w:pPr>
      <w:bookmarkStart w:colFirst="0" w:colLast="0" w:name="_heading=h.m0v7vrsfzqdv" w:id="0"/>
      <w:bookmarkEnd w:id="0"/>
      <w:r w:rsidDel="00000000" w:rsidR="00000000" w:rsidRPr="00000000">
        <w:rPr>
          <w:rFonts w:ascii="Cambria" w:cs="Cambria" w:eastAsia="Cambria" w:hAnsi="Cambria"/>
          <w:b w:val="0"/>
          <w:bCs w:val="0"/>
          <w:color w:val="000000"/>
          <w:sz w:val="22"/>
          <w:szCs w:val="22"/>
          <w:rtl w:val="0"/>
        </w:rPr>
        <w:t xml:space="preserve">   7.4. Propuestas para trabajos futuros</w:t>
      </w:r>
    </w:p>
    <w:p w:rsidR="00000000" w:rsidDel="00000000" w:rsidP="00000000" w:rsidRDefault="00000000" w:rsidRPr="00000000" w14:paraId="0000003B">
      <w:pPr>
        <w:pStyle w:val="Heading1"/>
        <w:spacing w:after="240" w:before="240" w:lineRule="auto"/>
        <w:jc w:val="both"/>
        <w:rPr>
          <w:rFonts w:ascii="Cambria" w:cs="Cambria" w:eastAsia="Cambria" w:hAnsi="Cambria"/>
          <w:color w:val="000000"/>
          <w:sz w:val="22"/>
          <w:szCs w:val="22"/>
        </w:rPr>
      </w:pPr>
      <w:bookmarkStart w:colFirst="0" w:colLast="0" w:name="_heading=h.m0v7vrsfzqdv" w:id="0"/>
      <w:bookmarkEnd w:id="0"/>
      <w:r w:rsidDel="00000000" w:rsidR="00000000" w:rsidRPr="00000000">
        <w:rPr>
          <w:rFonts w:ascii="Cambria" w:cs="Cambria" w:eastAsia="Cambria" w:hAnsi="Cambria"/>
          <w:color w:val="000000"/>
          <w:sz w:val="22"/>
          <w:szCs w:val="22"/>
          <w:rtl w:val="0"/>
        </w:rPr>
        <w:t xml:space="preserve">Referencias bibliográficas</w:t>
      </w:r>
    </w:p>
    <w:p w:rsidR="00000000" w:rsidDel="00000000" w:rsidP="00000000" w:rsidRDefault="00000000" w:rsidRPr="00000000" w14:paraId="0000003C">
      <w:pPr>
        <w:pStyle w:val="Heading1"/>
        <w:spacing w:after="240" w:before="240" w:lineRule="auto"/>
        <w:jc w:val="both"/>
        <w:rPr>
          <w:rFonts w:ascii="Cambria" w:cs="Cambria" w:eastAsia="Cambria" w:hAnsi="Cambria"/>
          <w:color w:val="000000"/>
          <w:sz w:val="22"/>
          <w:szCs w:val="22"/>
        </w:rPr>
      </w:pPr>
      <w:bookmarkStart w:colFirst="0" w:colLast="0" w:name="_heading=h.k5cd1k7vgxrp" w:id="1"/>
      <w:bookmarkEnd w:id="1"/>
      <w:r w:rsidDel="00000000" w:rsidR="00000000" w:rsidRPr="00000000">
        <w:rPr>
          <w:rFonts w:ascii="Cambria" w:cs="Cambria" w:eastAsia="Cambria" w:hAnsi="Cambria"/>
          <w:color w:val="000000"/>
          <w:sz w:val="22"/>
          <w:szCs w:val="22"/>
          <w:rtl w:val="0"/>
        </w:rPr>
        <w:t xml:space="preserve">Anexos</w:t>
      </w:r>
    </w:p>
    <w:p w:rsidR="00000000" w:rsidDel="00000000" w:rsidP="00000000" w:rsidRDefault="00000000" w:rsidRPr="00000000" w14:paraId="0000003D">
      <w:pPr>
        <w:pStyle w:val="Heading1"/>
        <w:jc w:val="both"/>
        <w:rPr/>
      </w:pPr>
      <w:bookmarkStart w:colFirst="0" w:colLast="0" w:name="_heading=h.slqdx6enzlls" w:id="2"/>
      <w:bookmarkEnd w:id="2"/>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before="0" w:line="360" w:lineRule="auto"/>
        <w:jc w:val="both"/>
        <w:rPr>
          <w:b w:val="1"/>
          <w:bCs w:val="1"/>
        </w:rPr>
      </w:pPr>
      <w:r w:rsidDel="00000000" w:rsidR="00000000" w:rsidRPr="00000000">
        <w:rPr>
          <w:b w:val="1"/>
          <w:bCs w:val="1"/>
          <w:rtl w:val="0"/>
        </w:rPr>
        <w:t xml:space="preserve">Capítulo 1. Introducción</w:t>
      </w:r>
    </w:p>
    <w:p w:rsidR="00000000" w:rsidDel="00000000" w:rsidP="00000000" w:rsidRDefault="00000000" w:rsidRPr="00000000" w14:paraId="00000040">
      <w:pPr>
        <w:spacing w:after="0" w:before="0" w:line="360" w:lineRule="auto"/>
        <w:jc w:val="both"/>
        <w:rPr>
          <w:i w:val="1"/>
          <w:iCs w:val="1"/>
        </w:rPr>
      </w:pPr>
      <w:r w:rsidDel="00000000" w:rsidR="00000000" w:rsidRPr="00000000">
        <w:rPr>
          <w:i w:val="1"/>
          <w:iCs w:val="1"/>
          <w:rtl w:val="0"/>
        </w:rPr>
        <w:t xml:space="preserve">1.1. Contexto general del problema</w:t>
      </w:r>
    </w:p>
    <w:p w:rsidR="00000000" w:rsidDel="00000000" w:rsidP="00000000" w:rsidRDefault="00000000" w:rsidRPr="00000000" w14:paraId="00000041">
      <w:pPr>
        <w:spacing w:after="0" w:before="0" w:line="360" w:lineRule="auto"/>
        <w:jc w:val="both"/>
        <w:rPr/>
      </w:pPr>
      <w:r w:rsidDel="00000000" w:rsidR="00000000" w:rsidRPr="00000000">
        <w:rPr>
          <w:rtl w:val="0"/>
        </w:rPr>
      </w:r>
    </w:p>
    <w:p w:rsidR="00000000" w:rsidDel="00000000" w:rsidP="00000000" w:rsidRDefault="00000000" w:rsidRPr="00000000" w14:paraId="00000042">
      <w:pPr>
        <w:spacing w:after="0" w:before="0" w:line="360" w:lineRule="auto"/>
        <w:jc w:val="both"/>
        <w:rPr/>
      </w:pPr>
      <w:r w:rsidDel="00000000" w:rsidR="00000000" w:rsidRPr="00000000">
        <w:rPr>
          <w:rtl w:val="0"/>
        </w:rPr>
        <w:t xml:space="preserve">El Trastorno por Déficit de Atención e Hiperactividad (TDAH) es uno de los trastornos del neurodesarrollo más prevalentes en la infancia y adolescencia, con una estimación global entre el 5% y el 7%. Se caracteriza por dificultades en los procesos atencionales, el control inhibitorio, la impulsividad y la regulación del comportamiento. Tradicionalmente se ha observado un mayor diagnóstico en varones, lo que condujo durante décadas a construir criterios clínicos basados principalmente en su presentación más visible y disruptiva.</w:t>
      </w:r>
    </w:p>
    <w:p w:rsidR="00000000" w:rsidDel="00000000" w:rsidP="00000000" w:rsidRDefault="00000000" w:rsidRPr="00000000" w14:paraId="00000043">
      <w:pPr>
        <w:spacing w:after="0" w:before="0" w:line="360" w:lineRule="auto"/>
        <w:jc w:val="both"/>
        <w:rPr/>
      </w:pPr>
      <w:r w:rsidDel="00000000" w:rsidR="00000000" w:rsidRPr="00000000">
        <w:rPr>
          <w:rtl w:val="0"/>
        </w:rPr>
      </w:r>
    </w:p>
    <w:p w:rsidR="00000000" w:rsidDel="00000000" w:rsidP="00000000" w:rsidRDefault="00000000" w:rsidRPr="00000000" w14:paraId="00000044">
      <w:pPr>
        <w:spacing w:after="0" w:before="0" w:line="360" w:lineRule="auto"/>
        <w:jc w:val="both"/>
        <w:rPr/>
      </w:pPr>
      <w:r w:rsidDel="00000000" w:rsidR="00000000" w:rsidRPr="00000000">
        <w:rPr>
          <w:rtl w:val="0"/>
        </w:rPr>
        <w:t xml:space="preserve">Sin embargo, la presentación del TDAH en niñas suele diferir significativamente. Ellas tienden a manifestar predominantemente síntomas del subtipo inatento, con menor expresión de hiperactividad o impulsividad. Este perfil clínico más silencioso, socialmente aceptado o menos disruptivo, ha contribuido a una subdetección del TDAH femenino, generando un importante retraso diagnóstico y limitando el acceso temprano a intervenciones adecuadas.</w:t>
      </w:r>
    </w:p>
    <w:p w:rsidR="00000000" w:rsidDel="00000000" w:rsidP="00000000" w:rsidRDefault="00000000" w:rsidRPr="00000000" w14:paraId="00000045">
      <w:pPr>
        <w:spacing w:after="0" w:before="0" w:line="360" w:lineRule="auto"/>
        <w:jc w:val="both"/>
        <w:rPr>
          <w:i w:val="1"/>
          <w:iCs w:val="1"/>
        </w:rPr>
      </w:pPr>
      <w:r w:rsidDel="00000000" w:rsidR="00000000" w:rsidRPr="00000000">
        <w:rPr>
          <w:rtl w:val="0"/>
        </w:rPr>
      </w:r>
    </w:p>
    <w:p w:rsidR="00000000" w:rsidDel="00000000" w:rsidP="00000000" w:rsidRDefault="00000000" w:rsidRPr="00000000" w14:paraId="00000046">
      <w:pPr>
        <w:spacing w:after="0" w:before="0" w:line="360" w:lineRule="auto"/>
        <w:jc w:val="both"/>
        <w:rPr>
          <w:i w:val="1"/>
          <w:iCs w:val="1"/>
        </w:rPr>
      </w:pPr>
      <w:r w:rsidDel="00000000" w:rsidR="00000000" w:rsidRPr="00000000">
        <w:rPr>
          <w:i w:val="1"/>
          <w:iCs w:val="1"/>
          <w:rtl w:val="0"/>
        </w:rPr>
        <w:t xml:space="preserve">1.2. Importancia del estudio</w:t>
      </w:r>
    </w:p>
    <w:p w:rsidR="00000000" w:rsidDel="00000000" w:rsidP="00000000" w:rsidRDefault="00000000" w:rsidRPr="00000000" w14:paraId="00000047">
      <w:pPr>
        <w:spacing w:after="0" w:before="0" w:line="360" w:lineRule="auto"/>
        <w:jc w:val="both"/>
        <w:rPr/>
      </w:pPr>
      <w:r w:rsidDel="00000000" w:rsidR="00000000" w:rsidRPr="00000000">
        <w:rPr>
          <w:rtl w:val="0"/>
        </w:rPr>
      </w:r>
    </w:p>
    <w:p w:rsidR="00000000" w:rsidDel="00000000" w:rsidP="00000000" w:rsidRDefault="00000000" w:rsidRPr="00000000" w14:paraId="00000048">
      <w:pPr>
        <w:spacing w:after="0" w:before="0" w:line="360" w:lineRule="auto"/>
        <w:jc w:val="both"/>
        <w:rPr/>
      </w:pPr>
      <w:r w:rsidDel="00000000" w:rsidR="00000000" w:rsidRPr="00000000">
        <w:rPr>
          <w:rtl w:val="0"/>
        </w:rPr>
        <w:t xml:space="preserve">La infradiagnosis del TDAH en mujeres tiene consecuencias profundas en múltiples esferas del desarrollo. Las niñas y adolescentes no diagnosticadas presentan mayores tasas de ansiedad, depresión, dificultades académicas y baja autoestima. A largo plazo, la falta de detección temprana se relaciona con dificultades en la vida adulta, incluyendo problemas laborales, relacionales y emocionales.</w:t>
      </w:r>
    </w:p>
    <w:p w:rsidR="00000000" w:rsidDel="00000000" w:rsidP="00000000" w:rsidRDefault="00000000" w:rsidRPr="00000000" w14:paraId="00000049">
      <w:pPr>
        <w:spacing w:after="0" w:before="0" w:line="360" w:lineRule="auto"/>
        <w:jc w:val="both"/>
        <w:rPr/>
      </w:pPr>
      <w:r w:rsidDel="00000000" w:rsidR="00000000" w:rsidRPr="00000000">
        <w:rPr>
          <w:rtl w:val="0"/>
        </w:rPr>
      </w:r>
    </w:p>
    <w:p w:rsidR="00000000" w:rsidDel="00000000" w:rsidP="00000000" w:rsidRDefault="00000000" w:rsidRPr="00000000" w14:paraId="0000004A">
      <w:pPr>
        <w:spacing w:after="0" w:before="0" w:line="360" w:lineRule="auto"/>
        <w:jc w:val="both"/>
        <w:rPr/>
      </w:pPr>
      <w:r w:rsidDel="00000000" w:rsidR="00000000" w:rsidRPr="00000000">
        <w:rPr>
          <w:rtl w:val="0"/>
        </w:rPr>
        <w:t xml:space="preserve">Estudiar diferencias neurofuncionales entre varones y mujeres con TDAH puede contribuir a mejorar la comprensión del trastorno, enriquecer los modelos diagnósticos y reducir sesgos de género históricamente presentes en la evaluación clínica. Este enfoque es especialmente relevante en un contexto donde el análisis de neuroimagen y los modelos computacionales permiten caracterizar patrones cerebrales que no son observables mediante métodos tradicionales.</w:t>
      </w:r>
    </w:p>
    <w:p w:rsidR="00000000" w:rsidDel="00000000" w:rsidP="00000000" w:rsidRDefault="00000000" w:rsidRPr="00000000" w14:paraId="0000004B">
      <w:pPr>
        <w:spacing w:after="0" w:before="0" w:line="360" w:lineRule="auto"/>
        <w:jc w:val="both"/>
        <w:rPr/>
      </w:pPr>
      <w:r w:rsidDel="00000000" w:rsidR="00000000" w:rsidRPr="00000000">
        <w:rPr>
          <w:rtl w:val="0"/>
        </w:rPr>
      </w:r>
    </w:p>
    <w:p w:rsidR="00000000" w:rsidDel="00000000" w:rsidP="00000000" w:rsidRDefault="00000000" w:rsidRPr="00000000" w14:paraId="0000004C">
      <w:pPr>
        <w:spacing w:after="0" w:before="0" w:line="360" w:lineRule="auto"/>
        <w:jc w:val="both"/>
        <w:rPr>
          <w:i w:val="1"/>
          <w:iCs w:val="1"/>
        </w:rPr>
      </w:pPr>
      <w:r w:rsidDel="00000000" w:rsidR="00000000" w:rsidRPr="00000000">
        <w:rPr>
          <w:i w:val="1"/>
          <w:iCs w:val="1"/>
          <w:rtl w:val="0"/>
        </w:rPr>
        <w:t xml:space="preserve">1.3. Uso de neuroimagen y machine learning en el diagnóstico del TDAH</w:t>
      </w:r>
    </w:p>
    <w:p w:rsidR="00000000" w:rsidDel="00000000" w:rsidP="00000000" w:rsidRDefault="00000000" w:rsidRPr="00000000" w14:paraId="0000004D">
      <w:pPr>
        <w:spacing w:after="0" w:before="0" w:line="360" w:lineRule="auto"/>
        <w:jc w:val="both"/>
        <w:rPr/>
      </w:pPr>
      <w:r w:rsidDel="00000000" w:rsidR="00000000" w:rsidRPr="00000000">
        <w:rPr>
          <w:rtl w:val="0"/>
        </w:rPr>
      </w:r>
    </w:p>
    <w:p w:rsidR="00000000" w:rsidDel="00000000" w:rsidP="00000000" w:rsidRDefault="00000000" w:rsidRPr="00000000" w14:paraId="0000004E">
      <w:pPr>
        <w:spacing w:after="0" w:before="0" w:line="360" w:lineRule="auto"/>
        <w:jc w:val="both"/>
        <w:rPr/>
      </w:pPr>
      <w:r w:rsidDel="00000000" w:rsidR="00000000" w:rsidRPr="00000000">
        <w:rPr>
          <w:rtl w:val="0"/>
        </w:rPr>
        <w:t xml:space="preserve">El avance de la neurociencia computacional ha permitido integrar datos de resonancia magnética funcional (fMRI) con técnicas de aprendizaje automático (machine learning). Las matrices de conectividad funcional obtenidas mediante fMRI constituyen representaciones complejas del funcionamiento cerebral, donde la correlación entre regiones refleja dinámicas neurofuncionales relevantes para la cognición, el comportamiento y los trastornos del neurodesarrollo.</w:t>
      </w:r>
    </w:p>
    <w:p w:rsidR="00000000" w:rsidDel="00000000" w:rsidP="00000000" w:rsidRDefault="00000000" w:rsidRPr="00000000" w14:paraId="0000004F">
      <w:pPr>
        <w:spacing w:after="0" w:before="0" w:line="360" w:lineRule="auto"/>
        <w:jc w:val="both"/>
        <w:rPr/>
      </w:pPr>
      <w:r w:rsidDel="00000000" w:rsidR="00000000" w:rsidRPr="00000000">
        <w:rPr>
          <w:rtl w:val="0"/>
        </w:rPr>
      </w:r>
    </w:p>
    <w:p w:rsidR="00000000" w:rsidDel="00000000" w:rsidP="00000000" w:rsidRDefault="00000000" w:rsidRPr="00000000" w14:paraId="00000050">
      <w:pPr>
        <w:spacing w:after="0" w:before="0" w:line="360" w:lineRule="auto"/>
        <w:jc w:val="both"/>
        <w:rPr/>
      </w:pPr>
      <w:r w:rsidDel="00000000" w:rsidR="00000000" w:rsidRPr="00000000">
        <w:rPr>
          <w:rtl w:val="0"/>
        </w:rPr>
        <w:t xml:space="preserve">El uso de modelos predictivos permite explorar estas matrices en profundidad y detectar patrones asociados al TDAH que podrían diferir según el sexo. Así, el presente trabajo se sitúa en la intersección entre neurociencia, psicología del desarrollo y ciencia de datos.</w:t>
      </w:r>
    </w:p>
    <w:p w:rsidR="00000000" w:rsidDel="00000000" w:rsidP="00000000" w:rsidRDefault="00000000" w:rsidRPr="00000000" w14:paraId="00000051">
      <w:pPr>
        <w:spacing w:after="0" w:before="0" w:line="360" w:lineRule="auto"/>
        <w:jc w:val="both"/>
        <w:rPr/>
      </w:pPr>
      <w:r w:rsidDel="00000000" w:rsidR="00000000" w:rsidRPr="00000000">
        <w:rPr>
          <w:rtl w:val="0"/>
        </w:rPr>
      </w:r>
    </w:p>
    <w:p w:rsidR="00000000" w:rsidDel="00000000" w:rsidP="00000000" w:rsidRDefault="00000000" w:rsidRPr="00000000" w14:paraId="00000052">
      <w:pPr>
        <w:spacing w:after="0" w:before="0" w:line="360" w:lineRule="auto"/>
        <w:jc w:val="both"/>
        <w:rPr>
          <w:i w:val="1"/>
          <w:iCs w:val="1"/>
        </w:rPr>
      </w:pPr>
      <w:r w:rsidDel="00000000" w:rsidR="00000000" w:rsidRPr="00000000">
        <w:rPr>
          <w:i w:val="1"/>
          <w:iCs w:val="1"/>
          <w:rtl w:val="0"/>
        </w:rPr>
        <w:t xml:space="preserve">1.4. Estructura general del documento</w:t>
      </w:r>
    </w:p>
    <w:p w:rsidR="00000000" w:rsidDel="00000000" w:rsidP="00000000" w:rsidRDefault="00000000" w:rsidRPr="00000000" w14:paraId="00000053">
      <w:pPr>
        <w:spacing w:after="0" w:before="0" w:line="360" w:lineRule="auto"/>
        <w:jc w:val="both"/>
        <w:rPr/>
      </w:pPr>
      <w:r w:rsidDel="00000000" w:rsidR="00000000" w:rsidRPr="00000000">
        <w:rPr>
          <w:rtl w:val="0"/>
        </w:rPr>
      </w:r>
    </w:p>
    <w:p w:rsidR="00000000" w:rsidDel="00000000" w:rsidP="00000000" w:rsidRDefault="00000000" w:rsidRPr="00000000" w14:paraId="00000054">
      <w:pPr>
        <w:numPr>
          <w:ilvl w:val="0"/>
          <w:numId w:val="17"/>
        </w:numPr>
        <w:spacing w:after="0" w:before="0" w:line="360" w:lineRule="auto"/>
        <w:ind w:left="720" w:hanging="360"/>
        <w:jc w:val="both"/>
        <w:rPr>
          <w:u w:val="none"/>
        </w:rPr>
      </w:pPr>
      <w:r w:rsidDel="00000000" w:rsidR="00000000" w:rsidRPr="00000000">
        <w:rPr>
          <w:rtl w:val="0"/>
        </w:rPr>
        <w:t xml:space="preserve">El trabajo se organiza en siete capítulos:</w:t>
      </w:r>
    </w:p>
    <w:p w:rsidR="00000000" w:rsidDel="00000000" w:rsidP="00000000" w:rsidRDefault="00000000" w:rsidRPr="00000000" w14:paraId="00000055">
      <w:pPr>
        <w:numPr>
          <w:ilvl w:val="0"/>
          <w:numId w:val="17"/>
        </w:numPr>
        <w:spacing w:after="0" w:before="0" w:line="360" w:lineRule="auto"/>
        <w:ind w:left="720" w:hanging="360"/>
        <w:jc w:val="both"/>
        <w:rPr>
          <w:u w:val="none"/>
        </w:rPr>
      </w:pPr>
      <w:r w:rsidDel="00000000" w:rsidR="00000000" w:rsidRPr="00000000">
        <w:rPr>
          <w:rtl w:val="0"/>
        </w:rPr>
        <w:t xml:space="preserve">El Capítulo 1 introduce el problema y su relevancia.</w:t>
      </w:r>
    </w:p>
    <w:p w:rsidR="00000000" w:rsidDel="00000000" w:rsidP="00000000" w:rsidRDefault="00000000" w:rsidRPr="00000000" w14:paraId="00000056">
      <w:pPr>
        <w:numPr>
          <w:ilvl w:val="0"/>
          <w:numId w:val="17"/>
        </w:numPr>
        <w:spacing w:after="0" w:before="0" w:line="360" w:lineRule="auto"/>
        <w:ind w:left="720" w:hanging="360"/>
        <w:jc w:val="both"/>
        <w:rPr>
          <w:u w:val="none"/>
        </w:rPr>
      </w:pPr>
      <w:r w:rsidDel="00000000" w:rsidR="00000000" w:rsidRPr="00000000">
        <w:rPr>
          <w:rtl w:val="0"/>
        </w:rPr>
        <w:t xml:space="preserve">El Capítulo 2 presenta la justificación y el planteamiento del problema.</w:t>
      </w:r>
    </w:p>
    <w:p w:rsidR="00000000" w:rsidDel="00000000" w:rsidP="00000000" w:rsidRDefault="00000000" w:rsidRPr="00000000" w14:paraId="00000057">
      <w:pPr>
        <w:numPr>
          <w:ilvl w:val="0"/>
          <w:numId w:val="17"/>
        </w:numPr>
        <w:spacing w:after="0" w:before="0" w:line="360" w:lineRule="auto"/>
        <w:ind w:left="720" w:hanging="360"/>
        <w:jc w:val="both"/>
        <w:rPr>
          <w:u w:val="none"/>
        </w:rPr>
      </w:pPr>
      <w:r w:rsidDel="00000000" w:rsidR="00000000" w:rsidRPr="00000000">
        <w:rPr>
          <w:rtl w:val="0"/>
        </w:rPr>
        <w:t xml:space="preserve">El Capítulo 3 desarrolla el estado del arte y el marco teórico.</w:t>
      </w:r>
    </w:p>
    <w:p w:rsidR="00000000" w:rsidDel="00000000" w:rsidP="00000000" w:rsidRDefault="00000000" w:rsidRPr="00000000" w14:paraId="00000058">
      <w:pPr>
        <w:numPr>
          <w:ilvl w:val="0"/>
          <w:numId w:val="17"/>
        </w:numPr>
        <w:spacing w:after="0" w:before="0" w:line="360" w:lineRule="auto"/>
        <w:ind w:left="720" w:hanging="360"/>
        <w:jc w:val="both"/>
        <w:rPr>
          <w:u w:val="none"/>
        </w:rPr>
      </w:pPr>
      <w:r w:rsidDel="00000000" w:rsidR="00000000" w:rsidRPr="00000000">
        <w:rPr>
          <w:rtl w:val="0"/>
        </w:rPr>
        <w:t xml:space="preserve">El Capítulo 4 describe la metodología, incluyendo el dataset, variables, preprocesamiento y modelos.</w:t>
      </w:r>
    </w:p>
    <w:p w:rsidR="00000000" w:rsidDel="00000000" w:rsidP="00000000" w:rsidRDefault="00000000" w:rsidRPr="00000000" w14:paraId="00000059">
      <w:pPr>
        <w:numPr>
          <w:ilvl w:val="0"/>
          <w:numId w:val="17"/>
        </w:numPr>
        <w:spacing w:after="0" w:before="0" w:line="360" w:lineRule="auto"/>
        <w:ind w:left="720" w:hanging="360"/>
        <w:jc w:val="both"/>
        <w:rPr>
          <w:u w:val="none"/>
        </w:rPr>
      </w:pPr>
      <w:r w:rsidDel="00000000" w:rsidR="00000000" w:rsidRPr="00000000">
        <w:rPr>
          <w:rtl w:val="0"/>
        </w:rPr>
        <w:t xml:space="preserve">Los Capítulos 5 y 6 analizan los resultados y su discusión.</w:t>
      </w:r>
    </w:p>
    <w:p w:rsidR="00000000" w:rsidDel="00000000" w:rsidP="00000000" w:rsidRDefault="00000000" w:rsidRPr="00000000" w14:paraId="0000005A">
      <w:pPr>
        <w:numPr>
          <w:ilvl w:val="0"/>
          <w:numId w:val="17"/>
        </w:numPr>
        <w:spacing w:after="0" w:before="0" w:line="360" w:lineRule="auto"/>
        <w:ind w:left="720" w:hanging="360"/>
        <w:jc w:val="both"/>
        <w:rPr>
          <w:u w:val="none"/>
        </w:rPr>
      </w:pPr>
      <w:r w:rsidDel="00000000" w:rsidR="00000000" w:rsidRPr="00000000">
        <w:rPr>
          <w:rtl w:val="0"/>
        </w:rPr>
        <w:t xml:space="preserve">El Capítulo 7 expone las conclusiones y futuras líneas de investigación.</w:t>
      </w:r>
    </w:p>
    <w:p w:rsidR="00000000" w:rsidDel="00000000" w:rsidP="00000000" w:rsidRDefault="00000000" w:rsidRPr="00000000" w14:paraId="0000005B">
      <w:pPr>
        <w:spacing w:after="0" w:before="0" w:line="360" w:lineRule="auto"/>
        <w:jc w:val="both"/>
        <w:rPr/>
      </w:pPr>
      <w:r w:rsidDel="00000000" w:rsidR="00000000" w:rsidRPr="00000000">
        <w:rPr>
          <w:rtl w:val="0"/>
        </w:rPr>
      </w:r>
    </w:p>
    <w:p w:rsidR="00000000" w:rsidDel="00000000" w:rsidP="00000000" w:rsidRDefault="00000000" w:rsidRPr="00000000" w14:paraId="0000005C">
      <w:pPr>
        <w:spacing w:after="0" w:before="0" w:line="360" w:lineRule="auto"/>
        <w:jc w:val="both"/>
        <w:rPr>
          <w:b w:val="1"/>
          <w:bCs w:val="1"/>
          <w:sz w:val="26"/>
          <w:szCs w:val="26"/>
        </w:rPr>
      </w:pPr>
      <w:r w:rsidDel="00000000" w:rsidR="00000000" w:rsidRPr="00000000">
        <w:rPr>
          <w:b w:val="1"/>
          <w:bCs w:val="1"/>
          <w:sz w:val="26"/>
          <w:szCs w:val="26"/>
          <w:rtl w:val="0"/>
        </w:rPr>
        <w:t xml:space="preserve">Capítulo 2. Justificación y planteamiento del problema</w:t>
      </w:r>
    </w:p>
    <w:p w:rsidR="00000000" w:rsidDel="00000000" w:rsidP="00000000" w:rsidRDefault="00000000" w:rsidRPr="00000000" w14:paraId="0000005D">
      <w:pPr>
        <w:spacing w:after="0" w:before="0" w:line="360" w:lineRule="auto"/>
        <w:jc w:val="both"/>
        <w:rPr>
          <w:i w:val="1"/>
          <w:iCs w:val="1"/>
        </w:rPr>
      </w:pPr>
      <w:r w:rsidDel="00000000" w:rsidR="00000000" w:rsidRPr="00000000">
        <w:rPr>
          <w:i w:val="1"/>
          <w:iCs w:val="1"/>
          <w:rtl w:val="0"/>
        </w:rPr>
        <w:t xml:space="preserve">2.1. Relevancia social y científica del tema</w:t>
      </w:r>
    </w:p>
    <w:p w:rsidR="00000000" w:rsidDel="00000000" w:rsidP="00000000" w:rsidRDefault="00000000" w:rsidRPr="00000000" w14:paraId="0000005E">
      <w:pPr>
        <w:spacing w:after="0" w:before="0" w:line="360" w:lineRule="auto"/>
        <w:jc w:val="both"/>
        <w:rPr/>
      </w:pPr>
      <w:r w:rsidDel="00000000" w:rsidR="00000000" w:rsidRPr="00000000">
        <w:rPr>
          <w:rtl w:val="0"/>
        </w:rPr>
      </w:r>
    </w:p>
    <w:p w:rsidR="00000000" w:rsidDel="00000000" w:rsidP="00000000" w:rsidRDefault="00000000" w:rsidRPr="00000000" w14:paraId="0000005F">
      <w:pPr>
        <w:spacing w:after="0" w:before="0" w:line="360" w:lineRule="auto"/>
        <w:jc w:val="both"/>
        <w:rPr/>
      </w:pPr>
      <w:r w:rsidDel="00000000" w:rsidR="00000000" w:rsidRPr="00000000">
        <w:rPr>
          <w:rtl w:val="0"/>
        </w:rPr>
        <w:t xml:space="preserve">La subdetección del TDAH en niñas y adolescentes representa un problema clínico, educativo y social. Las diferencias en la expresión sintomática, unidas a sesgos diagnósticos tradicionales, influyen en la identificación tardía o inexistente del trastorno en mujeres. Históricamente, el TDAH ha sido conceptualizado desde una perspectiva androcéntrica, lo que ha dificultado la inclusión de perfiles femeninos en las muestras clínicas iniciales.</w:t>
      </w:r>
    </w:p>
    <w:p w:rsidR="00000000" w:rsidDel="00000000" w:rsidP="00000000" w:rsidRDefault="00000000" w:rsidRPr="00000000" w14:paraId="00000060">
      <w:pPr>
        <w:spacing w:after="0" w:before="0" w:line="360" w:lineRule="auto"/>
        <w:jc w:val="both"/>
        <w:rPr/>
      </w:pPr>
      <w:r w:rsidDel="00000000" w:rsidR="00000000" w:rsidRPr="00000000">
        <w:rPr>
          <w:rtl w:val="0"/>
        </w:rPr>
      </w:r>
    </w:p>
    <w:p w:rsidR="00000000" w:rsidDel="00000000" w:rsidP="00000000" w:rsidRDefault="00000000" w:rsidRPr="00000000" w14:paraId="00000061">
      <w:pPr>
        <w:spacing w:after="0" w:before="0" w:line="360" w:lineRule="auto"/>
        <w:jc w:val="both"/>
        <w:rPr/>
      </w:pPr>
      <w:r w:rsidDel="00000000" w:rsidR="00000000" w:rsidRPr="00000000">
        <w:rPr>
          <w:rtl w:val="0"/>
        </w:rPr>
        <w:t xml:space="preserve">Desde una perspectiva científica, la neuroimagen funcional permite acceder a marcadores cerebrales que podrían estar modulados o diferenciados por el sexo biológico. Explorar estos patrones podría mejorar los criterios diagnósticos y contribuir a un abordaje más equitativo en psicología del desarrollo.</w:t>
      </w:r>
    </w:p>
    <w:p w:rsidR="00000000" w:rsidDel="00000000" w:rsidP="00000000" w:rsidRDefault="00000000" w:rsidRPr="00000000" w14:paraId="00000062">
      <w:pPr>
        <w:spacing w:after="0" w:before="0" w:line="360" w:lineRule="auto"/>
        <w:jc w:val="both"/>
        <w:rPr/>
      </w:pPr>
      <w:r w:rsidDel="00000000" w:rsidR="00000000" w:rsidRPr="00000000">
        <w:rPr>
          <w:rtl w:val="0"/>
        </w:rPr>
      </w:r>
    </w:p>
    <w:p w:rsidR="00000000" w:rsidDel="00000000" w:rsidP="00000000" w:rsidRDefault="00000000" w:rsidRPr="00000000" w14:paraId="00000063">
      <w:pPr>
        <w:spacing w:after="0" w:before="0" w:line="360" w:lineRule="auto"/>
        <w:jc w:val="both"/>
        <w:rPr>
          <w:i w:val="1"/>
          <w:iCs w:val="1"/>
        </w:rPr>
      </w:pPr>
      <w:r w:rsidDel="00000000" w:rsidR="00000000" w:rsidRPr="00000000">
        <w:rPr>
          <w:i w:val="1"/>
          <w:iCs w:val="1"/>
          <w:rtl w:val="0"/>
        </w:rPr>
        <w:t xml:space="preserve">2.2. Problema de investigación:</w:t>
      </w:r>
    </w:p>
    <w:p w:rsidR="00000000" w:rsidDel="00000000" w:rsidP="00000000" w:rsidRDefault="00000000" w:rsidRPr="00000000" w14:paraId="00000064">
      <w:pPr>
        <w:spacing w:after="0" w:before="0" w:line="360" w:lineRule="auto"/>
        <w:jc w:val="both"/>
        <w:rPr/>
      </w:pPr>
      <w:r w:rsidDel="00000000" w:rsidR="00000000" w:rsidRPr="00000000">
        <w:rPr>
          <w:rtl w:val="0"/>
        </w:rPr>
      </w:r>
    </w:p>
    <w:p w:rsidR="00000000" w:rsidDel="00000000" w:rsidP="00000000" w:rsidRDefault="00000000" w:rsidRPr="00000000" w14:paraId="00000065">
      <w:pPr>
        <w:numPr>
          <w:ilvl w:val="0"/>
          <w:numId w:val="9"/>
        </w:numPr>
        <w:spacing w:after="0" w:before="0" w:line="360" w:lineRule="auto"/>
        <w:ind w:left="720" w:hanging="360"/>
        <w:jc w:val="both"/>
        <w:rPr>
          <w:u w:val="none"/>
        </w:rPr>
      </w:pPr>
      <w:r w:rsidDel="00000000" w:rsidR="00000000" w:rsidRPr="00000000">
        <w:rPr>
          <w:rtl w:val="0"/>
        </w:rPr>
        <w:t xml:space="preserve">¿Existen diferencias en los patrones de conectividad funcional cerebral asociados al TDAH entre varones y mujeres que puedan explicar la subdetección del trastorno en población femenina?</w:t>
      </w:r>
    </w:p>
    <w:p w:rsidR="00000000" w:rsidDel="00000000" w:rsidP="00000000" w:rsidRDefault="00000000" w:rsidRPr="00000000" w14:paraId="00000066">
      <w:pPr>
        <w:spacing w:after="0" w:before="0" w:line="360" w:lineRule="auto"/>
        <w:jc w:val="both"/>
        <w:rPr/>
      </w:pPr>
      <w:r w:rsidDel="00000000" w:rsidR="00000000" w:rsidRPr="00000000">
        <w:rPr>
          <w:rtl w:val="0"/>
        </w:rPr>
      </w:r>
    </w:p>
    <w:p w:rsidR="00000000" w:rsidDel="00000000" w:rsidP="00000000" w:rsidRDefault="00000000" w:rsidRPr="00000000" w14:paraId="00000067">
      <w:pPr>
        <w:spacing w:after="0" w:before="0" w:line="360" w:lineRule="auto"/>
        <w:jc w:val="both"/>
        <w:rPr>
          <w:i w:val="1"/>
          <w:iCs w:val="1"/>
        </w:rPr>
      </w:pPr>
      <w:r w:rsidDel="00000000" w:rsidR="00000000" w:rsidRPr="00000000">
        <w:rPr>
          <w:i w:val="1"/>
          <w:iCs w:val="1"/>
          <w:rtl w:val="0"/>
        </w:rPr>
        <w:t xml:space="preserve">2.3. Preguntas de investigación:</w:t>
      </w:r>
    </w:p>
    <w:p w:rsidR="00000000" w:rsidDel="00000000" w:rsidP="00000000" w:rsidRDefault="00000000" w:rsidRPr="00000000" w14:paraId="00000068">
      <w:pPr>
        <w:spacing w:after="0" w:before="0" w:line="360" w:lineRule="auto"/>
        <w:jc w:val="both"/>
        <w:rPr>
          <w:i w:val="1"/>
          <w:iCs w:val="1"/>
        </w:rPr>
      </w:pPr>
      <w:r w:rsidDel="00000000" w:rsidR="00000000" w:rsidRPr="00000000">
        <w:rPr>
          <w:rtl w:val="0"/>
        </w:rPr>
      </w:r>
    </w:p>
    <w:p w:rsidR="00000000" w:rsidDel="00000000" w:rsidP="00000000" w:rsidRDefault="00000000" w:rsidRPr="00000000" w14:paraId="00000069">
      <w:pPr>
        <w:numPr>
          <w:ilvl w:val="0"/>
          <w:numId w:val="14"/>
        </w:numPr>
        <w:spacing w:after="0" w:before="0" w:line="360" w:lineRule="auto"/>
        <w:ind w:left="720" w:hanging="360"/>
        <w:jc w:val="both"/>
        <w:rPr>
          <w:u w:val="none"/>
        </w:rPr>
      </w:pPr>
      <w:r w:rsidDel="00000000" w:rsidR="00000000" w:rsidRPr="00000000">
        <w:rPr>
          <w:rtl w:val="0"/>
        </w:rPr>
        <w:t xml:space="preserve">¿Qué diferencias neurofuncionales presentan varones y mujeres con diagnóstico de TDAH?</w:t>
      </w:r>
    </w:p>
    <w:p w:rsidR="00000000" w:rsidDel="00000000" w:rsidP="00000000" w:rsidRDefault="00000000" w:rsidRPr="00000000" w14:paraId="0000006A">
      <w:pPr>
        <w:numPr>
          <w:ilvl w:val="0"/>
          <w:numId w:val="14"/>
        </w:numPr>
        <w:spacing w:after="0" w:before="0" w:line="360" w:lineRule="auto"/>
        <w:ind w:left="720" w:hanging="360"/>
        <w:jc w:val="both"/>
        <w:rPr>
          <w:u w:val="none"/>
        </w:rPr>
      </w:pPr>
      <w:r w:rsidDel="00000000" w:rsidR="00000000" w:rsidRPr="00000000">
        <w:rPr>
          <w:rtl w:val="0"/>
        </w:rPr>
        <w:t xml:space="preserve">¿Los modelos predictivos basados en conectividad cerebral presentan sesgos de género?</w:t>
      </w:r>
    </w:p>
    <w:p w:rsidR="00000000" w:rsidDel="00000000" w:rsidP="00000000" w:rsidRDefault="00000000" w:rsidRPr="00000000" w14:paraId="0000006B">
      <w:pPr>
        <w:numPr>
          <w:ilvl w:val="0"/>
          <w:numId w:val="14"/>
        </w:numPr>
        <w:spacing w:after="0" w:before="0" w:line="360" w:lineRule="auto"/>
        <w:ind w:left="720" w:hanging="360"/>
        <w:jc w:val="both"/>
        <w:rPr>
          <w:u w:val="none"/>
        </w:rPr>
      </w:pPr>
      <w:r w:rsidDel="00000000" w:rsidR="00000000" w:rsidRPr="00000000">
        <w:rPr>
          <w:rtl w:val="0"/>
        </w:rPr>
        <w:t xml:space="preserve">¿Existen marcadores de conectividad funcional que puedan caracterizar de manera más precisa el TDAH femenino?</w:t>
      </w:r>
    </w:p>
    <w:p w:rsidR="00000000" w:rsidDel="00000000" w:rsidP="00000000" w:rsidRDefault="00000000" w:rsidRPr="00000000" w14:paraId="0000006C">
      <w:pPr>
        <w:spacing w:after="0" w:before="0" w:line="360" w:lineRule="auto"/>
        <w:jc w:val="both"/>
        <w:rPr/>
      </w:pPr>
      <w:r w:rsidDel="00000000" w:rsidR="00000000" w:rsidRPr="00000000">
        <w:rPr>
          <w:rtl w:val="0"/>
        </w:rPr>
      </w:r>
    </w:p>
    <w:p w:rsidR="00000000" w:rsidDel="00000000" w:rsidP="00000000" w:rsidRDefault="00000000" w:rsidRPr="00000000" w14:paraId="0000006D">
      <w:pPr>
        <w:spacing w:after="0" w:before="0" w:line="360" w:lineRule="auto"/>
        <w:jc w:val="both"/>
        <w:rPr>
          <w:i w:val="1"/>
          <w:iCs w:val="1"/>
        </w:rPr>
      </w:pPr>
      <w:r w:rsidDel="00000000" w:rsidR="00000000" w:rsidRPr="00000000">
        <w:rPr>
          <w:i w:val="1"/>
          <w:iCs w:val="1"/>
          <w:rtl w:val="0"/>
        </w:rPr>
        <w:t xml:space="preserve">2.4. Limitaciones y alcances del estudio:</w:t>
      </w:r>
    </w:p>
    <w:p w:rsidR="00000000" w:rsidDel="00000000" w:rsidP="00000000" w:rsidRDefault="00000000" w:rsidRPr="00000000" w14:paraId="0000006E">
      <w:pPr>
        <w:spacing w:after="0" w:before="0" w:line="360" w:lineRule="auto"/>
        <w:jc w:val="both"/>
        <w:rPr/>
      </w:pPr>
      <w:r w:rsidDel="00000000" w:rsidR="00000000" w:rsidRPr="00000000">
        <w:rPr>
          <w:rtl w:val="0"/>
        </w:rPr>
      </w:r>
    </w:p>
    <w:p w:rsidR="00000000" w:rsidDel="00000000" w:rsidP="00000000" w:rsidRDefault="00000000" w:rsidRPr="00000000" w14:paraId="0000006F">
      <w:pPr>
        <w:spacing w:after="0" w:before="0" w:line="360" w:lineRule="auto"/>
        <w:jc w:val="both"/>
        <w:rPr/>
      </w:pPr>
      <w:r w:rsidDel="00000000" w:rsidR="00000000" w:rsidRPr="00000000">
        <w:rPr>
          <w:rtl w:val="0"/>
        </w:rPr>
        <w:t xml:space="preserve">El estudio utiliza un dataset público previamente adquirido, por lo que no es posible controlar las condiciones de recolección. Asimismo, no se realizan intervenciones experimentales, por lo que las conclusiones derivarán de análisis estadísticos y predictivos.</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keepNext w:val="0"/>
        <w:keepLines w:val="0"/>
        <w:spacing w:after="0" w:before="0" w:line="360" w:lineRule="auto"/>
        <w:rPr>
          <w:b w:val="1"/>
          <w:bCs w:val="1"/>
          <w:sz w:val="24"/>
          <w:szCs w:val="24"/>
        </w:rPr>
      </w:pPr>
      <w:r w:rsidDel="00000000" w:rsidR="00000000" w:rsidRPr="00000000">
        <w:rPr>
          <w:b w:val="1"/>
          <w:bCs w:val="1"/>
          <w:sz w:val="24"/>
          <w:szCs w:val="24"/>
          <w:rtl w:val="0"/>
        </w:rPr>
        <w:t xml:space="preserve">Capítulo 3. Estado del arte (Marco teórico)</w:t>
      </w:r>
    </w:p>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keepNext w:val="0"/>
        <w:keepLines w:val="0"/>
        <w:spacing w:after="0" w:before="0" w:line="360" w:lineRule="auto"/>
        <w:rPr>
          <w:i w:val="1"/>
          <w:iCs w:val="1"/>
        </w:rPr>
      </w:pPr>
      <w:r w:rsidDel="00000000" w:rsidR="00000000" w:rsidRPr="00000000">
        <w:rPr>
          <w:i w:val="1"/>
          <w:iCs w:val="1"/>
          <w:rtl w:val="0"/>
        </w:rPr>
        <w:t xml:space="preserve">3.1. Neuropsicología del TDAH: bases cognitivas y cerebrales:</w:t>
      </w:r>
    </w:p>
    <w:p w:rsidR="00000000" w:rsidDel="00000000" w:rsidP="00000000" w:rsidRDefault="00000000" w:rsidRPr="00000000" w14:paraId="00000074">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075">
      <w:pPr>
        <w:spacing w:after="0" w:before="0" w:line="360" w:lineRule="auto"/>
        <w:jc w:val="both"/>
        <w:rPr/>
      </w:pPr>
      <w:r w:rsidDel="00000000" w:rsidR="00000000" w:rsidRPr="00000000">
        <w:rPr>
          <w:rtl w:val="0"/>
        </w:rPr>
        <w:t xml:space="preserve">El Trastorno por Déficit de Atención e Hiperactividad (TDAH) ha sido ampliamente estudiado desde la neuropsicología del desarrollo. La literatura coincide en que el trastorno se asocia con alteraciones en funciones ejecutivas clave, como la atención sostenida, el control inhibitorio, la memoria de trabajo y la regulación emocional (Rubia, 2018). Estas funciones dependen de la maduración de redes fronto-estriatales y fronto-parietales, cuya organización funcional se encuentra desregulada en individuos con TDAH.</w:t>
      </w:r>
    </w:p>
    <w:p w:rsidR="00000000" w:rsidDel="00000000" w:rsidP="00000000" w:rsidRDefault="00000000" w:rsidRPr="00000000" w14:paraId="00000076">
      <w:pPr>
        <w:spacing w:after="0" w:before="0" w:line="360" w:lineRule="auto"/>
        <w:jc w:val="both"/>
        <w:rPr/>
      </w:pPr>
      <w:r w:rsidDel="00000000" w:rsidR="00000000" w:rsidRPr="00000000">
        <w:rPr>
          <w:rtl w:val="0"/>
        </w:rPr>
        <w:t xml:space="preserve">Los estudios de neuroimagen estructural y funcional han demostrado consistentemente diferencias en la activación de la corteza prefrontal dorsolateral, la corteza cingulada anterior, el cuerpo estriado y el cerebelo (Albajara Sáenz et al., 2019). Estas regiones forman parte de los circuitos implicados en la autorregulación cognitiva y conductual, y suelen mostrar patrones de actividad menos eficientes en tareas que requieren inhibición de respuestas o atención focalizada (Noordermeer et al., 2016).</w:t>
      </w:r>
    </w:p>
    <w:p w:rsidR="00000000" w:rsidDel="00000000" w:rsidP="00000000" w:rsidRDefault="00000000" w:rsidRPr="00000000" w14:paraId="00000077">
      <w:pPr>
        <w:spacing w:after="0" w:before="0" w:line="360" w:lineRule="auto"/>
        <w:jc w:val="both"/>
        <w:rPr/>
      </w:pPr>
      <w:r w:rsidDel="00000000" w:rsidR="00000000" w:rsidRPr="00000000">
        <w:rPr>
          <w:rtl w:val="0"/>
        </w:rPr>
        <w:t xml:space="preserve">La conectividad funcional, evaluada mediante resonancia magnética funcional (fMRI), ha permitido describir el TDAH como un trastorno de redes más que de regiones aisladas. En particular, se observa una interacción atípica entre la red ejecutiva central (</w:t>
      </w:r>
      <w:r w:rsidDel="00000000" w:rsidR="00000000" w:rsidRPr="00000000">
        <w:rPr>
          <w:i w:val="1"/>
          <w:iCs w:val="1"/>
          <w:rtl w:val="0"/>
        </w:rPr>
        <w:t xml:space="preserve">Central Executive Network</w:t>
      </w:r>
      <w:r w:rsidDel="00000000" w:rsidR="00000000" w:rsidRPr="00000000">
        <w:rPr>
          <w:rtl w:val="0"/>
        </w:rPr>
        <w:t xml:space="preserve">, CEN), la red por defecto (</w:t>
      </w:r>
      <w:r w:rsidDel="00000000" w:rsidR="00000000" w:rsidRPr="00000000">
        <w:rPr>
          <w:i w:val="1"/>
          <w:iCs w:val="1"/>
          <w:rtl w:val="0"/>
        </w:rPr>
        <w:t xml:space="preserve">Default Mode Network</w:t>
      </w:r>
      <w:r w:rsidDel="00000000" w:rsidR="00000000" w:rsidRPr="00000000">
        <w:rPr>
          <w:rtl w:val="0"/>
        </w:rPr>
        <w:t xml:space="preserve">, DMN) y la red de saliencia. La DMN suele presentar intrusiones durante tareas que requieren atención, lo cual coincide con la dificultad para mantener la concentración (Rubia, 2018).</w:t>
      </w:r>
    </w:p>
    <w:p w:rsidR="00000000" w:rsidDel="00000000" w:rsidP="00000000" w:rsidRDefault="00000000" w:rsidRPr="00000000" w14:paraId="00000078">
      <w:pPr>
        <w:spacing w:after="0" w:before="0" w:line="360" w:lineRule="auto"/>
        <w:jc w:val="both"/>
        <w:rPr/>
      </w:pPr>
      <w:r w:rsidDel="00000000" w:rsidR="00000000" w:rsidRPr="00000000">
        <w:rPr>
          <w:rtl w:val="0"/>
        </w:rPr>
        <w:t xml:space="preserve">Finalmente, investigaciones longitudinales indican una maduración cortical retrasada en niños con TDAH, especialmente en regiones frontales. Este desfase neurodesarrollativo podría explicar tanto la sintomatología como la heterogeneidad del trastorno.</w:t>
      </w:r>
    </w:p>
    <w:p w:rsidR="00000000" w:rsidDel="00000000" w:rsidP="00000000" w:rsidRDefault="00000000" w:rsidRPr="00000000" w14:paraId="00000079">
      <w:pPr>
        <w:spacing w:after="0" w:before="0" w:line="360" w:lineRule="auto"/>
        <w:rPr/>
      </w:pPr>
      <w:r w:rsidDel="00000000" w:rsidR="00000000" w:rsidRPr="00000000">
        <w:rPr>
          <w:rtl w:val="0"/>
        </w:rPr>
      </w:r>
    </w:p>
    <w:p w:rsidR="00000000" w:rsidDel="00000000" w:rsidP="00000000" w:rsidRDefault="00000000" w:rsidRPr="00000000" w14:paraId="0000007A">
      <w:pPr>
        <w:keepNext w:val="0"/>
        <w:keepLines w:val="0"/>
        <w:spacing w:after="0" w:before="0" w:line="360" w:lineRule="auto"/>
        <w:rPr>
          <w:i w:val="1"/>
          <w:iCs w:val="1"/>
        </w:rPr>
      </w:pPr>
      <w:r w:rsidDel="00000000" w:rsidR="00000000" w:rsidRPr="00000000">
        <w:rPr>
          <w:i w:val="1"/>
          <w:iCs w:val="1"/>
          <w:rtl w:val="0"/>
        </w:rPr>
        <w:t xml:space="preserve">3.2. Sesgo de género y diagnóstico en psicología clínica</w:t>
      </w:r>
    </w:p>
    <w:p w:rsidR="00000000" w:rsidDel="00000000" w:rsidP="00000000" w:rsidRDefault="00000000" w:rsidRPr="00000000" w14:paraId="0000007B">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07C">
      <w:pPr>
        <w:spacing w:after="0" w:before="0" w:line="360" w:lineRule="auto"/>
        <w:jc w:val="both"/>
        <w:rPr/>
      </w:pPr>
      <w:r w:rsidDel="00000000" w:rsidR="00000000" w:rsidRPr="00000000">
        <w:rPr>
          <w:rtl w:val="0"/>
        </w:rPr>
        <w:t xml:space="preserve">La literatura evidencia un importante sesgo de género en el diagnóstico del TDAH. Históricamente, los criterios clínicos fueron elaborados a partir de muestras predominantemente masculinas, lo que contribuyó a una conceptualización del trastorno centrada en la hiperactividad y la impulsividad (Martin, 2024). En consecuencia, el subtipo inatento —más común en niñas— ha sido subrepresentado en investigaciones y en la práctica clínica.</w:t>
      </w:r>
    </w:p>
    <w:p w:rsidR="00000000" w:rsidDel="00000000" w:rsidP="00000000" w:rsidRDefault="00000000" w:rsidRPr="00000000" w14:paraId="0000007D">
      <w:pPr>
        <w:spacing w:after="0" w:before="0" w:line="360" w:lineRule="auto"/>
        <w:jc w:val="both"/>
        <w:rPr/>
      </w:pPr>
      <w:r w:rsidDel="00000000" w:rsidR="00000000" w:rsidRPr="00000000">
        <w:rPr>
          <w:rtl w:val="0"/>
        </w:rPr>
        <w:t xml:space="preserve">Las niñas tienden a presentar síntomas más internalizados, como dificultades atencionales, desorganización y baja motivación, mientras que los varones suelen manifestar conductas más disruptivas. Este patrón ha favorecido que los docentes, familias y profesionales detecten más fácilmente a los varones, generando una brecha diagnóstica persistente (Slobodin &amp; Davidovitch, 2019).</w:t>
      </w:r>
    </w:p>
    <w:p w:rsidR="00000000" w:rsidDel="00000000" w:rsidP="00000000" w:rsidRDefault="00000000" w:rsidRPr="00000000" w14:paraId="0000007E">
      <w:pPr>
        <w:spacing w:after="0" w:before="0" w:line="360" w:lineRule="auto"/>
        <w:jc w:val="both"/>
        <w:rPr/>
      </w:pPr>
      <w:r w:rsidDel="00000000" w:rsidR="00000000" w:rsidRPr="00000000">
        <w:rPr>
          <w:rtl w:val="0"/>
        </w:rPr>
        <w:t xml:space="preserve">La subdetección del TDAH femenino tiene repercusiones significativas: mayores tasas de ansiedad, depresión, rendimiento académico reducido y dificultades sociales (Attoe et al., 2023). Las mujeres diagnosticadas tardíamente reportan mayor carga emocional y menor acceso a intervenciones tempranas.</w:t>
      </w:r>
    </w:p>
    <w:p w:rsidR="00000000" w:rsidDel="00000000" w:rsidP="00000000" w:rsidRDefault="00000000" w:rsidRPr="00000000" w14:paraId="0000007F">
      <w:pPr>
        <w:spacing w:after="0" w:before="0" w:line="360" w:lineRule="auto"/>
        <w:jc w:val="both"/>
        <w:rPr/>
      </w:pPr>
      <w:r w:rsidDel="00000000" w:rsidR="00000000" w:rsidRPr="00000000">
        <w:rPr>
          <w:rtl w:val="0"/>
        </w:rPr>
        <w:t xml:space="preserve">Un metaanálisis reciente muestra que las diferencias de sexo no sólo se manifiestan a nivel conductual, sino también en la severidad y el patrón de síntomas, lo cual subraya la necesidad de incorporar una perspectiva de género en la evaluación clínica (Young et al., 2025).</w:t>
      </w:r>
    </w:p>
    <w:p w:rsidR="00000000" w:rsidDel="00000000" w:rsidP="00000000" w:rsidRDefault="00000000" w:rsidRPr="00000000" w14:paraId="00000080">
      <w:pPr>
        <w:spacing w:after="0" w:before="0" w:line="360" w:lineRule="auto"/>
        <w:jc w:val="both"/>
        <w:rPr/>
      </w:pPr>
      <w:r w:rsidDel="00000000" w:rsidR="00000000" w:rsidRPr="00000000">
        <w:rPr>
          <w:rtl w:val="0"/>
        </w:rPr>
        <w:t xml:space="preserve">En síntesis, el sesgo de género afecta la comprensión, evaluación y tratamiento del TDAH, y constituye una justificación central para el presente estudio.</w:t>
      </w:r>
    </w:p>
    <w:p w:rsidR="00000000" w:rsidDel="00000000" w:rsidP="00000000" w:rsidRDefault="00000000" w:rsidRPr="00000000" w14:paraId="00000081">
      <w:pPr>
        <w:spacing w:after="0" w:before="0" w:line="360" w:lineRule="auto"/>
        <w:rPr/>
      </w:pPr>
      <w:r w:rsidDel="00000000" w:rsidR="00000000" w:rsidRPr="00000000">
        <w:rPr>
          <w:rtl w:val="0"/>
        </w:rPr>
      </w:r>
    </w:p>
    <w:p w:rsidR="00000000" w:rsidDel="00000000" w:rsidP="00000000" w:rsidRDefault="00000000" w:rsidRPr="00000000" w14:paraId="00000082">
      <w:pPr>
        <w:keepNext w:val="0"/>
        <w:keepLines w:val="0"/>
        <w:spacing w:after="0" w:before="0" w:line="360" w:lineRule="auto"/>
        <w:rPr>
          <w:i w:val="1"/>
          <w:iCs w:val="1"/>
        </w:rPr>
      </w:pPr>
      <w:r w:rsidDel="00000000" w:rsidR="00000000" w:rsidRPr="00000000">
        <w:rPr>
          <w:i w:val="1"/>
          <w:iCs w:val="1"/>
          <w:rtl w:val="0"/>
        </w:rPr>
        <w:t xml:space="preserve">3.3. Aplicaciones de machine learning en neurociencia cognitiva</w:t>
      </w:r>
    </w:p>
    <w:p w:rsidR="00000000" w:rsidDel="00000000" w:rsidP="00000000" w:rsidRDefault="00000000" w:rsidRPr="00000000" w14:paraId="00000083">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084">
      <w:pPr>
        <w:spacing w:after="0" w:before="0" w:line="360" w:lineRule="auto"/>
        <w:jc w:val="both"/>
        <w:rPr/>
      </w:pPr>
      <w:r w:rsidDel="00000000" w:rsidR="00000000" w:rsidRPr="00000000">
        <w:rPr>
          <w:rtl w:val="0"/>
        </w:rPr>
        <w:t xml:space="preserve">Las técnicas de </w:t>
      </w:r>
      <w:r w:rsidDel="00000000" w:rsidR="00000000" w:rsidRPr="00000000">
        <w:rPr>
          <w:b w:val="1"/>
          <w:bCs w:val="1"/>
          <w:rtl w:val="0"/>
        </w:rPr>
        <w:t xml:space="preserve">machine learning</w:t>
      </w:r>
      <w:r w:rsidDel="00000000" w:rsidR="00000000" w:rsidRPr="00000000">
        <w:rPr>
          <w:rtl w:val="0"/>
        </w:rPr>
        <w:t xml:space="preserve"> (ML) han transformado el análisis de neuroimagen, permitiendo modelar relaciones complejas en datos de alta dimensionalidad, como los conectomas funcionales. Estas técnicas pueden capturar patrones no lineales y multivariados que los métodos estadísticos tradicionales no alcanzan a detectar (Varoquaux, 2014).</w:t>
      </w:r>
    </w:p>
    <w:p w:rsidR="00000000" w:rsidDel="00000000" w:rsidP="00000000" w:rsidRDefault="00000000" w:rsidRPr="00000000" w14:paraId="00000085">
      <w:pPr>
        <w:spacing w:after="0" w:before="0" w:line="360" w:lineRule="auto"/>
        <w:jc w:val="both"/>
        <w:rPr/>
      </w:pPr>
      <w:r w:rsidDel="00000000" w:rsidR="00000000" w:rsidRPr="00000000">
        <w:rPr>
          <w:rtl w:val="0"/>
        </w:rPr>
        <w:t xml:space="preserve">En neurociencia cognitiva, los algoritmos supervisados —como </w:t>
      </w:r>
      <w:r w:rsidDel="00000000" w:rsidR="00000000" w:rsidRPr="00000000">
        <w:rPr>
          <w:i w:val="1"/>
          <w:iCs w:val="1"/>
          <w:rtl w:val="0"/>
        </w:rPr>
        <w:t xml:space="preserve">Support Vector Machines</w:t>
      </w:r>
      <w:r w:rsidDel="00000000" w:rsidR="00000000" w:rsidRPr="00000000">
        <w:rPr>
          <w:rtl w:val="0"/>
        </w:rPr>
        <w:t xml:space="preserve"> (SVM), </w:t>
      </w:r>
      <w:r w:rsidDel="00000000" w:rsidR="00000000" w:rsidRPr="00000000">
        <w:rPr>
          <w:i w:val="1"/>
          <w:iCs w:val="1"/>
          <w:rtl w:val="0"/>
        </w:rPr>
        <w:t xml:space="preserve">Random Forests</w:t>
      </w:r>
      <w:r w:rsidDel="00000000" w:rsidR="00000000" w:rsidRPr="00000000">
        <w:rPr>
          <w:rtl w:val="0"/>
        </w:rPr>
        <w:t xml:space="preserve"> y redes neuronales— han demostrado ser efectivos en la clasificación de trastornos neuropsiquiátricos a partir de fMRI. Su capacidad para manejar miles de características simultáneamente resulta especialmente útil en estudios de conectividad cerebral (Badrulhisham et al., 2024).</w:t>
      </w:r>
    </w:p>
    <w:p w:rsidR="00000000" w:rsidDel="00000000" w:rsidP="00000000" w:rsidRDefault="00000000" w:rsidRPr="00000000" w14:paraId="00000086">
      <w:pPr>
        <w:spacing w:after="0" w:before="0" w:line="360" w:lineRule="auto"/>
        <w:jc w:val="both"/>
        <w:rPr/>
      </w:pPr>
      <w:r w:rsidDel="00000000" w:rsidR="00000000" w:rsidRPr="00000000">
        <w:rPr>
          <w:rtl w:val="0"/>
        </w:rPr>
        <w:t xml:space="preserve">Asimismo, las técnicas de explicabilidad de modelos, como SHAP o LIME, han ganado relevancia en neurociencia, ya que permiten interpretar qué conexiones cerebrales contribuyen de forma más significativa a una predicción (Li et al., 2023). Esto abre la puerta a identificar biomarcadores funcionales más precisos y orientados a la clínica.</w:t>
      </w:r>
    </w:p>
    <w:p w:rsidR="00000000" w:rsidDel="00000000" w:rsidP="00000000" w:rsidRDefault="00000000" w:rsidRPr="00000000" w14:paraId="00000087">
      <w:pPr>
        <w:spacing w:after="0" w:before="0" w:line="360" w:lineRule="auto"/>
        <w:jc w:val="both"/>
        <w:rPr/>
      </w:pPr>
      <w:r w:rsidDel="00000000" w:rsidR="00000000" w:rsidRPr="00000000">
        <w:rPr>
          <w:rtl w:val="0"/>
        </w:rPr>
        <w:t xml:space="preserve">En el contexto del TDAH, el ML ofrece una oportunidad para explorar diferencias neurofuncionales entre sexos que podrían no ser evidentes mediante análisis grupales tradicionales.</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keepNext w:val="0"/>
        <w:keepLines w:val="0"/>
        <w:spacing w:after="0" w:before="0" w:line="360" w:lineRule="auto"/>
        <w:rPr>
          <w:i w:val="1"/>
          <w:iCs w:val="1"/>
        </w:rPr>
      </w:pPr>
      <w:r w:rsidDel="00000000" w:rsidR="00000000" w:rsidRPr="00000000">
        <w:rPr>
          <w:i w:val="1"/>
          <w:iCs w:val="1"/>
          <w:rtl w:val="0"/>
        </w:rPr>
        <w:t xml:space="preserve">3.4. Estudios previos relevantes con datos fMRI y TDAH:</w:t>
      </w:r>
    </w:p>
    <w:p w:rsidR="00000000" w:rsidDel="00000000" w:rsidP="00000000" w:rsidRDefault="00000000" w:rsidRPr="00000000" w14:paraId="0000008A">
      <w:pPr>
        <w:spacing w:after="0" w:before="0" w:line="360" w:lineRule="auto"/>
        <w:jc w:val="both"/>
        <w:rPr/>
      </w:pPr>
      <w:r w:rsidDel="00000000" w:rsidR="00000000" w:rsidRPr="00000000">
        <w:rPr>
          <w:rtl w:val="0"/>
        </w:rPr>
        <w:t xml:space="preserve">El uso de fMRI para estudiar el TDAH ha permitido observar patrones robustos de disfunción de redes cerebrales. Diversos trabajos han identificado alteraciones en la conectividad de la DMN, la red ejecutiva y la red de saliencia, tanto en reposo como durante tareas (Cai et al., 2019).</w:t>
      </w:r>
    </w:p>
    <w:p w:rsidR="00000000" w:rsidDel="00000000" w:rsidP="00000000" w:rsidRDefault="00000000" w:rsidRPr="00000000" w14:paraId="0000008B">
      <w:pPr>
        <w:spacing w:after="0" w:before="0" w:line="360" w:lineRule="auto"/>
        <w:jc w:val="both"/>
        <w:rPr/>
      </w:pPr>
      <w:r w:rsidDel="00000000" w:rsidR="00000000" w:rsidRPr="00000000">
        <w:rPr>
          <w:rtl w:val="0"/>
        </w:rPr>
        <w:t xml:space="preserve">Estudios que emplean </w:t>
      </w:r>
      <w:r w:rsidDel="00000000" w:rsidR="00000000" w:rsidRPr="00000000">
        <w:rPr>
          <w:b w:val="1"/>
          <w:bCs w:val="1"/>
          <w:rtl w:val="0"/>
        </w:rPr>
        <w:t xml:space="preserve">matrices de conectividad funcional</w:t>
      </w:r>
      <w:r w:rsidDel="00000000" w:rsidR="00000000" w:rsidRPr="00000000">
        <w:rPr>
          <w:rtl w:val="0"/>
        </w:rPr>
        <w:t xml:space="preserve"> han encontrado:</w:t>
      </w:r>
    </w:p>
    <w:p w:rsidR="00000000" w:rsidDel="00000000" w:rsidP="00000000" w:rsidRDefault="00000000" w:rsidRPr="00000000" w14:paraId="0000008C">
      <w:pPr>
        <w:spacing w:after="0" w:before="0" w:line="360" w:lineRule="auto"/>
        <w:jc w:val="both"/>
        <w:rPr/>
      </w:pPr>
      <w:r w:rsidDel="00000000" w:rsidR="00000000" w:rsidRPr="00000000">
        <w:rPr>
          <w:rtl w:val="0"/>
        </w:rPr>
      </w:r>
    </w:p>
    <w:p w:rsidR="00000000" w:rsidDel="00000000" w:rsidP="00000000" w:rsidRDefault="00000000" w:rsidRPr="00000000" w14:paraId="0000008D">
      <w:pPr>
        <w:numPr>
          <w:ilvl w:val="0"/>
          <w:numId w:val="1"/>
        </w:numPr>
        <w:spacing w:after="0" w:before="0" w:line="360" w:lineRule="auto"/>
        <w:ind w:left="720" w:hanging="360"/>
        <w:jc w:val="both"/>
      </w:pPr>
      <w:r w:rsidDel="00000000" w:rsidR="00000000" w:rsidRPr="00000000">
        <w:rPr>
          <w:b w:val="1"/>
          <w:bCs w:val="1"/>
          <w:rtl w:val="0"/>
        </w:rPr>
        <w:t xml:space="preserve">Mayor variabilidad temporal</w:t>
      </w:r>
      <w:r w:rsidDel="00000000" w:rsidR="00000000" w:rsidRPr="00000000">
        <w:rPr>
          <w:rtl w:val="0"/>
        </w:rPr>
        <w:t xml:space="preserve"> en la conectividad en niños con TDAH.</w:t>
      </w:r>
    </w:p>
    <w:p w:rsidR="00000000" w:rsidDel="00000000" w:rsidP="00000000" w:rsidRDefault="00000000" w:rsidRPr="00000000" w14:paraId="0000008E">
      <w:pPr>
        <w:numPr>
          <w:ilvl w:val="0"/>
          <w:numId w:val="1"/>
        </w:numPr>
        <w:spacing w:after="0" w:before="0" w:line="360" w:lineRule="auto"/>
        <w:ind w:left="720" w:hanging="360"/>
        <w:jc w:val="both"/>
      </w:pPr>
      <w:r w:rsidDel="00000000" w:rsidR="00000000" w:rsidRPr="00000000">
        <w:rPr>
          <w:b w:val="1"/>
          <w:bCs w:val="1"/>
          <w:rtl w:val="0"/>
        </w:rPr>
        <w:t xml:space="preserve">Hipoactivación fronto-estriatal</w:t>
      </w:r>
      <w:r w:rsidDel="00000000" w:rsidR="00000000" w:rsidRPr="00000000">
        <w:rPr>
          <w:rtl w:val="0"/>
        </w:rPr>
        <w:t xml:space="preserve">, particularmente en tareas de inhibición de respuesta.</w:t>
      </w:r>
    </w:p>
    <w:p w:rsidR="00000000" w:rsidDel="00000000" w:rsidP="00000000" w:rsidRDefault="00000000" w:rsidRPr="00000000" w14:paraId="0000008F">
      <w:pPr>
        <w:numPr>
          <w:ilvl w:val="0"/>
          <w:numId w:val="1"/>
        </w:numPr>
        <w:spacing w:after="0" w:before="0" w:line="360" w:lineRule="auto"/>
        <w:ind w:left="720" w:hanging="360"/>
        <w:jc w:val="both"/>
      </w:pPr>
      <w:r w:rsidDel="00000000" w:rsidR="00000000" w:rsidRPr="00000000">
        <w:rPr>
          <w:b w:val="1"/>
          <w:bCs w:val="1"/>
          <w:rtl w:val="0"/>
        </w:rPr>
        <w:t xml:space="preserve">Menor supresión de la DMN</w:t>
      </w:r>
      <w:r w:rsidDel="00000000" w:rsidR="00000000" w:rsidRPr="00000000">
        <w:rPr>
          <w:rtl w:val="0"/>
        </w:rPr>
        <w:t xml:space="preserve">, indicando dificultades en mantener la atención sostenida.</w:t>
        <w:br w:type="textWrapping"/>
      </w:r>
    </w:p>
    <w:p w:rsidR="00000000" w:rsidDel="00000000" w:rsidP="00000000" w:rsidRDefault="00000000" w:rsidRPr="00000000" w14:paraId="00000090">
      <w:pPr>
        <w:spacing w:after="0" w:before="0" w:line="360" w:lineRule="auto"/>
        <w:jc w:val="both"/>
        <w:rPr/>
      </w:pPr>
      <w:r w:rsidDel="00000000" w:rsidR="00000000" w:rsidRPr="00000000">
        <w:rPr>
          <w:rtl w:val="0"/>
        </w:rPr>
        <w:t xml:space="preserve">Más recientemente, investigaciones comparativas sugieren que las </w:t>
      </w:r>
      <w:r w:rsidDel="00000000" w:rsidR="00000000" w:rsidRPr="00000000">
        <w:rPr>
          <w:b w:val="1"/>
          <w:bCs w:val="1"/>
          <w:rtl w:val="0"/>
        </w:rPr>
        <w:t xml:space="preserve">niñas con TDAH presentan patrones de conectividad diferentes a los varones</w:t>
      </w:r>
      <w:r w:rsidDel="00000000" w:rsidR="00000000" w:rsidRPr="00000000">
        <w:rPr>
          <w:rtl w:val="0"/>
        </w:rPr>
        <w:t xml:space="preserve">, especialmente en regiones relacionadas con la regulación emocional y la motivación (Sutcubasi et al., 2020).</w:t>
      </w:r>
    </w:p>
    <w:p w:rsidR="00000000" w:rsidDel="00000000" w:rsidP="00000000" w:rsidRDefault="00000000" w:rsidRPr="00000000" w14:paraId="00000091">
      <w:pPr>
        <w:spacing w:after="0" w:before="0" w:line="360" w:lineRule="auto"/>
        <w:jc w:val="both"/>
        <w:rPr/>
      </w:pPr>
      <w:r w:rsidDel="00000000" w:rsidR="00000000" w:rsidRPr="00000000">
        <w:rPr>
          <w:rtl w:val="0"/>
        </w:rPr>
        <w:t xml:space="preserve">Además, algunos trabajos han mostrado que los modelos predictivos entrenados con conectividad fMRI pueden discriminar entre TDAH y no-TDAH con una precisión que supera los enfoques clínicos tradicionales (Sen et al., 2021).</w:t>
      </w:r>
    </w:p>
    <w:p w:rsidR="00000000" w:rsidDel="00000000" w:rsidP="00000000" w:rsidRDefault="00000000" w:rsidRPr="00000000" w14:paraId="00000092">
      <w:pPr>
        <w:spacing w:after="0" w:before="0" w:line="360" w:lineRule="auto"/>
        <w:jc w:val="both"/>
        <w:rPr/>
      </w:pPr>
      <w:r w:rsidDel="00000000" w:rsidR="00000000" w:rsidRPr="00000000">
        <w:rPr>
          <w:rtl w:val="0"/>
        </w:rPr>
        <w:t xml:space="preserve">Sin embargo, </w:t>
      </w:r>
      <w:r w:rsidDel="00000000" w:rsidR="00000000" w:rsidRPr="00000000">
        <w:rPr>
          <w:b w:val="1"/>
          <w:bCs w:val="1"/>
          <w:rtl w:val="0"/>
        </w:rPr>
        <w:t xml:space="preserve">muy pocos estudios han analizado diferencias por sexo utilizando ML y fMRI</w:t>
      </w:r>
      <w:r w:rsidDel="00000000" w:rsidR="00000000" w:rsidRPr="00000000">
        <w:rPr>
          <w:rtl w:val="0"/>
        </w:rPr>
        <w:t xml:space="preserve">, lo cual constituye la brecha que aborda este TFM.</w:t>
      </w:r>
    </w:p>
    <w:p w:rsidR="00000000" w:rsidDel="00000000" w:rsidP="00000000" w:rsidRDefault="00000000" w:rsidRPr="00000000" w14:paraId="00000093">
      <w:pPr>
        <w:spacing w:after="0" w:before="0" w:line="360" w:lineRule="auto"/>
        <w:rPr/>
      </w:pPr>
      <w:r w:rsidDel="00000000" w:rsidR="00000000" w:rsidRPr="00000000">
        <w:rPr>
          <w:rtl w:val="0"/>
        </w:rPr>
      </w:r>
    </w:p>
    <w:p w:rsidR="00000000" w:rsidDel="00000000" w:rsidP="00000000" w:rsidRDefault="00000000" w:rsidRPr="00000000" w14:paraId="00000094">
      <w:pPr>
        <w:keepNext w:val="0"/>
        <w:keepLines w:val="0"/>
        <w:spacing w:after="0" w:before="0" w:line="360" w:lineRule="auto"/>
        <w:rPr>
          <w:i w:val="1"/>
          <w:iCs w:val="1"/>
        </w:rPr>
      </w:pPr>
      <w:r w:rsidDel="00000000" w:rsidR="00000000" w:rsidRPr="00000000">
        <w:rPr>
          <w:i w:val="1"/>
          <w:iCs w:val="1"/>
          <w:rtl w:val="0"/>
        </w:rPr>
        <w:t xml:space="preserve">3.5. Síntesis y brecha de conocimiento:</w:t>
      </w:r>
    </w:p>
    <w:p w:rsidR="00000000" w:rsidDel="00000000" w:rsidP="00000000" w:rsidRDefault="00000000" w:rsidRPr="00000000" w14:paraId="00000095">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096">
      <w:pPr>
        <w:spacing w:after="0" w:before="0" w:line="360" w:lineRule="auto"/>
        <w:rPr/>
      </w:pPr>
      <w:r w:rsidDel="00000000" w:rsidR="00000000" w:rsidRPr="00000000">
        <w:rPr>
          <w:rtl w:val="0"/>
        </w:rPr>
        <w:t xml:space="preserve">El análisis del TDAH desde la neuropsicología ha permitido identificar alteraciones en funciones ejecutivas y en redes cerebrales específicas. Paralelamente, la literatura documenta un sesgo de género en la detección clínica, con un impacto significativo en la trayectoria vital de niñas y mujeres.</w:t>
      </w:r>
    </w:p>
    <w:p w:rsidR="00000000" w:rsidDel="00000000" w:rsidP="00000000" w:rsidRDefault="00000000" w:rsidRPr="00000000" w14:paraId="00000097">
      <w:pPr>
        <w:spacing w:after="0" w:before="0" w:line="360" w:lineRule="auto"/>
        <w:rPr/>
      </w:pPr>
      <w:r w:rsidDel="00000000" w:rsidR="00000000" w:rsidRPr="00000000">
        <w:rPr>
          <w:rtl w:val="0"/>
        </w:rPr>
        <w:t xml:space="preserve">A pesar del creciente uso de técnicas de </w:t>
      </w:r>
      <w:r w:rsidDel="00000000" w:rsidR="00000000" w:rsidRPr="00000000">
        <w:rPr>
          <w:i w:val="1"/>
          <w:iCs w:val="1"/>
          <w:rtl w:val="0"/>
        </w:rPr>
        <w:t xml:space="preserve">machine learning</w:t>
      </w:r>
      <w:r w:rsidDel="00000000" w:rsidR="00000000" w:rsidRPr="00000000">
        <w:rPr>
          <w:rtl w:val="0"/>
        </w:rPr>
        <w:t xml:space="preserve"> para analizar fMRI, </w:t>
      </w:r>
      <w:r w:rsidDel="00000000" w:rsidR="00000000" w:rsidRPr="00000000">
        <w:rPr>
          <w:b w:val="1"/>
          <w:bCs w:val="1"/>
          <w:rtl w:val="0"/>
        </w:rPr>
        <w:t xml:space="preserve">la integración de estas metodologías con una perspectiva de género sigue siendo limitada</w:t>
      </w:r>
      <w:r w:rsidDel="00000000" w:rsidR="00000000" w:rsidRPr="00000000">
        <w:rPr>
          <w:rtl w:val="0"/>
        </w:rPr>
        <w:t xml:space="preserve">. Existen pocos estudios que combinen:</w:t>
      </w:r>
    </w:p>
    <w:p w:rsidR="00000000" w:rsidDel="00000000" w:rsidP="00000000" w:rsidRDefault="00000000" w:rsidRPr="00000000" w14:paraId="00000098">
      <w:pPr>
        <w:spacing w:after="0" w:before="0" w:line="360" w:lineRule="auto"/>
        <w:rPr/>
      </w:pPr>
      <w:r w:rsidDel="00000000" w:rsidR="00000000" w:rsidRPr="00000000">
        <w:rPr>
          <w:rtl w:val="0"/>
        </w:rPr>
      </w:r>
    </w:p>
    <w:p w:rsidR="00000000" w:rsidDel="00000000" w:rsidP="00000000" w:rsidRDefault="00000000" w:rsidRPr="00000000" w14:paraId="00000099">
      <w:pPr>
        <w:numPr>
          <w:ilvl w:val="0"/>
          <w:numId w:val="16"/>
        </w:numPr>
        <w:spacing w:after="0" w:before="0" w:line="360" w:lineRule="auto"/>
        <w:ind w:left="720" w:hanging="360"/>
        <w:rPr/>
      </w:pPr>
      <w:r w:rsidDel="00000000" w:rsidR="00000000" w:rsidRPr="00000000">
        <w:rPr>
          <w:rtl w:val="0"/>
        </w:rPr>
        <w:t xml:space="preserve">Conectividad funcional cerebral</w:t>
      </w:r>
    </w:p>
    <w:p w:rsidR="00000000" w:rsidDel="00000000" w:rsidP="00000000" w:rsidRDefault="00000000" w:rsidRPr="00000000" w14:paraId="0000009A">
      <w:pPr>
        <w:numPr>
          <w:ilvl w:val="0"/>
          <w:numId w:val="16"/>
        </w:numPr>
        <w:spacing w:after="0" w:before="0" w:line="360" w:lineRule="auto"/>
        <w:ind w:left="720" w:hanging="360"/>
        <w:rPr/>
      </w:pPr>
      <w:r w:rsidDel="00000000" w:rsidR="00000000" w:rsidRPr="00000000">
        <w:rPr>
          <w:rtl w:val="0"/>
        </w:rPr>
        <w:t xml:space="preserve">Modelos predictivos</w:t>
      </w:r>
    </w:p>
    <w:p w:rsidR="00000000" w:rsidDel="00000000" w:rsidP="00000000" w:rsidRDefault="00000000" w:rsidRPr="00000000" w14:paraId="0000009B">
      <w:pPr>
        <w:numPr>
          <w:ilvl w:val="0"/>
          <w:numId w:val="16"/>
        </w:numPr>
        <w:spacing w:after="0" w:before="0" w:line="360" w:lineRule="auto"/>
        <w:ind w:left="720" w:hanging="360"/>
        <w:rPr/>
      </w:pPr>
      <w:r w:rsidDel="00000000" w:rsidR="00000000" w:rsidRPr="00000000">
        <w:rPr>
          <w:rtl w:val="0"/>
        </w:rPr>
        <w:t xml:space="preserve">Evaluación diferenciada por sexo</w:t>
      </w:r>
    </w:p>
    <w:p w:rsidR="00000000" w:rsidDel="00000000" w:rsidP="00000000" w:rsidRDefault="00000000" w:rsidRPr="00000000" w14:paraId="0000009C">
      <w:pPr>
        <w:numPr>
          <w:ilvl w:val="0"/>
          <w:numId w:val="16"/>
        </w:numPr>
        <w:spacing w:after="0" w:before="0" w:line="360" w:lineRule="auto"/>
        <w:ind w:left="720" w:hanging="360"/>
        <w:rPr/>
      </w:pPr>
      <w:r w:rsidDel="00000000" w:rsidR="00000000" w:rsidRPr="00000000">
        <w:rPr>
          <w:rtl w:val="0"/>
        </w:rPr>
        <w:t xml:space="preserve">Interpretabilidad de modelos</w:t>
        <w:br w:type="textWrapping"/>
      </w:r>
    </w:p>
    <w:p w:rsidR="00000000" w:rsidDel="00000000" w:rsidP="00000000" w:rsidRDefault="00000000" w:rsidRPr="00000000" w14:paraId="0000009D">
      <w:pPr>
        <w:spacing w:after="0" w:before="0" w:line="360" w:lineRule="auto"/>
        <w:jc w:val="both"/>
        <w:rPr/>
      </w:pPr>
      <w:r w:rsidDel="00000000" w:rsidR="00000000" w:rsidRPr="00000000">
        <w:rPr>
          <w:rtl w:val="0"/>
        </w:rPr>
        <w:t xml:space="preserve">Esta triple intersección constituye una brecha científica clara.</w:t>
        <w:br w:type="textWrapping"/>
        <w:t xml:space="preserve"> Por ello, este trabajo se posiciona en un espacio novedoso donde convergen psicología del desarrollo, neuroimagen funcional y analítica predictiva, con el objetivo de aportar evidencia que contribuya a mejorar la equidad diagnóstica del TDAH.</w:t>
      </w:r>
    </w:p>
    <w:p w:rsidR="00000000" w:rsidDel="00000000" w:rsidP="00000000" w:rsidRDefault="00000000" w:rsidRPr="00000000" w14:paraId="0000009E">
      <w:pPr>
        <w:keepNext w:val="0"/>
        <w:keepLines w:val="0"/>
        <w:spacing w:after="0" w:before="0" w:line="360" w:lineRule="auto"/>
        <w:jc w:val="both"/>
        <w:rPr/>
      </w:pPr>
      <w:r w:rsidDel="00000000" w:rsidR="00000000" w:rsidRPr="00000000">
        <w:rPr>
          <w:rtl w:val="0"/>
        </w:rPr>
      </w:r>
    </w:p>
    <w:p w:rsidR="00000000" w:rsidDel="00000000" w:rsidP="00000000" w:rsidRDefault="00000000" w:rsidRPr="00000000" w14:paraId="0000009F">
      <w:pPr>
        <w:keepNext w:val="0"/>
        <w:keepLines w:val="0"/>
        <w:spacing w:after="0" w:before="0" w:line="360" w:lineRule="auto"/>
        <w:jc w:val="both"/>
        <w:rPr/>
      </w:pPr>
      <w:r w:rsidDel="00000000" w:rsidR="00000000" w:rsidRPr="00000000">
        <w:rPr>
          <w:b w:val="1"/>
          <w:bCs w:val="1"/>
          <w:sz w:val="26"/>
          <w:szCs w:val="26"/>
          <w:rtl w:val="0"/>
        </w:rPr>
        <w:t xml:space="preserve">Capítulo 4. Metodología</w:t>
      </w:r>
      <w:r w:rsidDel="00000000" w:rsidR="00000000" w:rsidRPr="00000000">
        <w:rPr>
          <w:rtl w:val="0"/>
        </w:rPr>
      </w:r>
    </w:p>
    <w:p w:rsidR="00000000" w:rsidDel="00000000" w:rsidP="00000000" w:rsidRDefault="00000000" w:rsidRPr="00000000" w14:paraId="000000A0">
      <w:pPr>
        <w:pStyle w:val="Heading2"/>
        <w:keepNext w:val="0"/>
        <w:keepLines w:val="0"/>
        <w:spacing w:after="80" w:before="360" w:line="360" w:lineRule="auto"/>
        <w:ind w:left="720" w:hanging="360"/>
        <w:rPr>
          <w:rFonts w:ascii="Cambria" w:cs="Cambria" w:eastAsia="Cambria" w:hAnsi="Cambria"/>
          <w:color w:val="cc4125"/>
        </w:rPr>
      </w:pPr>
      <w:bookmarkStart w:colFirst="0" w:colLast="0" w:name="_heading=h.5hlkuw1i752o" w:id="3"/>
      <w:bookmarkEnd w:id="3"/>
      <w:r w:rsidDel="00000000" w:rsidR="00000000" w:rsidRPr="00000000">
        <w:rPr>
          <w:rFonts w:ascii="Cambria" w:cs="Cambria" w:eastAsia="Cambria" w:hAnsi="Cambria"/>
          <w:color w:val="cc4125"/>
          <w:rtl w:val="0"/>
        </w:rPr>
        <w:t xml:space="preserve">4.1. Diseño general del estudio</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El presente trabajo adopta un diseño cuantitativo, observacional y transversal, basado en el análisis secundario de datos de neuroimagen funcional y variables psicosociales. El objetivo principal es evaluar la capacidad de modelos de </w:t>
      </w:r>
      <w:r w:rsidDel="00000000" w:rsidR="00000000" w:rsidRPr="00000000">
        <w:rPr>
          <w:i w:val="1"/>
          <w:iCs w:val="1"/>
          <w:rtl w:val="0"/>
        </w:rPr>
        <w:t xml:space="preserve">machine learning</w:t>
      </w:r>
      <w:r w:rsidDel="00000000" w:rsidR="00000000" w:rsidRPr="00000000">
        <w:rPr>
          <w:rtl w:val="0"/>
        </w:rPr>
        <w:t xml:space="preserve"> para predecir el diagnóstico de Trastorno por Déficit de Atención e Hiperactividad (TDAH) a partir de patrones de conectividad funcional cerebral, prestando especial atención a posibles diferencias en el rendimiento del modelo según el sexo.</w:t>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El estudio se estructura en cuatro fases principales: (i) integración y preprocesamiento de datos multimodales, (ii) reducción de dimensionalidad mediante Análisis de Componentes Principales (PCA), (iii) entrenamiento y evaluación de modelos supervisados, y (iv) análisis comparativo por sexo e interpretación de los resultados.</w:t>
      </w:r>
    </w:p>
    <w:p w:rsidR="00000000" w:rsidDel="00000000" w:rsidP="00000000" w:rsidRDefault="00000000" w:rsidRPr="00000000" w14:paraId="000000A3">
      <w:pPr>
        <w:spacing w:after="0" w:line="360" w:lineRule="auto"/>
        <w:ind w:left="720" w:hanging="360"/>
        <w:rPr>
          <w:color w:val="cc4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360" w:lineRule="auto"/>
        <w:ind w:left="720" w:hanging="360"/>
        <w:jc w:val="both"/>
        <w:rPr>
          <w:rFonts w:ascii="Cambria" w:cs="Cambria" w:eastAsia="Cambria" w:hAnsi="Cambria"/>
          <w:color w:val="000000"/>
        </w:rPr>
      </w:pPr>
      <w:bookmarkStart w:colFirst="0" w:colLast="0" w:name="_heading=h.c2ifr5ilu2gj" w:id="4"/>
      <w:bookmarkEnd w:id="4"/>
      <w:r w:rsidDel="00000000" w:rsidR="00000000" w:rsidRPr="00000000">
        <w:rPr>
          <w:rFonts w:ascii="Cambria" w:cs="Cambria" w:eastAsia="Cambria" w:hAnsi="Cambria"/>
          <w:color w:val="000000"/>
          <w:rtl w:val="0"/>
        </w:rPr>
        <w:t xml:space="preserve">4.2. Fuentes de datos y descripción del dataset</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Los datos utilizados proceden del proyecto </w:t>
      </w:r>
      <w:r w:rsidDel="00000000" w:rsidR="00000000" w:rsidRPr="00000000">
        <w:rPr>
          <w:b w:val="1"/>
          <w:bCs w:val="1"/>
          <w:rtl w:val="0"/>
        </w:rPr>
        <w:t xml:space="preserve">Healthy Brain Network (HBN)</w:t>
      </w:r>
      <w:r w:rsidDel="00000000" w:rsidR="00000000" w:rsidRPr="00000000">
        <w:rPr>
          <w:rtl w:val="0"/>
        </w:rPr>
        <w:t xml:space="preserve">, una iniciativa de ciencia abierta orientada al estudio del neurodesarrollo en población infantil y adolescente. El dataset incluye información de más de mil participantes, combinando datos de resonancia magnética funcional (fMRI), variables sociodemográficas, medidas psicológicas y diagnósticos clínicos.</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En el presente trabajo se empleó la versión actualizada del conjunto de entrenamiento (</w:t>
      </w:r>
      <w:r w:rsidDel="00000000" w:rsidR="00000000" w:rsidRPr="00000000">
        <w:rPr>
          <w:i w:val="1"/>
          <w:iCs w:val="1"/>
          <w:rtl w:val="0"/>
        </w:rPr>
        <w:t xml:space="preserve">Train_New</w:t>
      </w:r>
      <w:r w:rsidDel="00000000" w:rsidR="00000000" w:rsidRPr="00000000">
        <w:rPr>
          <w:rtl w:val="0"/>
        </w:rPr>
        <w:t xml:space="preserve">), que contiene matrices de conectividad funcional derivadas de fMRI, junto con metadatos cuantitativos y categóricos, y las variables objetivo correspondientes al diagnóstico de TDAH y al sexo del participante.</w:t>
      </w:r>
    </w:p>
    <w:p w:rsidR="00000000" w:rsidDel="00000000" w:rsidP="00000000" w:rsidRDefault="00000000" w:rsidRPr="00000000" w14:paraId="000000A7">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u1vy9edolqmt" w:id="5"/>
      <w:bookmarkEnd w:id="5"/>
      <w:r w:rsidDel="00000000" w:rsidR="00000000" w:rsidRPr="00000000">
        <w:rPr>
          <w:rFonts w:ascii="Cambria" w:cs="Cambria" w:eastAsia="Cambria" w:hAnsi="Cambria"/>
          <w:color w:val="000000"/>
          <w:rtl w:val="0"/>
        </w:rPr>
        <w:t xml:space="preserve">4.3. Variables utilizadas</w:t>
      </w:r>
    </w:p>
    <w:p w:rsidR="00000000" w:rsidDel="00000000" w:rsidP="00000000" w:rsidRDefault="00000000" w:rsidRPr="00000000" w14:paraId="000000A8">
      <w:pPr>
        <w:spacing w:after="240" w:before="240" w:line="360" w:lineRule="auto"/>
        <w:rPr/>
      </w:pPr>
      <w:r w:rsidDel="00000000" w:rsidR="00000000" w:rsidRPr="00000000">
        <w:rPr>
          <w:rtl w:val="0"/>
        </w:rPr>
        <w:t xml:space="preserve">Las variables empleadas en el análisis se agrupan en tres categorías:</w:t>
      </w:r>
    </w:p>
    <w:p w:rsidR="00000000" w:rsidDel="00000000" w:rsidP="00000000" w:rsidRDefault="00000000" w:rsidRPr="00000000" w14:paraId="000000A9">
      <w:pPr>
        <w:numPr>
          <w:ilvl w:val="0"/>
          <w:numId w:val="3"/>
        </w:numPr>
        <w:spacing w:after="0" w:afterAutospacing="0" w:before="240" w:line="360" w:lineRule="auto"/>
        <w:ind w:left="720" w:hanging="360"/>
        <w:rPr/>
      </w:pPr>
      <w:r w:rsidDel="00000000" w:rsidR="00000000" w:rsidRPr="00000000">
        <w:rPr>
          <w:b w:val="1"/>
          <w:bCs w:val="1"/>
          <w:rtl w:val="0"/>
        </w:rPr>
        <w:t xml:space="preserve">Variables objetivo</w:t>
      </w:r>
      <w:r w:rsidDel="00000000" w:rsidR="00000000" w:rsidRPr="00000000">
        <w:rPr>
          <w:rtl w:val="0"/>
        </w:rPr>
        <w:t xml:space="preserve">:</w:t>
      </w:r>
    </w:p>
    <w:p w:rsidR="00000000" w:rsidDel="00000000" w:rsidP="00000000" w:rsidRDefault="00000000" w:rsidRPr="00000000" w14:paraId="000000AA">
      <w:pPr>
        <w:numPr>
          <w:ilvl w:val="1"/>
          <w:numId w:val="3"/>
        </w:numPr>
        <w:spacing w:after="0" w:afterAutospacing="0" w:before="0" w:beforeAutospacing="0" w:line="360" w:lineRule="auto"/>
        <w:ind w:left="1440" w:hanging="360"/>
        <w:rPr/>
      </w:pPr>
      <w:r w:rsidDel="00000000" w:rsidR="00000000" w:rsidRPr="00000000">
        <w:rPr>
          <w:rtl w:val="0"/>
        </w:rPr>
        <w:t xml:space="preserve">Diagnóstico de TDAH (0 = no TDAH, 1 = TDAH)</w:t>
      </w:r>
    </w:p>
    <w:p w:rsidR="00000000" w:rsidDel="00000000" w:rsidP="00000000" w:rsidRDefault="00000000" w:rsidRPr="00000000" w14:paraId="000000AB">
      <w:pPr>
        <w:numPr>
          <w:ilvl w:val="1"/>
          <w:numId w:val="3"/>
        </w:numPr>
        <w:spacing w:after="0" w:afterAutospacing="0" w:before="0" w:beforeAutospacing="0" w:line="360" w:lineRule="auto"/>
        <w:ind w:left="1440" w:hanging="360"/>
        <w:rPr/>
      </w:pPr>
      <w:r w:rsidDel="00000000" w:rsidR="00000000" w:rsidRPr="00000000">
        <w:rPr>
          <w:rtl w:val="0"/>
        </w:rPr>
        <w:t xml:space="preserve">Sexo del participante (0 = varón, 1 = mujer)</w:t>
        <w:br w:type="textWrapping"/>
      </w:r>
    </w:p>
    <w:p w:rsidR="00000000" w:rsidDel="00000000" w:rsidP="00000000" w:rsidRDefault="00000000" w:rsidRPr="00000000" w14:paraId="000000AC">
      <w:pPr>
        <w:numPr>
          <w:ilvl w:val="0"/>
          <w:numId w:val="3"/>
        </w:numPr>
        <w:spacing w:after="0" w:afterAutospacing="0" w:before="0" w:beforeAutospacing="0" w:line="360" w:lineRule="auto"/>
        <w:ind w:left="720" w:hanging="360"/>
        <w:rPr/>
      </w:pPr>
      <w:r w:rsidDel="00000000" w:rsidR="00000000" w:rsidRPr="00000000">
        <w:rPr>
          <w:b w:val="1"/>
          <w:bCs w:val="1"/>
          <w:rtl w:val="0"/>
        </w:rPr>
        <w:t xml:space="preserve">Variables neurofuncionales</w:t>
      </w:r>
      <w:r w:rsidDel="00000000" w:rsidR="00000000" w:rsidRPr="00000000">
        <w:rPr>
          <w:rtl w:val="0"/>
        </w:rPr>
        <w:t xml:space="preserve">:</w:t>
      </w:r>
    </w:p>
    <w:p w:rsidR="00000000" w:rsidDel="00000000" w:rsidP="00000000" w:rsidRDefault="00000000" w:rsidRPr="00000000" w14:paraId="000000AD">
      <w:pPr>
        <w:numPr>
          <w:ilvl w:val="1"/>
          <w:numId w:val="3"/>
        </w:numPr>
        <w:spacing w:after="0" w:afterAutospacing="0" w:before="0" w:beforeAutospacing="0" w:line="360" w:lineRule="auto"/>
        <w:ind w:left="1440" w:hanging="360"/>
        <w:rPr/>
      </w:pPr>
      <w:r w:rsidDel="00000000" w:rsidR="00000000" w:rsidRPr="00000000">
        <w:rPr>
          <w:rtl w:val="0"/>
        </w:rPr>
        <w:t xml:space="preserve">Matrices de conectividad funcional cerebral ROI × ROI, construidas a partir de correlaciones de Pearson entre series temporales fMRI y vectorizadas para su uso en modelos predictivos.</w:t>
        <w:br w:type="textWrapping"/>
      </w:r>
    </w:p>
    <w:p w:rsidR="00000000" w:rsidDel="00000000" w:rsidP="00000000" w:rsidRDefault="00000000" w:rsidRPr="00000000" w14:paraId="000000AE">
      <w:pPr>
        <w:numPr>
          <w:ilvl w:val="0"/>
          <w:numId w:val="3"/>
        </w:numPr>
        <w:spacing w:after="0" w:afterAutospacing="0" w:before="0" w:beforeAutospacing="0" w:line="360" w:lineRule="auto"/>
        <w:ind w:left="720" w:hanging="360"/>
        <w:rPr/>
      </w:pPr>
      <w:r w:rsidDel="00000000" w:rsidR="00000000" w:rsidRPr="00000000">
        <w:rPr>
          <w:b w:val="1"/>
          <w:bCs w:val="1"/>
          <w:rtl w:val="0"/>
        </w:rPr>
        <w:t xml:space="preserve">Variables sociodemográficas y psicológicas</w:t>
      </w:r>
      <w:r w:rsidDel="00000000" w:rsidR="00000000" w:rsidRPr="00000000">
        <w:rPr>
          <w:rtl w:val="0"/>
        </w:rPr>
        <w:t xml:space="preserve">:</w:t>
      </w:r>
    </w:p>
    <w:p w:rsidR="00000000" w:rsidDel="00000000" w:rsidP="00000000" w:rsidRDefault="00000000" w:rsidRPr="00000000" w14:paraId="000000AF">
      <w:pPr>
        <w:numPr>
          <w:ilvl w:val="1"/>
          <w:numId w:val="3"/>
        </w:numPr>
        <w:spacing w:after="0" w:afterAutospacing="0" w:before="0" w:beforeAutospacing="0" w:line="360" w:lineRule="auto"/>
        <w:ind w:left="1440" w:hanging="360"/>
        <w:rPr/>
      </w:pPr>
      <w:r w:rsidDel="00000000" w:rsidR="00000000" w:rsidRPr="00000000">
        <w:rPr>
          <w:rtl w:val="0"/>
        </w:rPr>
        <w:t xml:space="preserve">Variables cuantitativas (edad, lateralidad, cuestionarios emocionales y conductuales).</w:t>
      </w:r>
    </w:p>
    <w:p w:rsidR="00000000" w:rsidDel="00000000" w:rsidP="00000000" w:rsidRDefault="00000000" w:rsidRPr="00000000" w14:paraId="000000B0">
      <w:pPr>
        <w:numPr>
          <w:ilvl w:val="1"/>
          <w:numId w:val="3"/>
        </w:numPr>
        <w:spacing w:after="240" w:before="0" w:beforeAutospacing="0" w:line="360" w:lineRule="auto"/>
        <w:ind w:left="1440" w:hanging="360"/>
        <w:rPr/>
      </w:pPr>
      <w:r w:rsidDel="00000000" w:rsidR="00000000" w:rsidRPr="00000000">
        <w:rPr>
          <w:rtl w:val="0"/>
        </w:rPr>
        <w:t xml:space="preserve">Variables categóricas (nivel educativo parental, sitio de adquisición, etnia, entre otras).</w:t>
        <w:br w:type="textWrapping"/>
      </w:r>
    </w:p>
    <w:p w:rsidR="00000000" w:rsidDel="00000000" w:rsidP="00000000" w:rsidRDefault="00000000" w:rsidRPr="00000000" w14:paraId="000000B1">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h96oi8r4qstv" w:id="6"/>
      <w:bookmarkEnd w:id="6"/>
      <w:r w:rsidDel="00000000" w:rsidR="00000000" w:rsidRPr="00000000">
        <w:rPr>
          <w:rFonts w:ascii="Cambria" w:cs="Cambria" w:eastAsia="Cambria" w:hAnsi="Cambria"/>
          <w:color w:val="000000"/>
          <w:rtl w:val="0"/>
        </w:rPr>
        <w:t xml:space="preserve">4.4. Preprocesamiento y análisis de datos</w:t>
      </w:r>
    </w:p>
    <w:p w:rsidR="00000000" w:rsidDel="00000000" w:rsidP="00000000" w:rsidRDefault="00000000" w:rsidRPr="00000000" w14:paraId="000000B2">
      <w:pPr>
        <w:spacing w:after="240" w:before="240" w:line="360" w:lineRule="auto"/>
        <w:jc w:val="both"/>
        <w:rPr/>
      </w:pPr>
      <w:r w:rsidDel="00000000" w:rsidR="00000000" w:rsidRPr="00000000">
        <w:rPr>
          <w:rtl w:val="0"/>
        </w:rPr>
        <w:t xml:space="preserve">El preprocesamiento de los datos se realizó en dos niveles. En primer lugar, las imágenes fMRI fueron preprocesadas previamente mediante pipelines estandarizados, incluyendo corrección de movimiento, regresión de confusores fisiológicos (36 parámetros) y normalización anatómica. A partir de estas imágenes se obtuvieron matrices de conectividad funcional.</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En segundo lugar, a nivel de análisis predictivo, se aplicaron las siguientes etapas:</w:t>
      </w:r>
    </w:p>
    <w:p w:rsidR="00000000" w:rsidDel="00000000" w:rsidP="00000000" w:rsidRDefault="00000000" w:rsidRPr="00000000" w14:paraId="000000B4">
      <w:pPr>
        <w:numPr>
          <w:ilvl w:val="0"/>
          <w:numId w:val="10"/>
        </w:numPr>
        <w:spacing w:after="0" w:afterAutospacing="0" w:before="240" w:line="360" w:lineRule="auto"/>
        <w:ind w:left="720" w:hanging="360"/>
        <w:jc w:val="both"/>
        <w:rPr/>
      </w:pPr>
      <w:r w:rsidDel="00000000" w:rsidR="00000000" w:rsidRPr="00000000">
        <w:rPr>
          <w:rtl w:val="0"/>
        </w:rPr>
        <w:t xml:space="preserve">Integración de las matrices de conectividad funcional con las variables cuantitativas y categóricas.</w:t>
      </w:r>
    </w:p>
    <w:p w:rsidR="00000000" w:rsidDel="00000000" w:rsidP="00000000" w:rsidRDefault="00000000" w:rsidRPr="00000000" w14:paraId="000000B5">
      <w:pPr>
        <w:numPr>
          <w:ilvl w:val="0"/>
          <w:numId w:val="10"/>
        </w:numPr>
        <w:spacing w:after="0" w:afterAutospacing="0" w:before="0" w:beforeAutospacing="0" w:line="360" w:lineRule="auto"/>
        <w:ind w:left="720" w:hanging="360"/>
        <w:jc w:val="both"/>
        <w:rPr/>
      </w:pPr>
      <w:r w:rsidDel="00000000" w:rsidR="00000000" w:rsidRPr="00000000">
        <w:rPr>
          <w:rtl w:val="0"/>
        </w:rPr>
        <w:t xml:space="preserve">Imputación de valores faltantes mediante estadísticos simples.</w:t>
      </w:r>
    </w:p>
    <w:p w:rsidR="00000000" w:rsidDel="00000000" w:rsidP="00000000" w:rsidRDefault="00000000" w:rsidRPr="00000000" w14:paraId="000000B6">
      <w:pPr>
        <w:numPr>
          <w:ilvl w:val="0"/>
          <w:numId w:val="10"/>
        </w:numPr>
        <w:spacing w:after="0" w:afterAutospacing="0" w:before="0" w:beforeAutospacing="0" w:line="360" w:lineRule="auto"/>
        <w:ind w:left="720" w:hanging="360"/>
        <w:jc w:val="both"/>
        <w:rPr/>
      </w:pPr>
      <w:r w:rsidDel="00000000" w:rsidR="00000000" w:rsidRPr="00000000">
        <w:rPr>
          <w:rtl w:val="0"/>
        </w:rPr>
        <w:t xml:space="preserve">Estandarización de las variables numéricas.</w:t>
      </w:r>
    </w:p>
    <w:p w:rsidR="00000000" w:rsidDel="00000000" w:rsidP="00000000" w:rsidRDefault="00000000" w:rsidRPr="00000000" w14:paraId="000000B7">
      <w:pPr>
        <w:numPr>
          <w:ilvl w:val="0"/>
          <w:numId w:val="10"/>
        </w:numPr>
        <w:spacing w:after="0" w:afterAutospacing="0" w:before="0" w:beforeAutospacing="0" w:line="360" w:lineRule="auto"/>
        <w:ind w:left="720" w:hanging="360"/>
        <w:jc w:val="both"/>
        <w:rPr/>
      </w:pPr>
      <w:r w:rsidDel="00000000" w:rsidR="00000000" w:rsidRPr="00000000">
        <w:rPr>
          <w:rtl w:val="0"/>
        </w:rPr>
        <w:t xml:space="preserve">Codificación </w:t>
      </w:r>
      <w:r w:rsidDel="00000000" w:rsidR="00000000" w:rsidRPr="00000000">
        <w:rPr>
          <w:i w:val="1"/>
          <w:iCs w:val="1"/>
          <w:rtl w:val="0"/>
        </w:rPr>
        <w:t xml:space="preserve">one-hot</w:t>
      </w:r>
      <w:r w:rsidDel="00000000" w:rsidR="00000000" w:rsidRPr="00000000">
        <w:rPr>
          <w:rtl w:val="0"/>
        </w:rPr>
        <w:t xml:space="preserve"> de las variables categóricas.</w:t>
      </w:r>
    </w:p>
    <w:p w:rsidR="00000000" w:rsidDel="00000000" w:rsidP="00000000" w:rsidRDefault="00000000" w:rsidRPr="00000000" w14:paraId="000000B8">
      <w:pPr>
        <w:numPr>
          <w:ilvl w:val="0"/>
          <w:numId w:val="10"/>
        </w:numPr>
        <w:spacing w:after="240" w:before="0" w:beforeAutospacing="0" w:line="360" w:lineRule="auto"/>
        <w:ind w:left="720" w:hanging="360"/>
        <w:jc w:val="both"/>
        <w:rPr/>
      </w:pPr>
      <w:r w:rsidDel="00000000" w:rsidR="00000000" w:rsidRPr="00000000">
        <w:rPr>
          <w:rtl w:val="0"/>
        </w:rPr>
        <w:t xml:space="preserve">Reducción de dimensionalidad mediante PCA, reteniendo 250 componentes principales, que explican aproximadamente el 68% de la varianza total.</w:t>
        <w:br w:type="textWrapping"/>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Este enfoque permite afrontar el problema de alta dimensionalidad característico de los conectomas funcionales (n &lt;&lt; p).</w:t>
      </w:r>
    </w:p>
    <w:p w:rsidR="00000000" w:rsidDel="00000000" w:rsidP="00000000" w:rsidRDefault="00000000" w:rsidRPr="00000000" w14:paraId="000000BA">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dopl642q1wv5" w:id="7"/>
      <w:bookmarkEnd w:id="7"/>
      <w:r w:rsidDel="00000000" w:rsidR="00000000" w:rsidRPr="00000000">
        <w:rPr>
          <w:rFonts w:ascii="Cambria" w:cs="Cambria" w:eastAsia="Cambria" w:hAnsi="Cambria"/>
          <w:color w:val="000000"/>
          <w:rtl w:val="0"/>
        </w:rPr>
        <w:t xml:space="preserve">4.5. Modelos de machine learning aplicados</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Se evaluaron distintos modelos supervisados para la predicción del diagnóstico de TDAH:</w:t>
      </w:r>
    </w:p>
    <w:p w:rsidR="00000000" w:rsidDel="00000000" w:rsidP="00000000" w:rsidRDefault="00000000" w:rsidRPr="00000000" w14:paraId="000000BC">
      <w:pPr>
        <w:numPr>
          <w:ilvl w:val="0"/>
          <w:numId w:val="18"/>
        </w:numPr>
        <w:spacing w:after="0" w:afterAutospacing="0" w:before="240" w:line="360" w:lineRule="auto"/>
        <w:ind w:left="720" w:hanging="360"/>
        <w:jc w:val="both"/>
        <w:rPr/>
      </w:pPr>
      <w:r w:rsidDel="00000000" w:rsidR="00000000" w:rsidRPr="00000000">
        <w:rPr>
          <w:b w:val="1"/>
          <w:bCs w:val="1"/>
          <w:rtl w:val="0"/>
        </w:rPr>
        <w:t xml:space="preserve">Random Forest</w:t>
      </w:r>
      <w:r w:rsidDel="00000000" w:rsidR="00000000" w:rsidRPr="00000000">
        <w:rPr>
          <w:rtl w:val="0"/>
        </w:rPr>
        <w:t xml:space="preserve">: evaluado inicialmente como modelo base, pero descartado del análisis principal debido a un colapso predictivo hacia la clase mayoritaria.</w:t>
        <w:br w:type="textWrapping"/>
      </w:r>
    </w:p>
    <w:p w:rsidR="00000000" w:rsidDel="00000000" w:rsidP="00000000" w:rsidRDefault="00000000" w:rsidRPr="00000000" w14:paraId="000000BD">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Support Vector Machine (SVM)</w:t>
      </w:r>
      <w:r w:rsidDel="00000000" w:rsidR="00000000" w:rsidRPr="00000000">
        <w:rPr>
          <w:rtl w:val="0"/>
        </w:rPr>
        <w:t xml:space="preserve"> con kernel RBF: aplicado tras reducción de dimensionalidad mediante PCA, mostrando un comportamiento más equilibrado entre sensibilidad y especificidad.</w:t>
        <w:br w:type="textWrapping"/>
      </w:r>
    </w:p>
    <w:p w:rsidR="00000000" w:rsidDel="00000000" w:rsidP="00000000" w:rsidRDefault="00000000" w:rsidRPr="00000000" w14:paraId="000000BE">
      <w:pPr>
        <w:numPr>
          <w:ilvl w:val="0"/>
          <w:numId w:val="18"/>
        </w:numPr>
        <w:spacing w:after="240" w:before="0" w:beforeAutospacing="0" w:line="360" w:lineRule="auto"/>
        <w:ind w:left="720" w:hanging="360"/>
        <w:jc w:val="both"/>
        <w:rPr/>
      </w:pPr>
      <w:r w:rsidDel="00000000" w:rsidR="00000000" w:rsidRPr="00000000">
        <w:rPr>
          <w:b w:val="1"/>
          <w:bCs w:val="1"/>
          <w:rtl w:val="0"/>
        </w:rPr>
        <w:t xml:space="preserve">XGBoost</w:t>
      </w:r>
      <w:r w:rsidDel="00000000" w:rsidR="00000000" w:rsidRPr="00000000">
        <w:rPr>
          <w:rtl w:val="0"/>
        </w:rPr>
        <w:t xml:space="preserve">: entrenado sobre los componentes PCA, destacando por su elevada sensibilidad para la detección del TDAH, aunque con baja especificidad.</w:t>
        <w:br w:type="textWrapping"/>
      </w:r>
    </w:p>
    <w:p w:rsidR="00000000" w:rsidDel="00000000" w:rsidP="00000000" w:rsidRDefault="00000000" w:rsidRPr="00000000" w14:paraId="000000BF">
      <w:pPr>
        <w:spacing w:after="240" w:before="240" w:line="360" w:lineRule="auto"/>
        <w:rPr>
          <w:highlight w:val="yellow"/>
        </w:rPr>
      </w:pPr>
      <w:r w:rsidDel="00000000" w:rsidR="00000000" w:rsidRPr="00000000">
        <w:rPr>
          <w:highlight w:val="yellow"/>
          <w:rtl w:val="0"/>
        </w:rPr>
        <w:t xml:space="preserve">El modelo final seleccionado fue un </w:t>
      </w:r>
      <w:r w:rsidDel="00000000" w:rsidR="00000000" w:rsidRPr="00000000">
        <w:rPr>
          <w:b w:val="1"/>
          <w:bCs w:val="1"/>
          <w:highlight w:val="yellow"/>
          <w:rtl w:val="0"/>
        </w:rPr>
        <w:t xml:space="preserve">pipeline integrado PCA + SVM</w:t>
      </w:r>
      <w:r w:rsidDel="00000000" w:rsidR="00000000" w:rsidRPr="00000000">
        <w:rPr>
          <w:highlight w:val="yellow"/>
          <w:rtl w:val="0"/>
        </w:rPr>
        <w:t xml:space="preserve">, por presentar el mejor equilibrio global y una mayor estabilidad en el análisis por sexo.</w:t>
      </w:r>
    </w:p>
    <w:p w:rsidR="00000000" w:rsidDel="00000000" w:rsidP="00000000" w:rsidRDefault="00000000" w:rsidRPr="00000000" w14:paraId="000000C0">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85ltxv2ztrm2" w:id="8"/>
      <w:bookmarkEnd w:id="8"/>
      <w:r w:rsidDel="00000000" w:rsidR="00000000" w:rsidRPr="00000000">
        <w:rPr>
          <w:rFonts w:ascii="Cambria" w:cs="Cambria" w:eastAsia="Cambria" w:hAnsi="Cambria"/>
          <w:color w:val="000000"/>
          <w:rtl w:val="0"/>
        </w:rPr>
        <w:t xml:space="preserve">4.6. Métricas de evaluación y validación del modelo</w:t>
      </w:r>
    </w:p>
    <w:p w:rsidR="00000000" w:rsidDel="00000000" w:rsidP="00000000" w:rsidRDefault="00000000" w:rsidRPr="00000000" w14:paraId="000000C1">
      <w:pPr>
        <w:spacing w:after="240" w:before="240" w:line="360" w:lineRule="auto"/>
        <w:rPr/>
      </w:pPr>
      <w:r w:rsidDel="00000000" w:rsidR="00000000" w:rsidRPr="00000000">
        <w:rPr>
          <w:rtl w:val="0"/>
        </w:rPr>
        <w:t xml:space="preserve">Los modelos se evaluaron mediante un conjunto de métricas estándar en clasificación supervisada:</w:t>
      </w:r>
    </w:p>
    <w:p w:rsidR="00000000" w:rsidDel="00000000" w:rsidP="00000000" w:rsidRDefault="00000000" w:rsidRPr="00000000" w14:paraId="000000C2">
      <w:pPr>
        <w:numPr>
          <w:ilvl w:val="0"/>
          <w:numId w:val="7"/>
        </w:numPr>
        <w:spacing w:after="0" w:afterAutospacing="0" w:before="240" w:line="360" w:lineRule="auto"/>
        <w:ind w:left="720" w:hanging="360"/>
        <w:rPr/>
      </w:pPr>
      <w:r w:rsidDel="00000000" w:rsidR="00000000" w:rsidRPr="00000000">
        <w:rPr>
          <w:i w:val="1"/>
          <w:iCs w:val="1"/>
          <w:rtl w:val="0"/>
        </w:rPr>
        <w:t xml:space="preserve">Accuracy</w:t>
      </w:r>
    </w:p>
    <w:p w:rsidR="00000000" w:rsidDel="00000000" w:rsidP="00000000" w:rsidRDefault="00000000" w:rsidRPr="00000000" w14:paraId="000000C3">
      <w:pPr>
        <w:numPr>
          <w:ilvl w:val="0"/>
          <w:numId w:val="7"/>
        </w:numPr>
        <w:spacing w:after="0" w:afterAutospacing="0" w:before="0" w:beforeAutospacing="0" w:line="360" w:lineRule="auto"/>
        <w:ind w:left="720" w:hanging="360"/>
        <w:rPr/>
      </w:pPr>
      <w:r w:rsidDel="00000000" w:rsidR="00000000" w:rsidRPr="00000000">
        <w:rPr>
          <w:i w:val="1"/>
          <w:iCs w:val="1"/>
          <w:rtl w:val="0"/>
        </w:rPr>
        <w:t xml:space="preserve">Precision</w:t>
      </w:r>
    </w:p>
    <w:p w:rsidR="00000000" w:rsidDel="00000000" w:rsidP="00000000" w:rsidRDefault="00000000" w:rsidRPr="00000000" w14:paraId="000000C4">
      <w:pPr>
        <w:numPr>
          <w:ilvl w:val="0"/>
          <w:numId w:val="7"/>
        </w:numPr>
        <w:spacing w:after="0" w:afterAutospacing="0" w:before="0" w:beforeAutospacing="0" w:line="360" w:lineRule="auto"/>
        <w:ind w:left="720" w:hanging="360"/>
        <w:rPr/>
      </w:pPr>
      <w:r w:rsidDel="00000000" w:rsidR="00000000" w:rsidRPr="00000000">
        <w:rPr>
          <w:i w:val="1"/>
          <w:iCs w:val="1"/>
          <w:rtl w:val="0"/>
        </w:rPr>
        <w:t xml:space="preserve">Recall</w:t>
      </w:r>
    </w:p>
    <w:p w:rsidR="00000000" w:rsidDel="00000000" w:rsidP="00000000" w:rsidRDefault="00000000" w:rsidRPr="00000000" w14:paraId="000000C5">
      <w:pPr>
        <w:numPr>
          <w:ilvl w:val="0"/>
          <w:numId w:val="7"/>
        </w:numPr>
        <w:spacing w:after="0" w:afterAutospacing="0" w:before="0" w:beforeAutospacing="0" w:line="360" w:lineRule="auto"/>
        <w:ind w:left="720" w:hanging="360"/>
        <w:rPr/>
      </w:pPr>
      <w:r w:rsidDel="00000000" w:rsidR="00000000" w:rsidRPr="00000000">
        <w:rPr>
          <w:i w:val="1"/>
          <w:iCs w:val="1"/>
          <w:rtl w:val="0"/>
        </w:rPr>
        <w:t xml:space="preserve">F1-score</w:t>
      </w:r>
    </w:p>
    <w:p w:rsidR="00000000" w:rsidDel="00000000" w:rsidP="00000000" w:rsidRDefault="00000000" w:rsidRPr="00000000" w14:paraId="000000C6">
      <w:pPr>
        <w:numPr>
          <w:ilvl w:val="0"/>
          <w:numId w:val="7"/>
        </w:numPr>
        <w:spacing w:after="240" w:before="0" w:beforeAutospacing="0" w:line="360" w:lineRule="auto"/>
        <w:ind w:left="720" w:hanging="360"/>
        <w:rPr/>
      </w:pPr>
      <w:r w:rsidDel="00000000" w:rsidR="00000000" w:rsidRPr="00000000">
        <w:rPr>
          <w:rtl w:val="0"/>
        </w:rPr>
        <w:t xml:space="preserve">Matrices de confusión</w:t>
        <w:br w:type="textWrapping"/>
      </w:r>
    </w:p>
    <w:p w:rsidR="00000000" w:rsidDel="00000000" w:rsidP="00000000" w:rsidRDefault="00000000" w:rsidRPr="00000000" w14:paraId="000000C7">
      <w:pPr>
        <w:spacing w:after="240" w:before="240" w:line="360" w:lineRule="auto"/>
        <w:rPr/>
      </w:pPr>
      <w:r w:rsidDel="00000000" w:rsidR="00000000" w:rsidRPr="00000000">
        <w:rPr>
          <w:rtl w:val="0"/>
        </w:rPr>
        <w:t xml:space="preserve">Dado el desbalance entre clases y el enfoque clínico del estudio, se priorizó el análisis del </w:t>
      </w:r>
      <w:r w:rsidDel="00000000" w:rsidR="00000000" w:rsidRPr="00000000">
        <w:rPr>
          <w:i w:val="1"/>
          <w:iCs w:val="1"/>
          <w:rtl w:val="0"/>
        </w:rPr>
        <w:t xml:space="preserve">recall</w:t>
      </w:r>
      <w:r w:rsidDel="00000000" w:rsidR="00000000" w:rsidRPr="00000000">
        <w:rPr>
          <w:rtl w:val="0"/>
        </w:rPr>
        <w:t xml:space="preserve"> y del </w:t>
      </w:r>
      <w:r w:rsidDel="00000000" w:rsidR="00000000" w:rsidRPr="00000000">
        <w:rPr>
          <w:i w:val="1"/>
          <w:iCs w:val="1"/>
          <w:rtl w:val="0"/>
        </w:rPr>
        <w:t xml:space="preserve">F1-score</w:t>
      </w:r>
      <w:r w:rsidDel="00000000" w:rsidR="00000000" w:rsidRPr="00000000">
        <w:rPr>
          <w:rtl w:val="0"/>
        </w:rPr>
        <w:t xml:space="preserve">, tanto a nivel global como estratificado por sexo.</w:t>
      </w:r>
    </w:p>
    <w:p w:rsidR="00000000" w:rsidDel="00000000" w:rsidP="00000000" w:rsidRDefault="00000000" w:rsidRPr="00000000" w14:paraId="000000C8">
      <w:pPr>
        <w:spacing w:after="240" w:before="240" w:line="360" w:lineRule="auto"/>
        <w:rPr/>
      </w:pPr>
      <w:r w:rsidDel="00000000" w:rsidR="00000000" w:rsidRPr="00000000">
        <w:rPr>
          <w:rtl w:val="0"/>
        </w:rPr>
        <w:t xml:space="preserve">La validación se realizó mediante partición </w:t>
      </w:r>
      <w:r w:rsidDel="00000000" w:rsidR="00000000" w:rsidRPr="00000000">
        <w:rPr>
          <w:i w:val="1"/>
          <w:iCs w:val="1"/>
          <w:rtl w:val="0"/>
        </w:rPr>
        <w:t xml:space="preserve">train/test</w:t>
      </w:r>
      <w:r w:rsidDel="00000000" w:rsidR="00000000" w:rsidRPr="00000000">
        <w:rPr>
          <w:rtl w:val="0"/>
        </w:rPr>
        <w:t xml:space="preserve"> estratificada.</w:t>
      </w:r>
    </w:p>
    <w:p w:rsidR="00000000" w:rsidDel="00000000" w:rsidP="00000000" w:rsidRDefault="00000000" w:rsidRPr="00000000" w14:paraId="000000C9">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spkjysn7i0tx" w:id="9"/>
      <w:bookmarkEnd w:id="9"/>
      <w:r w:rsidDel="00000000" w:rsidR="00000000" w:rsidRPr="00000000">
        <w:rPr>
          <w:rFonts w:ascii="Cambria" w:cs="Cambria" w:eastAsia="Cambria" w:hAnsi="Cambria"/>
          <w:color w:val="000000"/>
          <w:rtl w:val="0"/>
        </w:rPr>
        <w:t xml:space="preserve">4.7. Aspectos éticos y reproducibilidad</w:t>
      </w:r>
    </w:p>
    <w:p w:rsidR="00000000" w:rsidDel="00000000" w:rsidP="00000000" w:rsidRDefault="00000000" w:rsidRPr="00000000" w14:paraId="000000CA">
      <w:pPr>
        <w:spacing w:after="240" w:before="240" w:line="360" w:lineRule="auto"/>
        <w:jc w:val="both"/>
        <w:rPr>
          <w:highlight w:val="yellow"/>
        </w:rPr>
      </w:pPr>
      <w:r w:rsidDel="00000000" w:rsidR="00000000" w:rsidRPr="00000000">
        <w:rPr>
          <w:rtl w:val="0"/>
        </w:rPr>
        <w:t xml:space="preserve">El estudio utiliza datos anonimizados de acceso abierto, respetando los principios éticos de investigación en neurociencia. La metodología se apoya en pipelines reproducibles y librerías estándar de código abierto</w:t>
      </w:r>
      <w:r w:rsidDel="00000000" w:rsidR="00000000" w:rsidRPr="00000000">
        <w:rPr>
          <w:highlight w:val="yellow"/>
          <w:rtl w:val="0"/>
        </w:rPr>
        <w:t xml:space="preserve">.</w:t>
        <w:br w:type="textWrapping"/>
        <w:t xml:space="preserve"> [agregar: versión final del entorno y control de semillas]</w:t>
      </w:r>
    </w:p>
    <w:p w:rsidR="00000000" w:rsidDel="00000000" w:rsidP="00000000" w:rsidRDefault="00000000" w:rsidRPr="00000000" w14:paraId="000000CB">
      <w:pPr>
        <w:pStyle w:val="Heading1"/>
        <w:keepNext w:val="0"/>
        <w:keepLines w:val="0"/>
        <w:spacing w:after="120" w:line="360" w:lineRule="auto"/>
        <w:ind w:left="0" w:firstLine="0"/>
        <w:rPr>
          <w:rFonts w:ascii="Cambria" w:cs="Cambria" w:eastAsia="Cambria" w:hAnsi="Cambria"/>
          <w:color w:val="000000"/>
          <w:sz w:val="26"/>
          <w:szCs w:val="26"/>
        </w:rPr>
      </w:pPr>
      <w:bookmarkStart w:colFirst="0" w:colLast="0" w:name="_heading=h.snf4pobnos21" w:id="10"/>
      <w:bookmarkEnd w:id="10"/>
      <w:r w:rsidDel="00000000" w:rsidR="00000000" w:rsidRPr="00000000">
        <w:rPr>
          <w:rFonts w:ascii="Cambria" w:cs="Cambria" w:eastAsia="Cambria" w:hAnsi="Cambria"/>
          <w:color w:val="000000"/>
          <w:sz w:val="26"/>
          <w:szCs w:val="26"/>
          <w:rtl w:val="0"/>
        </w:rPr>
        <w:t xml:space="preserve">Capítulo 5. Resultados y análisis</w:t>
      </w:r>
    </w:p>
    <w:p w:rsidR="00000000" w:rsidDel="00000000" w:rsidP="00000000" w:rsidRDefault="00000000" w:rsidRPr="00000000" w14:paraId="000000CC">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c6irxycp5qwc" w:id="11"/>
      <w:bookmarkEnd w:id="11"/>
      <w:r w:rsidDel="00000000" w:rsidR="00000000" w:rsidRPr="00000000">
        <w:rPr>
          <w:rFonts w:ascii="Cambria" w:cs="Cambria" w:eastAsia="Cambria" w:hAnsi="Cambria"/>
          <w:color w:val="000000"/>
          <w:rtl w:val="0"/>
        </w:rPr>
        <w:t xml:space="preserve">5.1. Descripción general de los datos analizados</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Tras la integración de las distintas fuentes de información, el conjunto final de datos incluyó aproximadamente </w:t>
      </w:r>
      <w:r w:rsidDel="00000000" w:rsidR="00000000" w:rsidRPr="00000000">
        <w:rPr>
          <w:b w:val="1"/>
          <w:bCs w:val="1"/>
          <w:rtl w:val="0"/>
        </w:rPr>
        <w:t xml:space="preserve">1.200 sujetos</w:t>
      </w:r>
      <w:r w:rsidDel="00000000" w:rsidR="00000000" w:rsidRPr="00000000">
        <w:rPr>
          <w:rtl w:val="0"/>
        </w:rPr>
        <w:t xml:space="preserve">, con una distribución desigual por sexo y una mayor proporción de casos con diagnóstico de TDAH, coherente con la naturaleza clínica del reclutamiento.</w:t>
      </w:r>
    </w:p>
    <w:p w:rsidR="00000000" w:rsidDel="00000000" w:rsidP="00000000" w:rsidRDefault="00000000" w:rsidRPr="00000000" w14:paraId="000000CE">
      <w:pPr>
        <w:spacing w:after="240" w:before="240" w:line="360" w:lineRule="auto"/>
        <w:rPr>
          <w:color w:val="cc4125"/>
        </w:rPr>
      </w:pPr>
      <w:r w:rsidDel="00000000" w:rsidR="00000000" w:rsidRPr="00000000">
        <w:rPr>
          <w:color w:val="cc4125"/>
          <w:highlight w:val="yellow"/>
          <w:rtl w:val="0"/>
        </w:rPr>
        <w:t xml:space="preserve">[agregar: tabla o gráfico descriptivo de la muestra]</w:t>
      </w: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6oj5l3j9132s" w:id="12"/>
      <w:bookmarkEnd w:id="12"/>
      <w:r w:rsidDel="00000000" w:rsidR="00000000" w:rsidRPr="00000000">
        <w:rPr>
          <w:rFonts w:ascii="Cambria" w:cs="Cambria" w:eastAsia="Cambria" w:hAnsi="Cambria"/>
          <w:color w:val="000000"/>
          <w:rtl w:val="0"/>
        </w:rPr>
        <w:t xml:space="preserve">5.2. Resultados del modelo de predicción del TDAH</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El modelo PCA + SVM alcanzó una </w:t>
      </w:r>
      <w:r w:rsidDel="00000000" w:rsidR="00000000" w:rsidRPr="00000000">
        <w:rPr>
          <w:b w:val="1"/>
          <w:bCs w:val="1"/>
          <w:rtl w:val="0"/>
        </w:rPr>
        <w:t xml:space="preserve">accuracy global del 56%</w:t>
      </w:r>
      <w:r w:rsidDel="00000000" w:rsidR="00000000" w:rsidRPr="00000000">
        <w:rPr>
          <w:rtl w:val="0"/>
        </w:rPr>
        <w:t xml:space="preserve">, con un </w:t>
      </w:r>
      <w:r w:rsidDel="00000000" w:rsidR="00000000" w:rsidRPr="00000000">
        <w:rPr>
          <w:i w:val="1"/>
          <w:iCs w:val="1"/>
          <w:rtl w:val="0"/>
        </w:rPr>
        <w:t xml:space="preserve">recall</w:t>
      </w:r>
      <w:r w:rsidDel="00000000" w:rsidR="00000000" w:rsidRPr="00000000">
        <w:rPr>
          <w:rtl w:val="0"/>
        </w:rPr>
        <w:t xml:space="preserve"> del </w:t>
      </w:r>
      <w:r w:rsidDel="00000000" w:rsidR="00000000" w:rsidRPr="00000000">
        <w:rPr>
          <w:b w:val="1"/>
          <w:bCs w:val="1"/>
          <w:rtl w:val="0"/>
        </w:rPr>
        <w:t xml:space="preserve">66% para la clase TDAH</w:t>
      </w:r>
      <w:r w:rsidDel="00000000" w:rsidR="00000000" w:rsidRPr="00000000">
        <w:rPr>
          <w:rtl w:val="0"/>
        </w:rPr>
        <w:t xml:space="preserve"> y del </w:t>
      </w:r>
      <w:r w:rsidDel="00000000" w:rsidR="00000000" w:rsidRPr="00000000">
        <w:rPr>
          <w:b w:val="1"/>
          <w:bCs w:val="1"/>
          <w:rtl w:val="0"/>
        </w:rPr>
        <w:t xml:space="preserve">35% para la clase no-TDAH</w:t>
      </w:r>
      <w:r w:rsidDel="00000000" w:rsidR="00000000" w:rsidRPr="00000000">
        <w:rPr>
          <w:rtl w:val="0"/>
        </w:rPr>
        <w:t xml:space="preserve">. La matriz de confusión evidenció una mayor dificultad para identificar correctamente a los sujetos sin TDAH, fenómeno recurrente en modelos entrenados sobre conectividad funcional cerebral.</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En comparación, el modelo XGBoost mostró una sensibilidad muy elevada para el TDAH (recall ≈ 0.96), pero una especificidad notablemente reducida, mientras que el Random Forest fue descartado por comportamiento degenerado.</w:t>
      </w:r>
    </w:p>
    <w:p w:rsidR="00000000" w:rsidDel="00000000" w:rsidP="00000000" w:rsidRDefault="00000000" w:rsidRPr="00000000" w14:paraId="000000D2">
      <w:pPr>
        <w:spacing w:after="0" w:line="360" w:lineRule="auto"/>
        <w:ind w:left="720" w:hanging="360"/>
        <w:rPr>
          <w:color w:val="cc4125"/>
        </w:rPr>
      </w:pPr>
      <w:r w:rsidDel="00000000" w:rsidR="00000000" w:rsidRPr="00000000">
        <w:rPr>
          <w:rtl w:val="0"/>
        </w:rPr>
      </w:r>
    </w:p>
    <w:p w:rsidR="00000000" w:rsidDel="00000000" w:rsidP="00000000" w:rsidRDefault="00000000" w:rsidRPr="00000000" w14:paraId="000000D3">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7yt03c4yvpnp" w:id="13"/>
      <w:bookmarkEnd w:id="13"/>
      <w:r w:rsidDel="00000000" w:rsidR="00000000" w:rsidRPr="00000000">
        <w:rPr>
          <w:rFonts w:ascii="Cambria" w:cs="Cambria" w:eastAsia="Cambria" w:hAnsi="Cambria"/>
          <w:color w:val="000000"/>
          <w:rtl w:val="0"/>
        </w:rPr>
        <w:t xml:space="preserve">5.3. Análisis comparativo por sexo</w:t>
      </w:r>
    </w:p>
    <w:p w:rsidR="00000000" w:rsidDel="00000000" w:rsidP="00000000" w:rsidRDefault="00000000" w:rsidRPr="00000000" w14:paraId="000000D4">
      <w:pPr>
        <w:spacing w:after="240" w:before="240" w:line="360" w:lineRule="auto"/>
        <w:rPr/>
      </w:pPr>
      <w:r w:rsidDel="00000000" w:rsidR="00000000" w:rsidRPr="00000000">
        <w:rPr>
          <w:rtl w:val="0"/>
        </w:rPr>
        <w:t xml:space="preserve">El análisis estratificado por sexo reveló diferencias relevantes en el rendimiento del modelo PCA + SVM:</w:t>
      </w:r>
    </w:p>
    <w:p w:rsidR="00000000" w:rsidDel="00000000" w:rsidP="00000000" w:rsidRDefault="00000000" w:rsidRPr="00000000" w14:paraId="000000D5">
      <w:pPr>
        <w:numPr>
          <w:ilvl w:val="0"/>
          <w:numId w:val="12"/>
        </w:numPr>
        <w:spacing w:after="0" w:afterAutospacing="0" w:before="240" w:line="360" w:lineRule="auto"/>
        <w:ind w:left="720" w:hanging="360"/>
        <w:rPr/>
      </w:pPr>
      <w:r w:rsidDel="00000000" w:rsidR="00000000" w:rsidRPr="00000000">
        <w:rPr>
          <w:b w:val="1"/>
          <w:bCs w:val="1"/>
          <w:rtl w:val="0"/>
        </w:rPr>
        <w:t xml:space="preserve">Mujeres</w:t>
      </w:r>
      <w:r w:rsidDel="00000000" w:rsidR="00000000" w:rsidRPr="00000000">
        <w:rPr>
          <w:rtl w:val="0"/>
        </w:rPr>
        <w:t xml:space="preserve">:</w:t>
        <w:br w:type="textWrapping"/>
        <w:t xml:space="preserve">Recall TDAH ≈ 0.63</w:t>
      </w:r>
    </w:p>
    <w:p w:rsidR="00000000" w:rsidDel="00000000" w:rsidP="00000000" w:rsidRDefault="00000000" w:rsidRPr="00000000" w14:paraId="000000D6">
      <w:pPr>
        <w:numPr>
          <w:ilvl w:val="1"/>
          <w:numId w:val="12"/>
        </w:numPr>
        <w:spacing w:after="0" w:afterAutospacing="0" w:before="0" w:beforeAutospacing="0" w:line="360" w:lineRule="auto"/>
        <w:ind w:left="1440" w:hanging="360"/>
        <w:rPr/>
      </w:pPr>
      <w:r w:rsidDel="00000000" w:rsidR="00000000" w:rsidRPr="00000000">
        <w:rPr>
          <w:rtl w:val="0"/>
        </w:rPr>
        <w:t xml:space="preserve">Recall no-TDAH ≈ 0.55</w:t>
      </w:r>
    </w:p>
    <w:p w:rsidR="00000000" w:rsidDel="00000000" w:rsidP="00000000" w:rsidRDefault="00000000" w:rsidRPr="00000000" w14:paraId="000000D7">
      <w:pPr>
        <w:numPr>
          <w:ilvl w:val="1"/>
          <w:numId w:val="12"/>
        </w:numPr>
        <w:spacing w:after="0" w:afterAutospacing="0" w:before="0" w:beforeAutospacing="0" w:line="360" w:lineRule="auto"/>
        <w:ind w:left="1440" w:hanging="360"/>
        <w:rPr/>
      </w:pPr>
      <w:r w:rsidDel="00000000" w:rsidR="00000000" w:rsidRPr="00000000">
        <w:rPr>
          <w:rtl w:val="0"/>
        </w:rPr>
        <w:t xml:space="preserve">Accuracy ≈ 0.60</w:t>
        <w:br w:type="textWrapping"/>
      </w:r>
    </w:p>
    <w:p w:rsidR="00000000" w:rsidDel="00000000" w:rsidP="00000000" w:rsidRDefault="00000000" w:rsidRPr="00000000" w14:paraId="000000D8">
      <w:pPr>
        <w:numPr>
          <w:ilvl w:val="0"/>
          <w:numId w:val="12"/>
        </w:numPr>
        <w:spacing w:after="0" w:afterAutospacing="0" w:before="0" w:beforeAutospacing="0" w:line="360" w:lineRule="auto"/>
        <w:ind w:left="720" w:hanging="360"/>
        <w:rPr/>
      </w:pPr>
      <w:r w:rsidDel="00000000" w:rsidR="00000000" w:rsidRPr="00000000">
        <w:rPr>
          <w:b w:val="1"/>
          <w:bCs w:val="1"/>
          <w:rtl w:val="0"/>
        </w:rPr>
        <w:t xml:space="preserve">Varones</w:t>
      </w:r>
      <w:r w:rsidDel="00000000" w:rsidR="00000000" w:rsidRPr="00000000">
        <w:rPr>
          <w:rtl w:val="0"/>
        </w:rPr>
        <w:t xml:space="preserve">:</w:t>
      </w:r>
    </w:p>
    <w:p w:rsidR="00000000" w:rsidDel="00000000" w:rsidP="00000000" w:rsidRDefault="00000000" w:rsidRPr="00000000" w14:paraId="000000D9">
      <w:pPr>
        <w:numPr>
          <w:ilvl w:val="1"/>
          <w:numId w:val="12"/>
        </w:numPr>
        <w:spacing w:after="0" w:afterAutospacing="0" w:before="0" w:beforeAutospacing="0" w:line="360" w:lineRule="auto"/>
        <w:ind w:left="1440" w:hanging="360"/>
        <w:rPr/>
      </w:pPr>
      <w:r w:rsidDel="00000000" w:rsidR="00000000" w:rsidRPr="00000000">
        <w:rPr>
          <w:rtl w:val="0"/>
        </w:rPr>
        <w:t xml:space="preserve">Recall TDAH ≈ 0.67</w:t>
      </w:r>
    </w:p>
    <w:p w:rsidR="00000000" w:rsidDel="00000000" w:rsidP="00000000" w:rsidRDefault="00000000" w:rsidRPr="00000000" w14:paraId="000000DA">
      <w:pPr>
        <w:numPr>
          <w:ilvl w:val="1"/>
          <w:numId w:val="12"/>
        </w:numPr>
        <w:spacing w:after="0" w:afterAutospacing="0" w:before="0" w:beforeAutospacing="0" w:line="360" w:lineRule="auto"/>
        <w:ind w:left="1440" w:hanging="360"/>
        <w:rPr/>
      </w:pPr>
      <w:r w:rsidDel="00000000" w:rsidR="00000000" w:rsidRPr="00000000">
        <w:rPr>
          <w:rtl w:val="0"/>
        </w:rPr>
        <w:t xml:space="preserve">Recall no-TDAH ≈ 0.22</w:t>
      </w:r>
    </w:p>
    <w:p w:rsidR="00000000" w:rsidDel="00000000" w:rsidP="00000000" w:rsidRDefault="00000000" w:rsidRPr="00000000" w14:paraId="000000DB">
      <w:pPr>
        <w:numPr>
          <w:ilvl w:val="1"/>
          <w:numId w:val="12"/>
        </w:numPr>
        <w:spacing w:after="240" w:before="0" w:beforeAutospacing="0" w:line="360" w:lineRule="auto"/>
        <w:ind w:left="1440" w:hanging="360"/>
        <w:rPr/>
      </w:pPr>
      <w:r w:rsidDel="00000000" w:rsidR="00000000" w:rsidRPr="00000000">
        <w:rPr>
          <w:rtl w:val="0"/>
        </w:rPr>
        <w:t xml:space="preserve">Accuracy ≈ 0.54</w:t>
      </w:r>
    </w:p>
    <w:p w:rsidR="00000000" w:rsidDel="00000000" w:rsidP="00000000" w:rsidRDefault="00000000" w:rsidRPr="00000000" w14:paraId="000000DC">
      <w:pPr>
        <w:spacing w:after="240" w:before="240" w:line="360" w:lineRule="auto"/>
        <w:rPr>
          <w:highlight w:val="yellow"/>
        </w:rPr>
      </w:pPr>
      <w:r w:rsidDel="00000000" w:rsidR="00000000" w:rsidRPr="00000000">
        <w:rPr>
          <w:highlight w:val="yellow"/>
          <w:rtl w:val="0"/>
        </w:rPr>
        <w:t xml:space="preserve">Estos resultados indican que el modelo clasifica de forma más equilibrada a las mujeres que a los varones, especialmente en la identificación de casos no-TDAH.</w:t>
      </w:r>
    </w:p>
    <w:p w:rsidR="00000000" w:rsidDel="00000000" w:rsidP="00000000" w:rsidRDefault="00000000" w:rsidRPr="00000000" w14:paraId="000000DD">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z6z8yrr2qm0n" w:id="14"/>
      <w:bookmarkEnd w:id="14"/>
      <w:r w:rsidDel="00000000" w:rsidR="00000000" w:rsidRPr="00000000">
        <w:rPr>
          <w:rFonts w:ascii="Cambria" w:cs="Cambria" w:eastAsia="Cambria" w:hAnsi="Cambria"/>
          <w:color w:val="000000"/>
          <w:rtl w:val="0"/>
        </w:rPr>
        <w:t xml:space="preserve">5.4. Visualización de la conectividad funcional cerebral</w:t>
      </w:r>
    </w:p>
    <w:p w:rsidR="00000000" w:rsidDel="00000000" w:rsidP="00000000" w:rsidRDefault="00000000" w:rsidRPr="00000000" w14:paraId="000000DE">
      <w:pPr>
        <w:spacing w:after="240" w:before="240" w:line="360" w:lineRule="auto"/>
        <w:rPr>
          <w:color w:val="cc4125"/>
          <w:highlight w:val="yellow"/>
        </w:rPr>
      </w:pPr>
      <w:r w:rsidDel="00000000" w:rsidR="00000000" w:rsidRPr="00000000">
        <w:rPr>
          <w:color w:val="cc4125"/>
          <w:highlight w:val="yellow"/>
          <w:rtl w:val="0"/>
        </w:rPr>
        <w:t xml:space="preserve">Se exploraron visualizaciones descriptivas de la conectividad funcional promedio por grupo diagnóstico y por sexo, observándose diferencias cualitativas en redes frontales y de control ejecutivo.</w:t>
      </w:r>
    </w:p>
    <w:p w:rsidR="00000000" w:rsidDel="00000000" w:rsidP="00000000" w:rsidRDefault="00000000" w:rsidRPr="00000000" w14:paraId="000000DF">
      <w:pPr>
        <w:spacing w:after="240" w:before="240" w:line="360" w:lineRule="auto"/>
        <w:rPr>
          <w:color w:val="cc4125"/>
          <w:highlight w:val="yellow"/>
        </w:rPr>
      </w:pPr>
      <w:r w:rsidDel="00000000" w:rsidR="00000000" w:rsidRPr="00000000">
        <w:rPr>
          <w:color w:val="cc4125"/>
          <w:highlight w:val="yellow"/>
          <w:rtl w:val="0"/>
        </w:rPr>
        <w:t xml:space="preserve">[agregar: mapas de conectividad promedio y diferencias entre grupos]</w:t>
      </w:r>
    </w:p>
    <w:p w:rsidR="00000000" w:rsidDel="00000000" w:rsidP="00000000" w:rsidRDefault="00000000" w:rsidRPr="00000000" w14:paraId="000000E0">
      <w:pPr>
        <w:pStyle w:val="Heading2"/>
        <w:keepNext w:val="0"/>
        <w:keepLines w:val="0"/>
        <w:spacing w:after="80" w:before="360" w:line="360" w:lineRule="auto"/>
        <w:ind w:left="720" w:hanging="360"/>
        <w:rPr>
          <w:rFonts w:ascii="Cambria" w:cs="Cambria" w:eastAsia="Cambria" w:hAnsi="Cambria"/>
          <w:color w:val="000000"/>
        </w:rPr>
      </w:pPr>
      <w:bookmarkStart w:colFirst="0" w:colLast="0" w:name="_heading=h.cekwv02tbb21" w:id="15"/>
      <w:bookmarkEnd w:id="15"/>
      <w:r w:rsidDel="00000000" w:rsidR="00000000" w:rsidRPr="00000000">
        <w:rPr>
          <w:rFonts w:ascii="Cambria" w:cs="Cambria" w:eastAsia="Cambria" w:hAnsi="Cambria"/>
          <w:color w:val="000000"/>
          <w:rtl w:val="0"/>
        </w:rPr>
        <w:t xml:space="preserve">5.5. Interpretación mediante técnicas explicativas (SHAP, LIME)</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Con el fin de mejorar la interpretabilidad del modelo final, se plantea la aplicación de técnicas explicativas basadas en teoría de juegos (SHAP) y métodos locales de interpretación (LIME), orientadas a identificar qué componentes latentes de conectividad funcional contribuyen de manera más significativa a la predicción del TDAH.</w:t>
      </w:r>
    </w:p>
    <w:p w:rsidR="00000000" w:rsidDel="00000000" w:rsidP="00000000" w:rsidRDefault="00000000" w:rsidRPr="00000000" w14:paraId="000000E2">
      <w:pPr>
        <w:spacing w:after="240" w:before="240" w:line="360" w:lineRule="auto"/>
        <w:jc w:val="both"/>
        <w:rPr>
          <w:color w:val="cc4125"/>
          <w:highlight w:val="yellow"/>
        </w:rPr>
      </w:pPr>
      <w:r w:rsidDel="00000000" w:rsidR="00000000" w:rsidRPr="00000000">
        <w:rPr>
          <w:color w:val="cc4125"/>
          <w:highlight w:val="yellow"/>
          <w:rtl w:val="0"/>
        </w:rPr>
        <w:t xml:space="preserve">[agregar: implementación SHAP / permutation importance y gráficos asociados]</w:t>
      </w:r>
    </w:p>
    <w:p w:rsidR="00000000" w:rsidDel="00000000" w:rsidP="00000000" w:rsidRDefault="00000000" w:rsidRPr="00000000" w14:paraId="000000E3">
      <w:pPr>
        <w:spacing w:after="0" w:before="0" w:line="360" w:lineRule="auto"/>
        <w:ind w:left="720" w:firstLine="0"/>
        <w:rPr>
          <w:i w:val="1"/>
          <w:iCs w:val="1"/>
        </w:rPr>
      </w:pPr>
      <w:r w:rsidDel="00000000" w:rsidR="00000000" w:rsidRPr="00000000">
        <w:rPr>
          <w:rtl w:val="0"/>
        </w:rPr>
      </w:r>
    </w:p>
    <w:p w:rsidR="00000000" w:rsidDel="00000000" w:rsidP="00000000" w:rsidRDefault="00000000" w:rsidRPr="00000000" w14:paraId="000000E4">
      <w:pPr>
        <w:spacing w:after="0" w:before="0" w:line="360" w:lineRule="auto"/>
        <w:rPr>
          <w:b w:val="1"/>
          <w:bCs w:val="1"/>
          <w:sz w:val="26"/>
          <w:szCs w:val="26"/>
        </w:rPr>
      </w:pPr>
      <w:r w:rsidDel="00000000" w:rsidR="00000000" w:rsidRPr="00000000">
        <w:rPr>
          <w:rtl w:val="0"/>
        </w:rPr>
      </w:r>
    </w:p>
    <w:p w:rsidR="00000000" w:rsidDel="00000000" w:rsidP="00000000" w:rsidRDefault="00000000" w:rsidRPr="00000000" w14:paraId="000000E5">
      <w:pPr>
        <w:keepNext w:val="0"/>
        <w:keepLines w:val="0"/>
        <w:spacing w:after="0" w:before="0" w:line="360" w:lineRule="auto"/>
        <w:rPr>
          <w:b w:val="1"/>
          <w:bCs w:val="1"/>
          <w:sz w:val="26"/>
          <w:szCs w:val="26"/>
        </w:rPr>
      </w:pPr>
      <w:r w:rsidDel="00000000" w:rsidR="00000000" w:rsidRPr="00000000">
        <w:rPr>
          <w:b w:val="1"/>
          <w:bCs w:val="1"/>
          <w:sz w:val="26"/>
          <w:szCs w:val="26"/>
          <w:rtl w:val="0"/>
        </w:rPr>
        <w:t xml:space="preserve">Capítulo 6. Discusión</w:t>
      </w:r>
    </w:p>
    <w:p w:rsidR="00000000" w:rsidDel="00000000" w:rsidP="00000000" w:rsidRDefault="00000000" w:rsidRPr="00000000" w14:paraId="000000E6">
      <w:pPr>
        <w:spacing w:after="0" w:before="0" w:line="360" w:lineRule="auto"/>
        <w:rPr/>
      </w:pPr>
      <w:r w:rsidDel="00000000" w:rsidR="00000000" w:rsidRPr="00000000">
        <w:rPr>
          <w:rtl w:val="0"/>
        </w:rPr>
      </w:r>
    </w:p>
    <w:p w:rsidR="00000000" w:rsidDel="00000000" w:rsidP="00000000" w:rsidRDefault="00000000" w:rsidRPr="00000000" w14:paraId="000000E7">
      <w:pPr>
        <w:keepNext w:val="0"/>
        <w:keepLines w:val="0"/>
        <w:spacing w:after="0" w:before="0" w:line="360" w:lineRule="auto"/>
        <w:rPr>
          <w:i w:val="1"/>
          <w:iCs w:val="1"/>
        </w:rPr>
      </w:pPr>
      <w:r w:rsidDel="00000000" w:rsidR="00000000" w:rsidRPr="00000000">
        <w:rPr>
          <w:i w:val="1"/>
          <w:iCs w:val="1"/>
          <w:rtl w:val="0"/>
        </w:rPr>
        <w:t xml:space="preserve">6.1. Discusión de resultados frente a la literatura revisada</w:t>
      </w:r>
    </w:p>
    <w:p w:rsidR="00000000" w:rsidDel="00000000" w:rsidP="00000000" w:rsidRDefault="00000000" w:rsidRPr="00000000" w14:paraId="000000E8">
      <w:pPr>
        <w:spacing w:after="0" w:before="0" w:line="360" w:lineRule="auto"/>
        <w:rPr>
          <w:color w:val="cc4125"/>
        </w:rPr>
      </w:pPr>
      <w:r w:rsidDel="00000000" w:rsidR="00000000" w:rsidRPr="00000000">
        <w:rPr>
          <w:color w:val="cc4125"/>
          <w:rtl w:val="0"/>
        </w:rPr>
        <w:t xml:space="preserve">Aquí se relacionarán los hallazgos con los estudios citados en el Capítulo 3:</w:t>
      </w:r>
    </w:p>
    <w:p w:rsidR="00000000" w:rsidDel="00000000" w:rsidP="00000000" w:rsidRDefault="00000000" w:rsidRPr="00000000" w14:paraId="000000E9">
      <w:pPr>
        <w:numPr>
          <w:ilvl w:val="0"/>
          <w:numId w:val="13"/>
        </w:numPr>
        <w:spacing w:after="0" w:before="0" w:line="360" w:lineRule="auto"/>
        <w:ind w:left="720" w:hanging="360"/>
        <w:rPr>
          <w:color w:val="cc4125"/>
        </w:rPr>
      </w:pPr>
      <w:r w:rsidDel="00000000" w:rsidR="00000000" w:rsidRPr="00000000">
        <w:rPr>
          <w:color w:val="cc4125"/>
          <w:rtl w:val="0"/>
        </w:rPr>
        <w:t xml:space="preserve">Consistencia con alteraciones fronto-estriatales (Rubia, 2018).</w:t>
      </w:r>
    </w:p>
    <w:p w:rsidR="00000000" w:rsidDel="00000000" w:rsidP="00000000" w:rsidRDefault="00000000" w:rsidRPr="00000000" w14:paraId="000000EA">
      <w:pPr>
        <w:numPr>
          <w:ilvl w:val="0"/>
          <w:numId w:val="13"/>
        </w:numPr>
        <w:spacing w:after="0" w:before="0" w:line="360" w:lineRule="auto"/>
        <w:ind w:left="720" w:hanging="360"/>
        <w:rPr>
          <w:color w:val="cc4125"/>
        </w:rPr>
      </w:pPr>
      <w:r w:rsidDel="00000000" w:rsidR="00000000" w:rsidRPr="00000000">
        <w:rPr>
          <w:color w:val="cc4125"/>
          <w:rtl w:val="0"/>
        </w:rPr>
        <w:t xml:space="preserve">Coherencia con modelos de desconexión funcional (Albajara Sáenz et al., 2019).</w:t>
      </w:r>
    </w:p>
    <w:p w:rsidR="00000000" w:rsidDel="00000000" w:rsidP="00000000" w:rsidRDefault="00000000" w:rsidRPr="00000000" w14:paraId="000000EB">
      <w:pPr>
        <w:numPr>
          <w:ilvl w:val="0"/>
          <w:numId w:val="13"/>
        </w:numPr>
        <w:spacing w:after="0" w:before="0" w:line="360" w:lineRule="auto"/>
        <w:ind w:left="720" w:hanging="360"/>
        <w:rPr>
          <w:color w:val="cc4125"/>
        </w:rPr>
      </w:pPr>
      <w:r w:rsidDel="00000000" w:rsidR="00000000" w:rsidRPr="00000000">
        <w:rPr>
          <w:color w:val="cc4125"/>
          <w:rtl w:val="0"/>
        </w:rPr>
        <w:t xml:space="preserve">Relación con estudios de diferencias de género (Slobodin &amp; Davidovitch, 2019; Martin, 2024).</w:t>
      </w:r>
    </w:p>
    <w:p w:rsidR="00000000" w:rsidDel="00000000" w:rsidP="00000000" w:rsidRDefault="00000000" w:rsidRPr="00000000" w14:paraId="000000EC">
      <w:pPr>
        <w:numPr>
          <w:ilvl w:val="0"/>
          <w:numId w:val="13"/>
        </w:numPr>
        <w:spacing w:after="0" w:before="0" w:line="360" w:lineRule="auto"/>
        <w:ind w:left="720" w:hanging="360"/>
        <w:rPr>
          <w:color w:val="cc4125"/>
        </w:rPr>
      </w:pPr>
      <w:r w:rsidDel="00000000" w:rsidR="00000000" w:rsidRPr="00000000">
        <w:rPr>
          <w:color w:val="cc4125"/>
          <w:rtl w:val="0"/>
        </w:rPr>
        <w:t xml:space="preserve">Coincidencias con trabajos ML previos (Varoquaux, 2014).</w:t>
        <w:br w:type="textWrapping"/>
      </w:r>
    </w:p>
    <w:p w:rsidR="00000000" w:rsidDel="00000000" w:rsidP="00000000" w:rsidRDefault="00000000" w:rsidRPr="00000000" w14:paraId="000000ED">
      <w:pPr>
        <w:spacing w:after="0" w:before="0" w:line="360" w:lineRule="auto"/>
        <w:rPr>
          <w:color w:val="cc4125"/>
        </w:rPr>
      </w:pPr>
      <w:r w:rsidDel="00000000" w:rsidR="00000000" w:rsidRPr="00000000">
        <w:rPr>
          <w:color w:val="cc4125"/>
          <w:rtl w:val="0"/>
        </w:rPr>
        <w:t xml:space="preserve">[Insertar análisis comparativo textual]</w:t>
      </w:r>
    </w:p>
    <w:p w:rsidR="00000000" w:rsidDel="00000000" w:rsidP="00000000" w:rsidRDefault="00000000" w:rsidRPr="00000000" w14:paraId="000000EE">
      <w:pPr>
        <w:spacing w:after="0" w:before="0" w:line="360" w:lineRule="auto"/>
        <w:rPr/>
      </w:pPr>
      <w:r w:rsidDel="00000000" w:rsidR="00000000" w:rsidRPr="00000000">
        <w:rPr>
          <w:rtl w:val="0"/>
        </w:rPr>
      </w:r>
    </w:p>
    <w:p w:rsidR="00000000" w:rsidDel="00000000" w:rsidP="00000000" w:rsidRDefault="00000000" w:rsidRPr="00000000" w14:paraId="000000EF">
      <w:pPr>
        <w:keepNext w:val="0"/>
        <w:keepLines w:val="0"/>
        <w:spacing w:after="0" w:before="0" w:line="360" w:lineRule="auto"/>
        <w:rPr>
          <w:i w:val="1"/>
          <w:iCs w:val="1"/>
        </w:rPr>
      </w:pPr>
      <w:r w:rsidDel="00000000" w:rsidR="00000000" w:rsidRPr="00000000">
        <w:rPr>
          <w:i w:val="1"/>
          <w:iCs w:val="1"/>
          <w:rtl w:val="0"/>
        </w:rPr>
        <w:t xml:space="preserve">6.2. Implicaciones psicológicas y neurocientíficas</w:t>
      </w:r>
    </w:p>
    <w:p w:rsidR="00000000" w:rsidDel="00000000" w:rsidP="00000000" w:rsidRDefault="00000000" w:rsidRPr="00000000" w14:paraId="000000F0">
      <w:pPr>
        <w:spacing w:after="0" w:before="0" w:line="360" w:lineRule="auto"/>
        <w:rPr>
          <w:color w:val="cc4125"/>
        </w:rPr>
      </w:pPr>
      <w:r w:rsidDel="00000000" w:rsidR="00000000" w:rsidRPr="00000000">
        <w:rPr>
          <w:color w:val="cc4125"/>
          <w:rtl w:val="0"/>
        </w:rPr>
        <w:t xml:space="preserve">Posibles líneas argumentales:</w:t>
      </w:r>
    </w:p>
    <w:p w:rsidR="00000000" w:rsidDel="00000000" w:rsidP="00000000" w:rsidRDefault="00000000" w:rsidRPr="00000000" w14:paraId="000000F1">
      <w:pPr>
        <w:numPr>
          <w:ilvl w:val="0"/>
          <w:numId w:val="11"/>
        </w:numPr>
        <w:spacing w:after="0" w:before="0" w:line="360" w:lineRule="auto"/>
        <w:ind w:left="720" w:hanging="360"/>
        <w:rPr>
          <w:color w:val="cc4125"/>
        </w:rPr>
      </w:pPr>
      <w:r w:rsidDel="00000000" w:rsidR="00000000" w:rsidRPr="00000000">
        <w:rPr>
          <w:color w:val="cc4125"/>
          <w:rtl w:val="0"/>
        </w:rPr>
        <w:t xml:space="preserve">La subdetección del TDAH femenino podría tener correlatos funcionales.</w:t>
      </w:r>
    </w:p>
    <w:p w:rsidR="00000000" w:rsidDel="00000000" w:rsidP="00000000" w:rsidRDefault="00000000" w:rsidRPr="00000000" w14:paraId="000000F2">
      <w:pPr>
        <w:numPr>
          <w:ilvl w:val="0"/>
          <w:numId w:val="11"/>
        </w:numPr>
        <w:spacing w:after="0" w:before="0" w:line="360" w:lineRule="auto"/>
        <w:ind w:left="720" w:hanging="360"/>
        <w:rPr>
          <w:color w:val="cc4125"/>
        </w:rPr>
      </w:pPr>
      <w:r w:rsidDel="00000000" w:rsidR="00000000" w:rsidRPr="00000000">
        <w:rPr>
          <w:color w:val="cc4125"/>
          <w:rtl w:val="0"/>
        </w:rPr>
        <w:t xml:space="preserve">Si el modelo predice peor a mujeres con TDAH, se refuerza el sesgo clínico.</w:t>
      </w:r>
    </w:p>
    <w:p w:rsidR="00000000" w:rsidDel="00000000" w:rsidP="00000000" w:rsidRDefault="00000000" w:rsidRPr="00000000" w14:paraId="000000F3">
      <w:pPr>
        <w:numPr>
          <w:ilvl w:val="0"/>
          <w:numId w:val="11"/>
        </w:numPr>
        <w:spacing w:after="0" w:before="0" w:line="360" w:lineRule="auto"/>
        <w:ind w:left="720" w:hanging="360"/>
        <w:rPr/>
      </w:pPr>
      <w:r w:rsidDel="00000000" w:rsidR="00000000" w:rsidRPr="00000000">
        <w:rPr>
          <w:color w:val="cc4125"/>
          <w:rtl w:val="0"/>
        </w:rPr>
        <w:t xml:space="preserve">Si aparecen conectividades propias del grupo femenino, podría sugerirse un subtipo neurofuncional.</w:t>
      </w:r>
      <w:r w:rsidDel="00000000" w:rsidR="00000000" w:rsidRPr="00000000">
        <w:rPr>
          <w:rtl w:val="0"/>
        </w:rPr>
        <w:br w:type="textWrapping"/>
      </w:r>
    </w:p>
    <w:p w:rsidR="00000000" w:rsidDel="00000000" w:rsidP="00000000" w:rsidRDefault="00000000" w:rsidRPr="00000000" w14:paraId="000000F4">
      <w:pPr>
        <w:keepNext w:val="0"/>
        <w:keepLines w:val="0"/>
        <w:spacing w:after="0" w:before="0" w:line="360" w:lineRule="auto"/>
        <w:rPr>
          <w:i w:val="1"/>
          <w:iCs w:val="1"/>
        </w:rPr>
      </w:pPr>
      <w:r w:rsidDel="00000000" w:rsidR="00000000" w:rsidRPr="00000000">
        <w:rPr>
          <w:i w:val="1"/>
          <w:iCs w:val="1"/>
          <w:rtl w:val="0"/>
        </w:rPr>
        <w:t xml:space="preserve">6.3. Posibles causas del sesgo de género detectado</w:t>
      </w:r>
    </w:p>
    <w:p w:rsidR="00000000" w:rsidDel="00000000" w:rsidP="00000000" w:rsidRDefault="00000000" w:rsidRPr="00000000" w14:paraId="000000F5">
      <w:pPr>
        <w:spacing w:after="0" w:before="0" w:line="360" w:lineRule="auto"/>
        <w:rPr>
          <w:color w:val="cc4125"/>
        </w:rPr>
      </w:pPr>
      <w:r w:rsidDel="00000000" w:rsidR="00000000" w:rsidRPr="00000000">
        <w:rPr>
          <w:color w:val="cc4125"/>
          <w:rtl w:val="0"/>
        </w:rPr>
        <w:t xml:space="preserve">Incluye:</w:t>
      </w:r>
    </w:p>
    <w:p w:rsidR="00000000" w:rsidDel="00000000" w:rsidP="00000000" w:rsidRDefault="00000000" w:rsidRPr="00000000" w14:paraId="000000F6">
      <w:pPr>
        <w:numPr>
          <w:ilvl w:val="0"/>
          <w:numId w:val="20"/>
        </w:numPr>
        <w:spacing w:after="0" w:before="0" w:line="360" w:lineRule="auto"/>
        <w:ind w:left="720" w:hanging="360"/>
        <w:rPr>
          <w:color w:val="cc4125"/>
        </w:rPr>
      </w:pPr>
      <w:r w:rsidDel="00000000" w:rsidR="00000000" w:rsidRPr="00000000">
        <w:rPr>
          <w:color w:val="cc4125"/>
          <w:rtl w:val="0"/>
        </w:rPr>
        <w:t xml:space="preserve">Diferencias sintomatológicas</w:t>
      </w:r>
    </w:p>
    <w:p w:rsidR="00000000" w:rsidDel="00000000" w:rsidP="00000000" w:rsidRDefault="00000000" w:rsidRPr="00000000" w14:paraId="000000F7">
      <w:pPr>
        <w:numPr>
          <w:ilvl w:val="0"/>
          <w:numId w:val="20"/>
        </w:numPr>
        <w:spacing w:after="0" w:before="0" w:line="360" w:lineRule="auto"/>
        <w:ind w:left="720" w:hanging="360"/>
        <w:rPr>
          <w:color w:val="cc4125"/>
        </w:rPr>
      </w:pPr>
      <w:r w:rsidDel="00000000" w:rsidR="00000000" w:rsidRPr="00000000">
        <w:rPr>
          <w:color w:val="cc4125"/>
          <w:rtl w:val="0"/>
        </w:rPr>
        <w:t xml:space="preserve">Estereotipos y normas de género</w:t>
      </w:r>
    </w:p>
    <w:p w:rsidR="00000000" w:rsidDel="00000000" w:rsidP="00000000" w:rsidRDefault="00000000" w:rsidRPr="00000000" w14:paraId="000000F8">
      <w:pPr>
        <w:numPr>
          <w:ilvl w:val="0"/>
          <w:numId w:val="20"/>
        </w:numPr>
        <w:spacing w:after="0" w:before="0" w:line="360" w:lineRule="auto"/>
        <w:ind w:left="720" w:hanging="360"/>
        <w:rPr>
          <w:color w:val="cc4125"/>
        </w:rPr>
      </w:pPr>
      <w:r w:rsidDel="00000000" w:rsidR="00000000" w:rsidRPr="00000000">
        <w:rPr>
          <w:color w:val="cc4125"/>
          <w:rtl w:val="0"/>
        </w:rPr>
        <w:t xml:space="preserve">Limitaciones en criterios clínicos</w:t>
      </w:r>
    </w:p>
    <w:p w:rsidR="00000000" w:rsidDel="00000000" w:rsidP="00000000" w:rsidRDefault="00000000" w:rsidRPr="00000000" w14:paraId="000000F9">
      <w:pPr>
        <w:numPr>
          <w:ilvl w:val="0"/>
          <w:numId w:val="20"/>
        </w:numPr>
        <w:spacing w:after="0" w:before="0" w:line="360" w:lineRule="auto"/>
        <w:ind w:left="720" w:hanging="360"/>
        <w:rPr/>
      </w:pPr>
      <w:r w:rsidDel="00000000" w:rsidR="00000000" w:rsidRPr="00000000">
        <w:rPr>
          <w:color w:val="cc4125"/>
          <w:rtl w:val="0"/>
        </w:rPr>
        <w:t xml:space="preserve">Dificultades en modelos ML para capturar patrones minoritarios</w:t>
      </w:r>
      <w:r w:rsidDel="00000000" w:rsidR="00000000" w:rsidRPr="00000000">
        <w:rPr>
          <w:rtl w:val="0"/>
        </w:rPr>
        <w:br w:type="textWrapping"/>
      </w:r>
    </w:p>
    <w:p w:rsidR="00000000" w:rsidDel="00000000" w:rsidP="00000000" w:rsidRDefault="00000000" w:rsidRPr="00000000" w14:paraId="000000FA">
      <w:pPr>
        <w:keepNext w:val="0"/>
        <w:keepLines w:val="0"/>
        <w:spacing w:after="0" w:before="0" w:line="360" w:lineRule="auto"/>
        <w:rPr>
          <w:i w:val="1"/>
          <w:iCs w:val="1"/>
        </w:rPr>
      </w:pPr>
      <w:r w:rsidDel="00000000" w:rsidR="00000000" w:rsidRPr="00000000">
        <w:rPr>
          <w:i w:val="1"/>
          <w:iCs w:val="1"/>
          <w:rtl w:val="0"/>
        </w:rPr>
        <w:t xml:space="preserve">6.4. Limitaciones del estudio</w:t>
      </w:r>
    </w:p>
    <w:p w:rsidR="00000000" w:rsidDel="00000000" w:rsidP="00000000" w:rsidRDefault="00000000" w:rsidRPr="00000000" w14:paraId="000000FB">
      <w:pPr>
        <w:spacing w:after="0" w:before="0" w:line="360" w:lineRule="auto"/>
        <w:rPr>
          <w:color w:val="cc4125"/>
        </w:rPr>
      </w:pPr>
      <w:r w:rsidDel="00000000" w:rsidR="00000000" w:rsidRPr="00000000">
        <w:rPr>
          <w:color w:val="cc4125"/>
          <w:rtl w:val="0"/>
        </w:rPr>
        <w:t xml:space="preserve">Entre las más comunes:</w:t>
      </w:r>
    </w:p>
    <w:p w:rsidR="00000000" w:rsidDel="00000000" w:rsidP="00000000" w:rsidRDefault="00000000" w:rsidRPr="00000000" w14:paraId="000000FC">
      <w:pPr>
        <w:numPr>
          <w:ilvl w:val="0"/>
          <w:numId w:val="5"/>
        </w:numPr>
        <w:spacing w:after="0" w:before="0" w:line="360" w:lineRule="auto"/>
        <w:ind w:left="720" w:hanging="360"/>
        <w:rPr>
          <w:color w:val="cc4125"/>
        </w:rPr>
      </w:pPr>
      <w:r w:rsidDel="00000000" w:rsidR="00000000" w:rsidRPr="00000000">
        <w:rPr>
          <w:color w:val="cc4125"/>
          <w:rtl w:val="0"/>
        </w:rPr>
        <w:t xml:space="preserve">Dataset no balanceado por sexo</w:t>
      </w:r>
    </w:p>
    <w:p w:rsidR="00000000" w:rsidDel="00000000" w:rsidP="00000000" w:rsidRDefault="00000000" w:rsidRPr="00000000" w14:paraId="000000FD">
      <w:pPr>
        <w:numPr>
          <w:ilvl w:val="0"/>
          <w:numId w:val="5"/>
        </w:numPr>
        <w:spacing w:after="0" w:before="0" w:line="360" w:lineRule="auto"/>
        <w:ind w:left="720" w:hanging="360"/>
        <w:rPr>
          <w:color w:val="cc4125"/>
        </w:rPr>
      </w:pPr>
      <w:r w:rsidDel="00000000" w:rsidR="00000000" w:rsidRPr="00000000">
        <w:rPr>
          <w:color w:val="cc4125"/>
          <w:rtl w:val="0"/>
        </w:rPr>
        <w:t xml:space="preserve">Variabilidad entre centros de adquisición</w:t>
      </w:r>
    </w:p>
    <w:p w:rsidR="00000000" w:rsidDel="00000000" w:rsidP="00000000" w:rsidRDefault="00000000" w:rsidRPr="00000000" w14:paraId="000000FE">
      <w:pPr>
        <w:numPr>
          <w:ilvl w:val="0"/>
          <w:numId w:val="5"/>
        </w:numPr>
        <w:spacing w:after="0" w:before="0" w:line="360" w:lineRule="auto"/>
        <w:ind w:left="720" w:hanging="360"/>
        <w:rPr>
          <w:color w:val="cc4125"/>
        </w:rPr>
      </w:pPr>
      <w:r w:rsidDel="00000000" w:rsidR="00000000" w:rsidRPr="00000000">
        <w:rPr>
          <w:color w:val="cc4125"/>
          <w:rtl w:val="0"/>
        </w:rPr>
        <w:t xml:space="preserve">Alta dimensionalidad del conectoma</w:t>
      </w:r>
    </w:p>
    <w:p w:rsidR="00000000" w:rsidDel="00000000" w:rsidP="00000000" w:rsidRDefault="00000000" w:rsidRPr="00000000" w14:paraId="000000FF">
      <w:pPr>
        <w:numPr>
          <w:ilvl w:val="0"/>
          <w:numId w:val="5"/>
        </w:numPr>
        <w:spacing w:after="0" w:before="0" w:line="360" w:lineRule="auto"/>
        <w:ind w:left="720" w:hanging="360"/>
        <w:rPr>
          <w:color w:val="cc4125"/>
        </w:rPr>
      </w:pPr>
      <w:r w:rsidDel="00000000" w:rsidR="00000000" w:rsidRPr="00000000">
        <w:rPr>
          <w:color w:val="cc4125"/>
          <w:rtl w:val="0"/>
        </w:rPr>
        <w:t xml:space="preserve">Interpretación limitada de correlaciones funcionales</w:t>
      </w:r>
    </w:p>
    <w:p w:rsidR="00000000" w:rsidDel="00000000" w:rsidP="00000000" w:rsidRDefault="00000000" w:rsidRPr="00000000" w14:paraId="00000100">
      <w:pPr>
        <w:numPr>
          <w:ilvl w:val="0"/>
          <w:numId w:val="5"/>
        </w:numPr>
        <w:spacing w:after="0" w:before="0" w:line="360" w:lineRule="auto"/>
        <w:ind w:left="720" w:hanging="360"/>
        <w:rPr/>
      </w:pPr>
      <w:r w:rsidDel="00000000" w:rsidR="00000000" w:rsidRPr="00000000">
        <w:rPr>
          <w:color w:val="cc4125"/>
          <w:rtl w:val="0"/>
        </w:rPr>
        <w:t xml:space="preserve">Modelo predictivo dependiente del preprocesamiento elegido</w:t>
      </w:r>
      <w:r w:rsidDel="00000000" w:rsidR="00000000" w:rsidRPr="00000000">
        <w:rPr>
          <w:rtl w:val="0"/>
        </w:rPr>
        <w:br w:type="textWrapping"/>
      </w:r>
    </w:p>
    <w:p w:rsidR="00000000" w:rsidDel="00000000" w:rsidP="00000000" w:rsidRDefault="00000000" w:rsidRPr="00000000" w14:paraId="00000101">
      <w:pPr>
        <w:keepNext w:val="0"/>
        <w:keepLines w:val="0"/>
        <w:spacing w:after="0" w:before="0" w:line="360" w:lineRule="auto"/>
        <w:rPr>
          <w:i w:val="1"/>
          <w:iCs w:val="1"/>
        </w:rPr>
      </w:pPr>
      <w:r w:rsidDel="00000000" w:rsidR="00000000" w:rsidRPr="00000000">
        <w:rPr>
          <w:i w:val="1"/>
          <w:iCs w:val="1"/>
          <w:rtl w:val="0"/>
        </w:rPr>
        <w:t xml:space="preserve">6.5. Recomendaciones para futuras investigaciones</w:t>
      </w:r>
    </w:p>
    <w:p w:rsidR="00000000" w:rsidDel="00000000" w:rsidP="00000000" w:rsidRDefault="00000000" w:rsidRPr="00000000" w14:paraId="00000102">
      <w:pPr>
        <w:spacing w:after="0" w:before="0" w:line="360" w:lineRule="auto"/>
        <w:rPr>
          <w:color w:val="cc4125"/>
        </w:rPr>
      </w:pPr>
      <w:r w:rsidDel="00000000" w:rsidR="00000000" w:rsidRPr="00000000">
        <w:rPr>
          <w:color w:val="cc4125"/>
          <w:rtl w:val="0"/>
        </w:rPr>
        <w:t xml:space="preserve">Posibles propuestas:</w:t>
      </w:r>
    </w:p>
    <w:p w:rsidR="00000000" w:rsidDel="00000000" w:rsidP="00000000" w:rsidRDefault="00000000" w:rsidRPr="00000000" w14:paraId="00000103">
      <w:pPr>
        <w:numPr>
          <w:ilvl w:val="0"/>
          <w:numId w:val="2"/>
        </w:numPr>
        <w:spacing w:after="0" w:before="0" w:line="360" w:lineRule="auto"/>
        <w:ind w:left="720" w:hanging="360"/>
        <w:rPr>
          <w:color w:val="cc4125"/>
        </w:rPr>
      </w:pPr>
      <w:r w:rsidDel="00000000" w:rsidR="00000000" w:rsidRPr="00000000">
        <w:rPr>
          <w:color w:val="cc4125"/>
          <w:rtl w:val="0"/>
        </w:rPr>
        <w:t xml:space="preserve">Incluir más variables emocionales y cognitivas</w:t>
        <w:br w:type="textWrapping"/>
      </w:r>
    </w:p>
    <w:p w:rsidR="00000000" w:rsidDel="00000000" w:rsidP="00000000" w:rsidRDefault="00000000" w:rsidRPr="00000000" w14:paraId="00000104">
      <w:pPr>
        <w:numPr>
          <w:ilvl w:val="0"/>
          <w:numId w:val="2"/>
        </w:numPr>
        <w:spacing w:after="0" w:before="0" w:line="360" w:lineRule="auto"/>
        <w:ind w:left="720" w:hanging="360"/>
        <w:rPr>
          <w:color w:val="cc4125"/>
        </w:rPr>
      </w:pPr>
      <w:r w:rsidDel="00000000" w:rsidR="00000000" w:rsidRPr="00000000">
        <w:rPr>
          <w:color w:val="cc4125"/>
          <w:rtl w:val="0"/>
        </w:rPr>
        <w:t xml:space="preserve">Crear modelos específicos por sexo</w:t>
      </w:r>
    </w:p>
    <w:p w:rsidR="00000000" w:rsidDel="00000000" w:rsidP="00000000" w:rsidRDefault="00000000" w:rsidRPr="00000000" w14:paraId="00000105">
      <w:pPr>
        <w:numPr>
          <w:ilvl w:val="0"/>
          <w:numId w:val="2"/>
        </w:numPr>
        <w:spacing w:after="0" w:before="0" w:line="360" w:lineRule="auto"/>
        <w:ind w:left="720" w:hanging="360"/>
        <w:rPr>
          <w:color w:val="cc4125"/>
        </w:rPr>
      </w:pPr>
      <w:r w:rsidDel="00000000" w:rsidR="00000000" w:rsidRPr="00000000">
        <w:rPr>
          <w:color w:val="cc4125"/>
          <w:rtl w:val="0"/>
        </w:rPr>
        <w:t xml:space="preserve">Aplicar técnicas de deep learning para conectomas (GNNs)</w:t>
      </w:r>
    </w:p>
    <w:p w:rsidR="00000000" w:rsidDel="00000000" w:rsidP="00000000" w:rsidRDefault="00000000" w:rsidRPr="00000000" w14:paraId="00000106">
      <w:pPr>
        <w:numPr>
          <w:ilvl w:val="0"/>
          <w:numId w:val="2"/>
        </w:numPr>
        <w:spacing w:after="0" w:before="0" w:line="360" w:lineRule="auto"/>
        <w:ind w:left="720" w:hanging="360"/>
        <w:rPr>
          <w:color w:val="cc4125"/>
        </w:rPr>
      </w:pPr>
      <w:r w:rsidDel="00000000" w:rsidR="00000000" w:rsidRPr="00000000">
        <w:rPr>
          <w:color w:val="cc4125"/>
          <w:rtl w:val="0"/>
        </w:rPr>
        <w:t xml:space="preserve">Analizar longitudinalmente marcadores neurofuncionales</w:t>
        <w:br w:type="textWrapping"/>
      </w:r>
    </w:p>
    <w:p w:rsidR="00000000" w:rsidDel="00000000" w:rsidP="00000000" w:rsidRDefault="00000000" w:rsidRPr="00000000" w14:paraId="00000107">
      <w:pPr>
        <w:spacing w:after="0" w:before="0" w:line="360" w:lineRule="auto"/>
        <w:rPr/>
      </w:pPr>
      <w:r w:rsidDel="00000000" w:rsidR="00000000" w:rsidRPr="00000000">
        <w:rPr>
          <w:rtl w:val="0"/>
        </w:rPr>
      </w:r>
    </w:p>
    <w:p w:rsidR="00000000" w:rsidDel="00000000" w:rsidP="00000000" w:rsidRDefault="00000000" w:rsidRPr="00000000" w14:paraId="00000108">
      <w:pPr>
        <w:keepNext w:val="0"/>
        <w:keepLines w:val="0"/>
        <w:spacing w:after="0" w:before="0" w:line="360" w:lineRule="auto"/>
        <w:rPr>
          <w:b w:val="1"/>
          <w:bCs w:val="1"/>
          <w:sz w:val="26"/>
          <w:szCs w:val="26"/>
        </w:rPr>
      </w:pPr>
      <w:r w:rsidDel="00000000" w:rsidR="00000000" w:rsidRPr="00000000">
        <w:rPr>
          <w:b w:val="1"/>
          <w:bCs w:val="1"/>
          <w:sz w:val="26"/>
          <w:szCs w:val="26"/>
          <w:rtl w:val="0"/>
        </w:rPr>
        <w:t xml:space="preserve">Capítulo 7. Conclusiones y futuras líneas de investigación</w:t>
      </w:r>
    </w:p>
    <w:p w:rsidR="00000000" w:rsidDel="00000000" w:rsidP="00000000" w:rsidRDefault="00000000" w:rsidRPr="00000000" w14:paraId="00000109">
      <w:pPr>
        <w:spacing w:after="0" w:before="0" w:line="360" w:lineRule="auto"/>
        <w:rPr/>
      </w:pPr>
      <w:r w:rsidDel="00000000" w:rsidR="00000000" w:rsidRPr="00000000">
        <w:rPr>
          <w:rtl w:val="0"/>
        </w:rPr>
      </w:r>
    </w:p>
    <w:p w:rsidR="00000000" w:rsidDel="00000000" w:rsidP="00000000" w:rsidRDefault="00000000" w:rsidRPr="00000000" w14:paraId="0000010A">
      <w:pPr>
        <w:keepNext w:val="0"/>
        <w:keepLines w:val="0"/>
        <w:spacing w:after="0" w:before="0" w:line="360" w:lineRule="auto"/>
        <w:rPr>
          <w:i w:val="1"/>
          <w:iCs w:val="1"/>
        </w:rPr>
      </w:pPr>
      <w:r w:rsidDel="00000000" w:rsidR="00000000" w:rsidRPr="00000000">
        <w:rPr>
          <w:i w:val="1"/>
          <w:iCs w:val="1"/>
          <w:rtl w:val="0"/>
        </w:rPr>
        <w:t xml:space="preserve">7.1. Principales conclusiones</w:t>
      </w:r>
    </w:p>
    <w:p w:rsidR="00000000" w:rsidDel="00000000" w:rsidP="00000000" w:rsidRDefault="00000000" w:rsidRPr="00000000" w14:paraId="0000010B">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10C">
      <w:pPr>
        <w:spacing w:after="0" w:before="0" w:line="360" w:lineRule="auto"/>
        <w:rPr>
          <w:color w:val="cc4125"/>
        </w:rPr>
      </w:pPr>
      <w:r w:rsidDel="00000000" w:rsidR="00000000" w:rsidRPr="00000000">
        <w:rPr>
          <w:color w:val="cc4125"/>
          <w:rtl w:val="0"/>
        </w:rPr>
        <w:t xml:space="preserve">Se completará con:</w:t>
      </w:r>
    </w:p>
    <w:p w:rsidR="00000000" w:rsidDel="00000000" w:rsidP="00000000" w:rsidRDefault="00000000" w:rsidRPr="00000000" w14:paraId="0000010D">
      <w:pPr>
        <w:numPr>
          <w:ilvl w:val="0"/>
          <w:numId w:val="4"/>
        </w:numPr>
        <w:spacing w:after="0" w:before="0" w:line="360" w:lineRule="auto"/>
        <w:ind w:left="720" w:hanging="360"/>
        <w:rPr>
          <w:color w:val="cc4125"/>
        </w:rPr>
      </w:pPr>
      <w:r w:rsidDel="00000000" w:rsidR="00000000" w:rsidRPr="00000000">
        <w:rPr>
          <w:color w:val="cc4125"/>
          <w:rtl w:val="0"/>
        </w:rPr>
        <w:t xml:space="preserve">Rendimiento final del mejor modelo</w:t>
      </w:r>
    </w:p>
    <w:p w:rsidR="00000000" w:rsidDel="00000000" w:rsidP="00000000" w:rsidRDefault="00000000" w:rsidRPr="00000000" w14:paraId="0000010E">
      <w:pPr>
        <w:numPr>
          <w:ilvl w:val="0"/>
          <w:numId w:val="4"/>
        </w:numPr>
        <w:spacing w:after="0" w:before="0" w:line="360" w:lineRule="auto"/>
        <w:ind w:left="720" w:hanging="360"/>
        <w:rPr>
          <w:color w:val="cc4125"/>
        </w:rPr>
      </w:pPr>
      <w:r w:rsidDel="00000000" w:rsidR="00000000" w:rsidRPr="00000000">
        <w:rPr>
          <w:color w:val="cc4125"/>
          <w:rtl w:val="0"/>
        </w:rPr>
        <w:t xml:space="preserve">Existencia o no de diferencias de conectividad por sexo</w:t>
      </w:r>
    </w:p>
    <w:p w:rsidR="00000000" w:rsidDel="00000000" w:rsidP="00000000" w:rsidRDefault="00000000" w:rsidRPr="00000000" w14:paraId="0000010F">
      <w:pPr>
        <w:numPr>
          <w:ilvl w:val="0"/>
          <w:numId w:val="4"/>
        </w:numPr>
        <w:spacing w:after="0" w:before="0" w:line="360" w:lineRule="auto"/>
        <w:ind w:left="720" w:hanging="360"/>
        <w:rPr/>
      </w:pPr>
      <w:r w:rsidDel="00000000" w:rsidR="00000000" w:rsidRPr="00000000">
        <w:rPr>
          <w:color w:val="cc4125"/>
          <w:rtl w:val="0"/>
        </w:rPr>
        <w:t xml:space="preserve">Grado de sesgo detectado</w:t>
      </w:r>
      <w:r w:rsidDel="00000000" w:rsidR="00000000" w:rsidRPr="00000000">
        <w:rPr>
          <w:rtl w:val="0"/>
        </w:rPr>
        <w:br w:type="textWrapping"/>
      </w:r>
    </w:p>
    <w:p w:rsidR="00000000" w:rsidDel="00000000" w:rsidP="00000000" w:rsidRDefault="00000000" w:rsidRPr="00000000" w14:paraId="00000110">
      <w:pPr>
        <w:keepNext w:val="0"/>
        <w:keepLines w:val="0"/>
        <w:spacing w:after="0" w:before="0" w:line="360" w:lineRule="auto"/>
        <w:rPr>
          <w:i w:val="1"/>
          <w:iCs w:val="1"/>
        </w:rPr>
      </w:pPr>
      <w:r w:rsidDel="00000000" w:rsidR="00000000" w:rsidRPr="00000000">
        <w:rPr>
          <w:i w:val="1"/>
          <w:iCs w:val="1"/>
          <w:rtl w:val="0"/>
        </w:rPr>
        <w:t xml:space="preserve">7.2. Aportes a la psicología del desarrollo y la neurociencia computacional</w:t>
      </w:r>
    </w:p>
    <w:p w:rsidR="00000000" w:rsidDel="00000000" w:rsidP="00000000" w:rsidRDefault="00000000" w:rsidRPr="00000000" w14:paraId="00000111">
      <w:pPr>
        <w:keepNext w:val="0"/>
        <w:keepLines w:val="0"/>
        <w:spacing w:after="0" w:before="0" w:line="360" w:lineRule="auto"/>
        <w:rPr>
          <w:i w:val="1"/>
          <w:iCs w:val="1"/>
        </w:rPr>
      </w:pPr>
      <w:r w:rsidDel="00000000" w:rsidR="00000000" w:rsidRPr="00000000">
        <w:rPr>
          <w:rtl w:val="0"/>
        </w:rPr>
      </w:r>
    </w:p>
    <w:p w:rsidR="00000000" w:rsidDel="00000000" w:rsidP="00000000" w:rsidRDefault="00000000" w:rsidRPr="00000000" w14:paraId="00000112">
      <w:pPr>
        <w:numPr>
          <w:ilvl w:val="0"/>
          <w:numId w:val="19"/>
        </w:numPr>
        <w:spacing w:after="0" w:before="0" w:line="360" w:lineRule="auto"/>
        <w:ind w:left="720" w:hanging="360"/>
        <w:rPr>
          <w:color w:val="cc4125"/>
        </w:rPr>
      </w:pPr>
      <w:r w:rsidDel="00000000" w:rsidR="00000000" w:rsidRPr="00000000">
        <w:rPr>
          <w:color w:val="cc4125"/>
          <w:rtl w:val="0"/>
        </w:rPr>
        <w:t xml:space="preserve">Evidencia sobre marcadores neurofuncionales del TDAH femenino</w:t>
      </w:r>
    </w:p>
    <w:p w:rsidR="00000000" w:rsidDel="00000000" w:rsidP="00000000" w:rsidRDefault="00000000" w:rsidRPr="00000000" w14:paraId="00000113">
      <w:pPr>
        <w:numPr>
          <w:ilvl w:val="0"/>
          <w:numId w:val="19"/>
        </w:numPr>
        <w:spacing w:after="0" w:before="0" w:line="360" w:lineRule="auto"/>
        <w:ind w:left="720" w:hanging="360"/>
        <w:rPr/>
      </w:pPr>
      <w:r w:rsidDel="00000000" w:rsidR="00000000" w:rsidRPr="00000000">
        <w:rPr>
          <w:color w:val="cc4125"/>
          <w:rtl w:val="0"/>
        </w:rPr>
        <w:t xml:space="preserve">Integración de fMRI + ML como herramienta diagnóstica complementaria</w:t>
      </w:r>
      <w:r w:rsidDel="00000000" w:rsidR="00000000" w:rsidRPr="00000000">
        <w:rPr>
          <w:rtl w:val="0"/>
        </w:rPr>
        <w:br w:type="textWrapping"/>
      </w:r>
    </w:p>
    <w:p w:rsidR="00000000" w:rsidDel="00000000" w:rsidP="00000000" w:rsidRDefault="00000000" w:rsidRPr="00000000" w14:paraId="00000114">
      <w:pPr>
        <w:keepNext w:val="0"/>
        <w:keepLines w:val="0"/>
        <w:spacing w:after="0" w:before="0" w:line="360" w:lineRule="auto"/>
        <w:rPr>
          <w:i w:val="1"/>
          <w:iCs w:val="1"/>
        </w:rPr>
      </w:pPr>
      <w:r w:rsidDel="00000000" w:rsidR="00000000" w:rsidRPr="00000000">
        <w:rPr>
          <w:i w:val="1"/>
          <w:iCs w:val="1"/>
          <w:rtl w:val="0"/>
        </w:rPr>
        <w:t xml:space="preserve">7.3. Aplicaciones clínicas y sociales</w:t>
      </w:r>
    </w:p>
    <w:p w:rsidR="00000000" w:rsidDel="00000000" w:rsidP="00000000" w:rsidRDefault="00000000" w:rsidRPr="00000000" w14:paraId="00000115">
      <w:pPr>
        <w:keepNext w:val="0"/>
        <w:keepLines w:val="0"/>
        <w:spacing w:after="0" w:before="0" w:line="360" w:lineRule="auto"/>
        <w:rPr/>
      </w:pPr>
      <w:r w:rsidDel="00000000" w:rsidR="00000000" w:rsidRPr="00000000">
        <w:rPr>
          <w:rtl w:val="0"/>
        </w:rPr>
      </w:r>
    </w:p>
    <w:p w:rsidR="00000000" w:rsidDel="00000000" w:rsidP="00000000" w:rsidRDefault="00000000" w:rsidRPr="00000000" w14:paraId="00000116">
      <w:pPr>
        <w:numPr>
          <w:ilvl w:val="0"/>
          <w:numId w:val="8"/>
        </w:numPr>
        <w:spacing w:after="0" w:before="0" w:line="360" w:lineRule="auto"/>
        <w:ind w:left="720" w:hanging="360"/>
        <w:rPr>
          <w:color w:val="cc4125"/>
        </w:rPr>
      </w:pPr>
      <w:r w:rsidDel="00000000" w:rsidR="00000000" w:rsidRPr="00000000">
        <w:rPr>
          <w:color w:val="cc4125"/>
          <w:rtl w:val="0"/>
        </w:rPr>
        <w:t xml:space="preserve">Relevancia para diagnóstico temprano</w:t>
      </w:r>
    </w:p>
    <w:p w:rsidR="00000000" w:rsidDel="00000000" w:rsidP="00000000" w:rsidRDefault="00000000" w:rsidRPr="00000000" w14:paraId="00000117">
      <w:pPr>
        <w:numPr>
          <w:ilvl w:val="0"/>
          <w:numId w:val="8"/>
        </w:numPr>
        <w:spacing w:after="0" w:before="0" w:line="360" w:lineRule="auto"/>
        <w:ind w:left="720" w:hanging="360"/>
        <w:rPr/>
      </w:pPr>
      <w:r w:rsidDel="00000000" w:rsidR="00000000" w:rsidRPr="00000000">
        <w:rPr>
          <w:color w:val="cc4125"/>
          <w:rtl w:val="0"/>
        </w:rPr>
        <w:t xml:space="preserve">Posible aplicación en contextos educativos y clínicos</w:t>
      </w:r>
      <w:r w:rsidDel="00000000" w:rsidR="00000000" w:rsidRPr="00000000">
        <w:rPr>
          <w:rtl w:val="0"/>
        </w:rPr>
        <w:br w:type="textWrapping"/>
      </w:r>
    </w:p>
    <w:p w:rsidR="00000000" w:rsidDel="00000000" w:rsidP="00000000" w:rsidRDefault="00000000" w:rsidRPr="00000000" w14:paraId="00000118">
      <w:pPr>
        <w:keepNext w:val="0"/>
        <w:keepLines w:val="0"/>
        <w:spacing w:after="0" w:before="0" w:line="360" w:lineRule="auto"/>
        <w:rPr>
          <w:i w:val="1"/>
          <w:iCs w:val="1"/>
        </w:rPr>
      </w:pPr>
      <w:r w:rsidDel="00000000" w:rsidR="00000000" w:rsidRPr="00000000">
        <w:rPr>
          <w:i w:val="1"/>
          <w:iCs w:val="1"/>
          <w:rtl w:val="0"/>
        </w:rPr>
        <w:t xml:space="preserve">7.4. Propuestas para trabajos futuros</w:t>
      </w:r>
    </w:p>
    <w:p w:rsidR="00000000" w:rsidDel="00000000" w:rsidP="00000000" w:rsidRDefault="00000000" w:rsidRPr="00000000" w14:paraId="00000119">
      <w:pPr>
        <w:keepNext w:val="0"/>
        <w:keepLines w:val="0"/>
        <w:spacing w:after="0" w:before="0" w:line="360" w:lineRule="auto"/>
        <w:rPr/>
      </w:pPr>
      <w:r w:rsidDel="00000000" w:rsidR="00000000" w:rsidRPr="00000000">
        <w:rPr>
          <w:rtl w:val="0"/>
        </w:rPr>
      </w:r>
    </w:p>
    <w:p w:rsidR="00000000" w:rsidDel="00000000" w:rsidP="00000000" w:rsidRDefault="00000000" w:rsidRPr="00000000" w14:paraId="0000011A">
      <w:pPr>
        <w:numPr>
          <w:ilvl w:val="0"/>
          <w:numId w:val="15"/>
        </w:numPr>
        <w:spacing w:after="0" w:before="0" w:line="360" w:lineRule="auto"/>
        <w:ind w:left="720" w:hanging="360"/>
        <w:rPr>
          <w:color w:val="cc4125"/>
        </w:rPr>
      </w:pPr>
      <w:r w:rsidDel="00000000" w:rsidR="00000000" w:rsidRPr="00000000">
        <w:rPr>
          <w:color w:val="cc4125"/>
          <w:rtl w:val="0"/>
        </w:rPr>
        <w:t xml:space="preserve">Modelos interpretables por sexo</w:t>
      </w:r>
    </w:p>
    <w:p w:rsidR="00000000" w:rsidDel="00000000" w:rsidP="00000000" w:rsidRDefault="00000000" w:rsidRPr="00000000" w14:paraId="0000011B">
      <w:pPr>
        <w:numPr>
          <w:ilvl w:val="0"/>
          <w:numId w:val="15"/>
        </w:numPr>
        <w:spacing w:after="0" w:before="0" w:line="360" w:lineRule="auto"/>
        <w:ind w:left="720" w:hanging="360"/>
        <w:rPr>
          <w:color w:val="cc4125"/>
        </w:rPr>
      </w:pPr>
      <w:r w:rsidDel="00000000" w:rsidR="00000000" w:rsidRPr="00000000">
        <w:rPr>
          <w:color w:val="cc4125"/>
          <w:rtl w:val="0"/>
        </w:rPr>
        <w:t xml:space="preserve">Análisis de redes dinámicas (dFC)</w:t>
      </w:r>
    </w:p>
    <w:p w:rsidR="00000000" w:rsidDel="00000000" w:rsidP="00000000" w:rsidRDefault="00000000" w:rsidRPr="00000000" w14:paraId="0000011C">
      <w:pPr>
        <w:numPr>
          <w:ilvl w:val="0"/>
          <w:numId w:val="15"/>
        </w:numPr>
        <w:spacing w:after="0" w:before="0" w:line="360" w:lineRule="auto"/>
        <w:ind w:left="720" w:hanging="360"/>
        <w:rPr/>
      </w:pPr>
      <w:r w:rsidDel="00000000" w:rsidR="00000000" w:rsidRPr="00000000">
        <w:rPr>
          <w:color w:val="cc4125"/>
          <w:rtl w:val="0"/>
        </w:rPr>
        <w:t xml:space="preserve">Estudios con muestras clínicas más balanceada</w:t>
      </w:r>
      <w:r w:rsidDel="00000000" w:rsidR="00000000" w:rsidRPr="00000000">
        <w:rPr>
          <w:rtl w:val="0"/>
        </w:rPr>
        <w:t xml:space="preserve">s</w:t>
        <w:br w:type="textWrapping"/>
      </w:r>
    </w:p>
    <w:p w:rsidR="00000000" w:rsidDel="00000000" w:rsidP="00000000" w:rsidRDefault="00000000" w:rsidRPr="00000000" w14:paraId="0000011D">
      <w:pPr>
        <w:spacing w:after="0" w:before="0" w:line="360" w:lineRule="auto"/>
        <w:rPr/>
      </w:pPr>
      <w:r w:rsidDel="00000000" w:rsidR="00000000" w:rsidRPr="00000000">
        <w:rPr>
          <w:rtl w:val="0"/>
        </w:rPr>
      </w:r>
    </w:p>
    <w:p w:rsidR="00000000" w:rsidDel="00000000" w:rsidP="00000000" w:rsidRDefault="00000000" w:rsidRPr="00000000" w14:paraId="0000011E">
      <w:pPr>
        <w:spacing w:after="0" w:before="0" w:line="360" w:lineRule="auto"/>
        <w:jc w:val="both"/>
        <w:rPr/>
      </w:pPr>
      <w:r w:rsidDel="00000000" w:rsidR="00000000" w:rsidRPr="00000000">
        <w:rPr>
          <w:rtl w:val="0"/>
        </w:rPr>
      </w:r>
    </w:p>
    <w:p w:rsidR="00000000" w:rsidDel="00000000" w:rsidP="00000000" w:rsidRDefault="00000000" w:rsidRPr="00000000" w14:paraId="0000011F">
      <w:pPr>
        <w:spacing w:after="0" w:before="0" w:line="360" w:lineRule="auto"/>
        <w:jc w:val="both"/>
        <w:rPr/>
      </w:pPr>
      <w:r w:rsidDel="00000000" w:rsidR="00000000" w:rsidRPr="00000000">
        <w:rPr>
          <w:rtl w:val="0"/>
        </w:rPr>
      </w:r>
    </w:p>
    <w:p w:rsidR="00000000" w:rsidDel="00000000" w:rsidP="00000000" w:rsidRDefault="00000000" w:rsidRPr="00000000" w14:paraId="00000120">
      <w:pPr>
        <w:spacing w:after="0" w:before="0" w:line="360" w:lineRule="auto"/>
        <w:jc w:val="both"/>
        <w:rPr>
          <w:b w:val="1"/>
          <w:bCs w:val="1"/>
          <w:sz w:val="26"/>
          <w:szCs w:val="26"/>
        </w:rPr>
      </w:pPr>
      <w:r w:rsidDel="00000000" w:rsidR="00000000" w:rsidRPr="00000000">
        <w:rPr>
          <w:b w:val="1"/>
          <w:bCs w:val="1"/>
          <w:sz w:val="26"/>
          <w:szCs w:val="26"/>
          <w:rtl w:val="0"/>
        </w:rPr>
        <w:t xml:space="preserve">Bibliografía</w:t>
      </w:r>
    </w:p>
    <w:p w:rsidR="00000000" w:rsidDel="00000000" w:rsidP="00000000" w:rsidRDefault="00000000" w:rsidRPr="00000000" w14:paraId="00000121">
      <w:pPr>
        <w:numPr>
          <w:ilvl w:val="0"/>
          <w:numId w:val="6"/>
        </w:numPr>
        <w:spacing w:after="0" w:before="0" w:line="360" w:lineRule="auto"/>
        <w:ind w:left="720" w:hanging="360"/>
        <w:jc w:val="both"/>
        <w:rPr/>
      </w:pPr>
      <w:r w:rsidDel="00000000" w:rsidR="00000000" w:rsidRPr="00000000">
        <w:rPr>
          <w:rtl w:val="0"/>
        </w:rPr>
        <w:t xml:space="preserve">American Psychiatric Association. (2013). *Diagnostic and statistical manual of mental disorders (5th ed.)*.</w:t>
      </w:r>
    </w:p>
    <w:p w:rsidR="00000000" w:rsidDel="00000000" w:rsidP="00000000" w:rsidRDefault="00000000" w:rsidRPr="00000000" w14:paraId="00000122">
      <w:pPr>
        <w:numPr>
          <w:ilvl w:val="0"/>
          <w:numId w:val="6"/>
        </w:numPr>
        <w:spacing w:after="0" w:before="0" w:line="360" w:lineRule="auto"/>
        <w:ind w:left="720" w:hanging="360"/>
        <w:jc w:val="both"/>
        <w:rPr/>
      </w:pPr>
      <w:r w:rsidDel="00000000" w:rsidR="00000000" w:rsidRPr="00000000">
        <w:rPr>
          <w:rtl w:val="0"/>
        </w:rPr>
        <w:t xml:space="preserve">Child Mind Institute. (2024). *Healthy Brain Network dataset*. Retrieved from </w:t>
      </w:r>
      <w:hyperlink r:id="rId9">
        <w:r w:rsidDel="00000000" w:rsidR="00000000" w:rsidRPr="00000000">
          <w:rPr>
            <w:color w:val="1155cc"/>
            <w:u w:val="single"/>
            <w:rtl w:val="0"/>
          </w:rPr>
          <w:t xml:space="preserve">https://childmind.org/research/healthy-brain-network/</w:t>
        </w:r>
      </w:hyperlink>
      <w:r w:rsidDel="00000000" w:rsidR="00000000" w:rsidRPr="00000000">
        <w:rPr>
          <w:rtl w:val="0"/>
        </w:rPr>
      </w:r>
    </w:p>
    <w:p w:rsidR="00000000" w:rsidDel="00000000" w:rsidP="00000000" w:rsidRDefault="00000000" w:rsidRPr="00000000" w14:paraId="00000123">
      <w:pPr>
        <w:numPr>
          <w:ilvl w:val="0"/>
          <w:numId w:val="6"/>
        </w:numPr>
        <w:spacing w:after="0" w:before="0" w:line="360" w:lineRule="auto"/>
        <w:ind w:left="720" w:hanging="360"/>
        <w:jc w:val="both"/>
        <w:rPr/>
      </w:pPr>
      <w:r w:rsidDel="00000000" w:rsidR="00000000" w:rsidRPr="00000000">
        <w:rPr>
          <w:rtl w:val="0"/>
        </w:rPr>
        <w:t xml:space="preserve">Frijda, N. H. (1986). *The emotions*. Cambridge University Press.</w:t>
      </w:r>
    </w:p>
    <w:p w:rsidR="00000000" w:rsidDel="00000000" w:rsidP="00000000" w:rsidRDefault="00000000" w:rsidRPr="00000000" w14:paraId="00000124">
      <w:pPr>
        <w:numPr>
          <w:ilvl w:val="0"/>
          <w:numId w:val="6"/>
        </w:numPr>
        <w:spacing w:after="0" w:afterAutospacing="0" w:before="0" w:line="360" w:lineRule="auto"/>
        <w:ind w:left="720" w:hanging="360"/>
        <w:jc w:val="both"/>
        <w:rPr/>
      </w:pPr>
      <w:r w:rsidDel="00000000" w:rsidR="00000000" w:rsidRPr="00000000">
        <w:rPr>
          <w:rtl w:val="0"/>
        </w:rPr>
        <w:t xml:space="preserve">Schaefer, A. et al. (2018). *Local-global parcellation of the human cerebral cortex from intrinsic functional connectivity MRI*. *Cerebral Cortex*, 28(9), 3095–3114.</w:t>
      </w:r>
    </w:p>
    <w:p w:rsidR="00000000" w:rsidDel="00000000" w:rsidP="00000000" w:rsidRDefault="00000000" w:rsidRPr="00000000" w14:paraId="00000125">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Albajara Sáenz, A., Villemonteix, T., &amp; Massat, I. (2019). Structural and functional neuroimaging in ADHD. </w:t>
      </w:r>
      <w:r w:rsidDel="00000000" w:rsidR="00000000" w:rsidRPr="00000000">
        <w:rPr>
          <w:rFonts w:ascii="Arial" w:cs="Arial" w:eastAsia="Arial" w:hAnsi="Arial"/>
          <w:i w:val="1"/>
          <w:iCs w:val="1"/>
          <w:sz w:val="20"/>
          <w:szCs w:val="20"/>
          <w:rtl w:val="0"/>
        </w:rPr>
        <w:t xml:space="preserve">Developmental Medicine &amp; Child Neurology</w:t>
      </w:r>
      <w:r w:rsidDel="00000000" w:rsidR="00000000" w:rsidRPr="00000000">
        <w:rPr>
          <w:rFonts w:ascii="Arial" w:cs="Arial" w:eastAsia="Arial" w:hAnsi="Arial"/>
          <w:sz w:val="20"/>
          <w:szCs w:val="20"/>
          <w:rtl w:val="0"/>
        </w:rPr>
        <w:t xml:space="preserve">, 61(5), 463–470.</w:t>
        <w:br w:type="textWrapping"/>
      </w:r>
    </w:p>
    <w:p w:rsidR="00000000" w:rsidDel="00000000" w:rsidP="00000000" w:rsidRDefault="00000000" w:rsidRPr="00000000" w14:paraId="00000126">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Ciric, R., et al. (2017). Benchmarking confound regression strategies for fMRI. </w:t>
      </w:r>
      <w:r w:rsidDel="00000000" w:rsidR="00000000" w:rsidRPr="00000000">
        <w:rPr>
          <w:rFonts w:ascii="Arial" w:cs="Arial" w:eastAsia="Arial" w:hAnsi="Arial"/>
          <w:i w:val="1"/>
          <w:iCs w:val="1"/>
          <w:sz w:val="20"/>
          <w:szCs w:val="20"/>
          <w:rtl w:val="0"/>
        </w:rPr>
        <w:t xml:space="preserve">NeuroImage</w:t>
      </w:r>
      <w:r w:rsidDel="00000000" w:rsidR="00000000" w:rsidRPr="00000000">
        <w:rPr>
          <w:rFonts w:ascii="Arial" w:cs="Arial" w:eastAsia="Arial" w:hAnsi="Arial"/>
          <w:sz w:val="20"/>
          <w:szCs w:val="20"/>
          <w:rtl w:val="0"/>
        </w:rPr>
        <w:t xml:space="preserve">, 154, 174–187.</w:t>
        <w:br w:type="textWrapping"/>
      </w:r>
    </w:p>
    <w:p w:rsidR="00000000" w:rsidDel="00000000" w:rsidP="00000000" w:rsidRDefault="00000000" w:rsidRPr="00000000" w14:paraId="00000127">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Dadi, K., et al. (2019). Benchmarking ML models for brain disorders using fMRI. </w:t>
      </w:r>
      <w:r w:rsidDel="00000000" w:rsidR="00000000" w:rsidRPr="00000000">
        <w:rPr>
          <w:rFonts w:ascii="Arial" w:cs="Arial" w:eastAsia="Arial" w:hAnsi="Arial"/>
          <w:i w:val="1"/>
          <w:iCs w:val="1"/>
          <w:sz w:val="20"/>
          <w:szCs w:val="20"/>
          <w:rtl w:val="0"/>
        </w:rPr>
        <w:t xml:space="preserve">Nature Scientific Reports</w:t>
      </w:r>
      <w:r w:rsidDel="00000000" w:rsidR="00000000" w:rsidRPr="00000000">
        <w:rPr>
          <w:rFonts w:ascii="Arial" w:cs="Arial" w:eastAsia="Arial" w:hAnsi="Arial"/>
          <w:sz w:val="20"/>
          <w:szCs w:val="20"/>
          <w:rtl w:val="0"/>
        </w:rPr>
        <w:t xml:space="preserve">, 9, 8952.</w:t>
        <w:br w:type="textWrapping"/>
      </w:r>
    </w:p>
    <w:p w:rsidR="00000000" w:rsidDel="00000000" w:rsidP="00000000" w:rsidRDefault="00000000" w:rsidRPr="00000000" w14:paraId="00000128">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Esteban, O., et al. (2019). fMRIPrep: robust preprocessing for fMRI. </w:t>
      </w:r>
      <w:r w:rsidDel="00000000" w:rsidR="00000000" w:rsidRPr="00000000">
        <w:rPr>
          <w:rFonts w:ascii="Arial" w:cs="Arial" w:eastAsia="Arial" w:hAnsi="Arial"/>
          <w:i w:val="1"/>
          <w:iCs w:val="1"/>
          <w:sz w:val="20"/>
          <w:szCs w:val="20"/>
          <w:rtl w:val="0"/>
        </w:rPr>
        <w:t xml:space="preserve">Nature Methods</w:t>
      </w:r>
      <w:r w:rsidDel="00000000" w:rsidR="00000000" w:rsidRPr="00000000">
        <w:rPr>
          <w:rFonts w:ascii="Arial" w:cs="Arial" w:eastAsia="Arial" w:hAnsi="Arial"/>
          <w:sz w:val="20"/>
          <w:szCs w:val="20"/>
          <w:rtl w:val="0"/>
        </w:rPr>
        <w:t xml:space="preserve">, 16, 111–116.</w:t>
        <w:br w:type="textWrapping"/>
      </w:r>
    </w:p>
    <w:p w:rsidR="00000000" w:rsidDel="00000000" w:rsidP="00000000" w:rsidRDefault="00000000" w:rsidRPr="00000000" w14:paraId="00000129">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Finn, E. et al. (2015). Functional connectome fingerprinting. </w:t>
      </w:r>
      <w:r w:rsidDel="00000000" w:rsidR="00000000" w:rsidRPr="00000000">
        <w:rPr>
          <w:rFonts w:ascii="Arial" w:cs="Arial" w:eastAsia="Arial" w:hAnsi="Arial"/>
          <w:i w:val="1"/>
          <w:iCs w:val="1"/>
          <w:sz w:val="20"/>
          <w:szCs w:val="20"/>
          <w:rtl w:val="0"/>
        </w:rPr>
        <w:t xml:space="preserve">Nature Neuroscience</w:t>
      </w:r>
      <w:r w:rsidDel="00000000" w:rsidR="00000000" w:rsidRPr="00000000">
        <w:rPr>
          <w:rFonts w:ascii="Arial" w:cs="Arial" w:eastAsia="Arial" w:hAnsi="Arial"/>
          <w:sz w:val="20"/>
          <w:szCs w:val="20"/>
          <w:rtl w:val="0"/>
        </w:rPr>
        <w:t xml:space="preserve">, 18, 1664–1671.</w:t>
        <w:br w:type="textWrapping"/>
      </w:r>
    </w:p>
    <w:p w:rsidR="00000000" w:rsidDel="00000000" w:rsidP="00000000" w:rsidRDefault="00000000" w:rsidRPr="00000000" w14:paraId="0000012A">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Rubia, K. (2018). Cognitive neuroscience of ADHD. </w:t>
      </w:r>
      <w:r w:rsidDel="00000000" w:rsidR="00000000" w:rsidRPr="00000000">
        <w:rPr>
          <w:rFonts w:ascii="Arial" w:cs="Arial" w:eastAsia="Arial" w:hAnsi="Arial"/>
          <w:i w:val="1"/>
          <w:iCs w:val="1"/>
          <w:sz w:val="20"/>
          <w:szCs w:val="20"/>
          <w:rtl w:val="0"/>
        </w:rPr>
        <w:t xml:space="preserve">Frontiers in Human Neuroscience</w:t>
      </w:r>
      <w:r w:rsidDel="00000000" w:rsidR="00000000" w:rsidRPr="00000000">
        <w:rPr>
          <w:rFonts w:ascii="Arial" w:cs="Arial" w:eastAsia="Arial" w:hAnsi="Arial"/>
          <w:sz w:val="20"/>
          <w:szCs w:val="20"/>
          <w:rtl w:val="0"/>
        </w:rPr>
        <w:t xml:space="preserve">, 12, 100.</w:t>
        <w:br w:type="textWrapping"/>
      </w:r>
    </w:p>
    <w:p w:rsidR="00000000" w:rsidDel="00000000" w:rsidP="00000000" w:rsidRDefault="00000000" w:rsidRPr="00000000" w14:paraId="0000012B">
      <w:pPr>
        <w:numPr>
          <w:ilvl w:val="0"/>
          <w:numId w:val="6"/>
        </w:numPr>
        <w:spacing w:after="0" w:afterAutospacing="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Sutcubasi, B., et al. (2020). Multimodal neuroimaging in ADHD. </w:t>
      </w:r>
      <w:r w:rsidDel="00000000" w:rsidR="00000000" w:rsidRPr="00000000">
        <w:rPr>
          <w:rFonts w:ascii="Arial" w:cs="Arial" w:eastAsia="Arial" w:hAnsi="Arial"/>
          <w:i w:val="1"/>
          <w:iCs w:val="1"/>
          <w:sz w:val="20"/>
          <w:szCs w:val="20"/>
          <w:rtl w:val="0"/>
        </w:rPr>
        <w:t xml:space="preserve">Neuroscience &amp; Biobehavioral Reviews</w:t>
      </w:r>
      <w:r w:rsidDel="00000000" w:rsidR="00000000" w:rsidRPr="00000000">
        <w:rPr>
          <w:rFonts w:ascii="Arial" w:cs="Arial" w:eastAsia="Arial" w:hAnsi="Arial"/>
          <w:sz w:val="20"/>
          <w:szCs w:val="20"/>
          <w:rtl w:val="0"/>
        </w:rPr>
        <w:t xml:space="preserve">, 118, 613–628.</w:t>
        <w:br w:type="textWrapping"/>
      </w:r>
    </w:p>
    <w:p w:rsidR="00000000" w:rsidDel="00000000" w:rsidP="00000000" w:rsidRDefault="00000000" w:rsidRPr="00000000" w14:paraId="0000012C">
      <w:pPr>
        <w:numPr>
          <w:ilvl w:val="0"/>
          <w:numId w:val="6"/>
        </w:numPr>
        <w:spacing w:after="24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Varoquaux, G. (2014). ML in cognitive neuroimaging. </w:t>
      </w:r>
      <w:r w:rsidDel="00000000" w:rsidR="00000000" w:rsidRPr="00000000">
        <w:rPr>
          <w:rFonts w:ascii="Arial" w:cs="Arial" w:eastAsia="Arial" w:hAnsi="Arial"/>
          <w:i w:val="1"/>
          <w:iCs w:val="1"/>
          <w:sz w:val="20"/>
          <w:szCs w:val="20"/>
          <w:rtl w:val="0"/>
        </w:rPr>
        <w:t xml:space="preserve">GigaScience</w:t>
      </w:r>
      <w:r w:rsidDel="00000000" w:rsidR="00000000" w:rsidRPr="00000000">
        <w:rPr>
          <w:rFonts w:ascii="Arial" w:cs="Arial" w:eastAsia="Arial" w:hAnsi="Arial"/>
          <w:sz w:val="20"/>
          <w:szCs w:val="20"/>
          <w:rtl w:val="0"/>
        </w:rPr>
        <w:t xml:space="preserve">, 3(1), 28.</w:t>
      </w:r>
      <w:r w:rsidDel="00000000" w:rsidR="00000000" w:rsidRPr="00000000">
        <w:rPr>
          <w:rtl w:val="0"/>
        </w:rPr>
      </w:r>
    </w:p>
    <w:sectPr>
      <w:footerReference r:id="rId10"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ssia derossi" w:id="0" w:date="2025-11-24T18:21:4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w:t>
      </w:r>
    </w:p>
  </w:comment>
  <w:comment w:author="Alessia derossi" w:id="1" w:date="2025-11-24T18:22: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E" w15:done="0"/>
  <w15:commentEx w15:paraId="000001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childmind.org/research/healthy-brain-networ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89tG8cUR/GXbmF4KCXHihDrQvA==">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0wdjd2cnNmenFkdjIOaC5tMHY3dnJzZnpxZHYyDmgubTB2N3Zyc2Z6cWR2Mg5oLms1Y2Qxazd2Z3hycDIOaC5zbHFkeDZlbnpsbHMyDmguNWhsa3V3MWk3NTJvMg5oLmMyaWZyNWlsdTJnajIOaC51MXZ5OWVkb2xxbXQyDmguaDk2b2k4cjRxc3R2Mg5oLmRvcGw2NDJxMXd2NTIOaC44NWx0eHYyenRybTIyDmguc3BranlzbjdpMHR4Mg5oLnNuZjRwb2Jub3MyMTIOaC5jNmlyeHljcDVxd2MyDmguNm9qNWwzajkxMzJzMg5oLjd5dDAzYzR5dnBucDIOaC56Nno4eXJyMnFtMG4yDmguY2Vrd3YwMnRiYjIxOAByITFYaGVsMGZuMF8zWjV4bGJIUHZfMVVLMDYzNE5aWFd1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