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2E44"/>
          <w:sz w:val="48"/>
          <w:szCs w:val="48"/>
        </w:rPr>
        <w:t xml:space="preserve">DATA ANALYTICS PORTFOLIO</w:t>
      </w:r>
    </w:p>
    <w:p>
      <w:pPr>
        <w:spacing w:after="80" w:before="0"/>
        <w:jc w:val="center"/>
      </w:pPr>
      <w:r>
        <w:rPr>
          <w:rFonts w:ascii="Arial" w:cs="Arial" w:eastAsia="Arial" w:hAnsi="Arial"/>
          <w:i/>
          <w:iCs/>
          <w:color w:val="028090"/>
          <w:sz w:val="26"/>
          <w:szCs w:val="26"/>
        </w:rPr>
        <w:t xml:space="preserve">Business Intelligence &amp; Tableau Dashboard Design</w:t>
      </w:r>
    </w:p>
    <w:p>
      <w:pPr>
        <w:spacing w:after="400" w:before="0"/>
        <w:jc w:val="center"/>
      </w:pPr>
      <w:r>
        <w:rPr>
          <w:rFonts w:ascii="Arial" w:cs="Arial" w:eastAsia="Arial" w:hAnsi="Arial"/>
          <w:color w:val="6B7280"/>
          <w:sz w:val="22"/>
          <w:szCs w:val="22"/>
        </w:rPr>
        <w:t xml:space="preserve">2023 – 2024</w:t>
      </w:r>
    </w:p>
    <w:p>
      <w:pPr>
        <w:pBdr>
          <w:bottom w:val="single" w:color="028090" w:sz="4" w:space="1"/>
        </w:pBdr>
        <w:spacing w:after="160" w:before="160"/>
      </w:pPr>
    </w:p>
    <w:p>
      <w:pPr>
        <w:spacing w:after="120" w:before="320"/>
      </w:pPr>
      <w:r>
        <w:rPr>
          <w:rFonts w:ascii="Arial" w:cs="Arial" w:eastAsia="Arial" w:hAnsi="Arial"/>
          <w:b/>
          <w:bCs/>
          <w:color w:val="1A2E44"/>
          <w:sz w:val="28"/>
          <w:szCs w:val="28"/>
        </w:rPr>
        <w:t xml:space="preserve">About This Portfolio</w:t>
      </w:r>
    </w:p>
    <w:p>
      <w:pPr>
        <w:spacing w:after="80" w:before="80"/>
      </w:pPr>
      <w:r>
        <w:rPr>
          <w:rFonts w:ascii="Arial" w:cs="Arial" w:eastAsia="Arial" w:hAnsi="Arial"/>
          <w:color w:val="374151"/>
          <w:sz w:val="22"/>
          <w:szCs w:val="22"/>
        </w:rPr>
        <w:t xml:space="preserve">This portfolio showcases two end-to-end Tableau dashboard projects designed to transform raw business data into strategic, decision-ready intelligence. Each project demonstrates a full data lifecycle — from understanding stakeholder needs and cleaning data, to designing intuitive visual experiences that drive real business outcomes.</w:t>
      </w:r>
    </w:p>
    <w:p>
      <w:pPr>
        <w:spacing w:after="80" w:before="80"/>
      </w:pPr>
      <w:r>
        <w:rPr>
          <w:rFonts w:ascii="Arial" w:cs="Arial" w:eastAsia="Arial" w:hAnsi="Arial"/>
          <w:color w:val="374151"/>
          <w:sz w:val="22"/>
          <w:szCs w:val="22"/>
        </w:rPr>
        <w:t xml:space="preserve">Both dashboards were built using Tableau Desktop and reflect industry best practices in visual storytelling, KPI design, and interactive filtering. The goal: make complexity feel effortless for every end user.</w:t>
      </w:r>
    </w:p>
    <w:p>
      <w:pPr>
        <w:pBdr>
          <w:bottom w:val="single" w:color="028090" w:sz="4" w:space="1"/>
        </w:pBdr>
        <w:spacing w:after="160" w:before="160"/>
      </w:pPr>
    </w:p>
    <w:p>
      <w:pPr>
        <w:spacing w:after="60" w:before="400"/>
      </w:pPr>
      <w:r>
        <w:rPr>
          <w:rFonts w:ascii="Arial" w:cs="Arial" w:eastAsia="Arial" w:hAnsi="Arial"/>
          <w:b/>
          <w:bCs/>
          <w:caps/>
          <w:color w:val="028090"/>
          <w:sz w:val="20"/>
          <w:szCs w:val="20"/>
        </w:rPr>
        <w:t xml:space="preserve">PROJECT 01</w:t>
      </w:r>
    </w:p>
    <w:p>
      <w:pPr>
        <w:spacing w:after="160" w:before="0"/>
      </w:pPr>
      <w:r>
        <w:rPr>
          <w:rFonts w:ascii="Arial" w:cs="Arial" w:eastAsia="Arial" w:hAnsi="Arial"/>
          <w:b/>
          <w:bCs/>
          <w:color w:val="1A2E44"/>
          <w:sz w:val="40"/>
          <w:szCs w:val="40"/>
        </w:rPr>
        <w:t xml:space="preserve">Sales &amp; Customer Intelligence Dashboard</w:t>
      </w:r>
    </w:p>
    <w:p>
      <w:pPr>
        <w:spacing w:after="80" w:before="80"/>
      </w:pPr>
      <w:r>
        <w:rPr>
          <w:rFonts w:ascii="Arial" w:cs="Arial" w:eastAsia="Arial" w:hAnsi="Arial"/>
          <w:color w:val="6B7280"/>
          <w:sz w:val="22"/>
          <w:szCs w:val="22"/>
        </w:rPr>
        <w:t xml:space="preserve">A dual-view Tableau dashboard delivering real-time visibility into revenue performance and customer behavior — built for sales leadership teams who need answers fast.</w:t>
      </w:r>
    </w:p>
    <w:p>
      <w:pPr>
        <w:spacing w:after="120" w:before="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gridCol w:w="100"/>
        <w:gridCol w:w="100"/>
        <w:gridCol w:w="100"/>
        <w:gridCol w:w="100"/>
      </w:tblGrid>
      <w:tr>
        <w:tc>
          <w:tcPr>
            <w:tcBorders>
              <w:top w:val="none" w:color="FFFFFF" w:sz="0"/>
              <w:left w:val="none" w:color="FFFFFF" w:sz="0"/>
              <w:bottom w:val="none" w:color="FFFFFF" w:sz="0"/>
              <w:right w:val="none" w:color="FFFFFF" w:sz="0"/>
            </w:tcBorders>
            <w:shd w:fill="EAF6F6" w:val="clear"/>
            <w:tcMar>
              <w:top w:type="dxa" w:w="60"/>
              <w:left w:type="dxa" w:w="100"/>
              <w:bottom w:type="dxa" w:w="60"/>
              <w:right w:type="dxa" w:w="100"/>
            </w:tcMar>
          </w:tcPr>
          <w:p>
            <w:pPr>
              <w:jc w:val="center"/>
            </w:pPr>
            <w:r>
              <w:rPr>
                <w:rFonts w:ascii="Arial" w:cs="Arial" w:eastAsia="Arial" w:hAnsi="Arial"/>
                <w:b/>
                <w:bCs/>
                <w:color w:val="028090"/>
                <w:sz w:val="18"/>
                <w:szCs w:val="18"/>
              </w:rPr>
              <w:t xml:space="preserve">Tableau Desktop</w:t>
            </w:r>
          </w:p>
        </w:tc>
        <w:tc>
          <w:tcPr>
            <w:tcW w:type="dxa" w:w="200"/>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EAF6F6" w:val="clear"/>
            <w:tcMar>
              <w:top w:type="dxa" w:w="60"/>
              <w:left w:type="dxa" w:w="100"/>
              <w:bottom w:type="dxa" w:w="60"/>
              <w:right w:type="dxa" w:w="100"/>
            </w:tcMar>
          </w:tcPr>
          <w:p>
            <w:pPr>
              <w:jc w:val="center"/>
            </w:pPr>
            <w:r>
              <w:rPr>
                <w:rFonts w:ascii="Arial" w:cs="Arial" w:eastAsia="Arial" w:hAnsi="Arial"/>
                <w:b/>
                <w:bCs/>
                <w:color w:val="028090"/>
                <w:sz w:val="18"/>
                <w:szCs w:val="18"/>
              </w:rPr>
              <w:t xml:space="preserve">Sales Analytics</w:t>
            </w:r>
          </w:p>
        </w:tc>
        <w:tc>
          <w:tcPr>
            <w:tcW w:type="dxa" w:w="200"/>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EAF6F6" w:val="clear"/>
            <w:tcMar>
              <w:top w:type="dxa" w:w="60"/>
              <w:left w:type="dxa" w:w="100"/>
              <w:bottom w:type="dxa" w:w="60"/>
              <w:right w:type="dxa" w:w="100"/>
            </w:tcMar>
          </w:tcPr>
          <w:p>
            <w:pPr>
              <w:jc w:val="center"/>
            </w:pPr>
            <w:r>
              <w:rPr>
                <w:rFonts w:ascii="Arial" w:cs="Arial" w:eastAsia="Arial" w:hAnsi="Arial"/>
                <w:b/>
                <w:bCs/>
                <w:color w:val="028090"/>
                <w:sz w:val="18"/>
                <w:szCs w:val="18"/>
              </w:rPr>
              <w:t xml:space="preserve">Customer Segmentation</w:t>
            </w:r>
          </w:p>
        </w:tc>
        <w:tc>
          <w:tcPr>
            <w:tcW w:type="dxa" w:w="200"/>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EAF6F6" w:val="clear"/>
            <w:tcMar>
              <w:top w:type="dxa" w:w="60"/>
              <w:left w:type="dxa" w:w="100"/>
              <w:bottom w:type="dxa" w:w="60"/>
              <w:right w:type="dxa" w:w="100"/>
            </w:tcMar>
          </w:tcPr>
          <w:p>
            <w:pPr>
              <w:jc w:val="center"/>
            </w:pPr>
            <w:r>
              <w:rPr>
                <w:rFonts w:ascii="Arial" w:cs="Arial" w:eastAsia="Arial" w:hAnsi="Arial"/>
                <w:b/>
                <w:bCs/>
                <w:color w:val="028090"/>
                <w:sz w:val="18"/>
                <w:szCs w:val="18"/>
              </w:rPr>
              <w:t xml:space="preserve">KPI Design</w:t>
            </w:r>
          </w:p>
        </w:tc>
        <w:tc>
          <w:tcPr>
            <w:tcW w:type="dxa" w:w="200"/>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EAF6F6" w:val="clear"/>
            <w:tcMar>
              <w:top w:type="dxa" w:w="60"/>
              <w:left w:type="dxa" w:w="100"/>
              <w:bottom w:type="dxa" w:w="60"/>
              <w:right w:type="dxa" w:w="100"/>
            </w:tcMar>
          </w:tcPr>
          <w:p>
            <w:pPr>
              <w:jc w:val="center"/>
            </w:pPr>
            <w:r>
              <w:rPr>
                <w:rFonts w:ascii="Arial" w:cs="Arial" w:eastAsia="Arial" w:hAnsi="Arial"/>
                <w:b/>
                <w:bCs/>
                <w:color w:val="028090"/>
                <w:sz w:val="18"/>
                <w:szCs w:val="18"/>
              </w:rPr>
              <w:t xml:space="preserve">Year-over-Year Analysis</w:t>
            </w:r>
          </w:p>
        </w:tc>
      </w:tr>
    </w:tbl>
    <w:p>
      <w:pPr>
        <w:spacing w:after="120" w:before="240"/>
      </w:pPr>
    </w:p>
    <w:p>
      <w:pPr>
        <w:spacing w:after="80" w:before="200"/>
      </w:pPr>
      <w:r>
        <w:rPr>
          <w:rFonts w:ascii="Arial" w:cs="Arial" w:eastAsia="Arial" w:hAnsi="Arial"/>
          <w:b/>
          <w:bCs/>
          <w:color w:val="374151"/>
          <w:sz w:val="22"/>
          <w:szCs w:val="22"/>
        </w:rPr>
        <w:t xml:space="preserve">2023 Performance at a Glance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AF6F6" w:val="clear"/>
            <w:tcMar>
              <w:top w:type="dxa" w:w="120"/>
              <w:left w:type="dxa" w:w="160"/>
              <w:bottom w:type="dxa" w:w="120"/>
              <w:right w:type="dxa" w:w="160"/>
            </w:tcMar>
          </w:tcPr>
          <w:p>
            <w:pPr>
              <w:jc w:val="center"/>
            </w:pPr>
            <w:r>
              <w:rPr>
                <w:rFonts w:ascii="Arial" w:cs="Arial" w:eastAsia="Arial" w:hAnsi="Arial"/>
                <w:b/>
                <w:bCs/>
                <w:color w:val="028090"/>
                <w:sz w:val="36"/>
                <w:szCs w:val="36"/>
              </w:rPr>
              <w:t xml:space="preserve">$733K</w:t>
            </w:r>
          </w:p>
          <w:p>
            <w:pPr>
              <w:jc w:val="center"/>
            </w:pPr>
            <w:r>
              <w:rPr>
                <w:rFonts w:ascii="Arial" w:cs="Arial" w:eastAsia="Arial" w:hAnsi="Arial"/>
                <w:color w:val="6B7280"/>
                <w:sz w:val="18"/>
                <w:szCs w:val="18"/>
              </w:rPr>
              <w:t xml:space="preserve">Total Sales</w:t>
            </w:r>
          </w:p>
          <w:p>
            <w:pPr>
              <w:spacing w:before="40"/>
              <w:jc w:val="center"/>
            </w:pPr>
            <w:r>
              <w:rPr>
                <w:rFonts w:ascii="Arial" w:cs="Arial" w:eastAsia="Arial" w:hAnsi="Arial"/>
                <w:b/>
                <w:bCs/>
                <w:color w:val="02C39A"/>
                <w:sz w:val="18"/>
                <w:szCs w:val="18"/>
              </w:rPr>
              <w:t xml:space="preserve">▲ 20.4% vs. PY</w:t>
            </w:r>
          </w:p>
        </w:tc>
        <w:tc>
          <w:tcPr>
            <w:tcW w:type="dxa" w:w="2340"/>
            <w:tcBorders>
              <w:top w:val="single" w:color="D1D5DB" w:sz="1"/>
              <w:left w:val="single" w:color="D1D5DB" w:sz="1"/>
              <w:bottom w:val="single" w:color="D1D5DB" w:sz="1"/>
              <w:right w:val="single" w:color="D1D5DB" w:sz="1"/>
            </w:tcBorders>
            <w:shd w:fill="EAF6F6" w:val="clear"/>
            <w:tcMar>
              <w:top w:type="dxa" w:w="120"/>
              <w:left w:type="dxa" w:w="160"/>
              <w:bottom w:type="dxa" w:w="120"/>
              <w:right w:type="dxa" w:w="160"/>
            </w:tcMar>
          </w:tcPr>
          <w:p>
            <w:pPr>
              <w:jc w:val="center"/>
            </w:pPr>
            <w:r>
              <w:rPr>
                <w:rFonts w:ascii="Arial" w:cs="Arial" w:eastAsia="Arial" w:hAnsi="Arial"/>
                <w:b/>
                <w:bCs/>
                <w:color w:val="028090"/>
                <w:sz w:val="36"/>
                <w:szCs w:val="36"/>
              </w:rPr>
              <w:t xml:space="preserve">$93K</w:t>
            </w:r>
          </w:p>
          <w:p>
            <w:pPr>
              <w:jc w:val="center"/>
            </w:pPr>
            <w:r>
              <w:rPr>
                <w:rFonts w:ascii="Arial" w:cs="Arial" w:eastAsia="Arial" w:hAnsi="Arial"/>
                <w:color w:val="6B7280"/>
                <w:sz w:val="18"/>
                <w:szCs w:val="18"/>
              </w:rPr>
              <w:t xml:space="preserve">Total Profit</w:t>
            </w:r>
          </w:p>
          <w:p>
            <w:pPr>
              <w:spacing w:before="40"/>
              <w:jc w:val="center"/>
            </w:pPr>
            <w:r>
              <w:rPr>
                <w:rFonts w:ascii="Arial" w:cs="Arial" w:eastAsia="Arial" w:hAnsi="Arial"/>
                <w:b/>
                <w:bCs/>
                <w:color w:val="02C39A"/>
                <w:sz w:val="18"/>
                <w:szCs w:val="18"/>
              </w:rPr>
              <w:t xml:space="preserve">▲ 12.5% vs. PY</w:t>
            </w:r>
          </w:p>
        </w:tc>
        <w:tc>
          <w:tcPr>
            <w:tcW w:type="dxa" w:w="2340"/>
            <w:tcBorders>
              <w:top w:val="single" w:color="D1D5DB" w:sz="1"/>
              <w:left w:val="single" w:color="D1D5DB" w:sz="1"/>
              <w:bottom w:val="single" w:color="D1D5DB" w:sz="1"/>
              <w:right w:val="single" w:color="D1D5DB" w:sz="1"/>
            </w:tcBorders>
            <w:shd w:fill="EAF6F6" w:val="clear"/>
            <w:tcMar>
              <w:top w:type="dxa" w:w="120"/>
              <w:left w:type="dxa" w:w="160"/>
              <w:bottom w:type="dxa" w:w="120"/>
              <w:right w:type="dxa" w:w="160"/>
            </w:tcMar>
          </w:tcPr>
          <w:p>
            <w:pPr>
              <w:jc w:val="center"/>
            </w:pPr>
            <w:r>
              <w:rPr>
                <w:rFonts w:ascii="Arial" w:cs="Arial" w:eastAsia="Arial" w:hAnsi="Arial"/>
                <w:b/>
                <w:bCs/>
                <w:color w:val="028090"/>
                <w:sz w:val="36"/>
                <w:szCs w:val="36"/>
              </w:rPr>
              <w:t xml:space="preserve">693</w:t>
            </w:r>
          </w:p>
          <w:p>
            <w:pPr>
              <w:jc w:val="center"/>
            </w:pPr>
            <w:r>
              <w:rPr>
                <w:rFonts w:ascii="Arial" w:cs="Arial" w:eastAsia="Arial" w:hAnsi="Arial"/>
                <w:color w:val="6B7280"/>
                <w:sz w:val="18"/>
                <w:szCs w:val="18"/>
              </w:rPr>
              <w:t xml:space="preserve">Total Customers</w:t>
            </w:r>
          </w:p>
          <w:p>
            <w:pPr>
              <w:spacing w:before="40"/>
              <w:jc w:val="center"/>
            </w:pPr>
            <w:r>
              <w:rPr>
                <w:rFonts w:ascii="Arial" w:cs="Arial" w:eastAsia="Arial" w:hAnsi="Arial"/>
                <w:b/>
                <w:bCs/>
                <w:color w:val="02C39A"/>
                <w:sz w:val="18"/>
                <w:szCs w:val="18"/>
              </w:rPr>
              <w:t xml:space="preserve">▲ 8.6% vs. PY</w:t>
            </w:r>
          </w:p>
        </w:tc>
        <w:tc>
          <w:tcPr>
            <w:tcW w:type="dxa" w:w="2340"/>
            <w:tcBorders>
              <w:top w:val="single" w:color="D1D5DB" w:sz="1"/>
              <w:left w:val="single" w:color="D1D5DB" w:sz="1"/>
              <w:bottom w:val="single" w:color="D1D5DB" w:sz="1"/>
              <w:right w:val="single" w:color="D1D5DB" w:sz="1"/>
            </w:tcBorders>
            <w:shd w:fill="EAF6F6" w:val="clear"/>
            <w:tcMar>
              <w:top w:type="dxa" w:w="120"/>
              <w:left w:type="dxa" w:w="160"/>
              <w:bottom w:type="dxa" w:w="120"/>
              <w:right w:type="dxa" w:w="160"/>
            </w:tcMar>
          </w:tcPr>
          <w:p>
            <w:pPr>
              <w:jc w:val="center"/>
            </w:pPr>
            <w:r>
              <w:rPr>
                <w:rFonts w:ascii="Arial" w:cs="Arial" w:eastAsia="Arial" w:hAnsi="Arial"/>
                <w:b/>
                <w:bCs/>
                <w:color w:val="028090"/>
                <w:sz w:val="36"/>
                <w:szCs w:val="36"/>
              </w:rPr>
              <w:t xml:space="preserve">1,687</w:t>
            </w:r>
          </w:p>
          <w:p>
            <w:pPr>
              <w:jc w:val="center"/>
            </w:pPr>
            <w:r>
              <w:rPr>
                <w:rFonts w:ascii="Arial" w:cs="Arial" w:eastAsia="Arial" w:hAnsi="Arial"/>
                <w:color w:val="6B7280"/>
                <w:sz w:val="18"/>
                <w:szCs w:val="18"/>
              </w:rPr>
              <w:t xml:space="preserve">Total Orders</w:t>
            </w:r>
          </w:p>
          <w:p>
            <w:pPr>
              <w:spacing w:before="40"/>
              <w:jc w:val="center"/>
            </w:pPr>
            <w:r>
              <w:rPr>
                <w:rFonts w:ascii="Arial" w:cs="Arial" w:eastAsia="Arial" w:hAnsi="Arial"/>
                <w:b/>
                <w:bCs/>
                <w:color w:val="02C39A"/>
                <w:sz w:val="18"/>
                <w:szCs w:val="18"/>
              </w:rPr>
              <w:t xml:space="preserve">▲ 28.3% vs. PY</w:t>
            </w:r>
          </w:p>
        </w:tc>
      </w:tr>
    </w:tbl>
    <w:p>
      <w:pPr>
        <w:spacing w:after="0" w:before="240"/>
      </w:pPr>
    </w:p>
    <w:p>
      <w:pPr>
        <w:pStyle w:val="Heading2"/>
        <w:spacing w:after="100" w:before="300"/>
      </w:pPr>
      <w:r>
        <w:rPr>
          <w:rFonts w:ascii="Arial" w:cs="Arial" w:eastAsia="Arial" w:hAnsi="Arial"/>
          <w:b/>
          <w:bCs/>
          <w:color w:val="028090"/>
          <w:sz w:val="28"/>
          <w:szCs w:val="28"/>
        </w:rPr>
        <w:t xml:space="preserve">Project Overview</w:t>
      </w:r>
    </w:p>
    <w:p>
      <w:pPr>
        <w:spacing w:after="80" w:before="80"/>
      </w:pPr>
      <w:r>
        <w:rPr>
          <w:rFonts w:ascii="Arial" w:cs="Arial" w:eastAsia="Arial" w:hAnsi="Arial"/>
          <w:color w:val="374151"/>
          <w:sz w:val="22"/>
          <w:szCs w:val="22"/>
        </w:rPr>
        <w:t xml:space="preserve">Sales teams generate enormous volumes of transactional data — but raw numbers without context are noise. This project was built to cut through that noise and give leadership a single source of truth: a dashboard that answers 'how are we doing?' before the question is even asked.</w:t>
      </w:r>
    </w:p>
    <w:p>
      <w:pPr>
        <w:spacing w:after="80" w:before="80"/>
      </w:pPr>
      <w:r>
        <w:rPr>
          <w:rFonts w:ascii="Arial" w:cs="Arial" w:eastAsia="Arial" w:hAnsi="Arial"/>
          <w:color w:val="374151"/>
          <w:sz w:val="22"/>
          <w:szCs w:val="22"/>
        </w:rPr>
        <w:t xml:space="preserve">The solution spans two interconnected views — a Sales Dashboard focused on revenue metrics, and a Customer Dashboard tracking buyer behavior. Together, they create a 360-degree view of business performance across 2023 vs. 2022.</w:t>
      </w:r>
    </w:p>
    <w:p>
      <w:pPr>
        <w:pStyle w:val="Heading2"/>
        <w:spacing w:after="100" w:before="300"/>
      </w:pPr>
      <w:r>
        <w:rPr>
          <w:rFonts w:ascii="Arial" w:cs="Arial" w:eastAsia="Arial" w:hAnsi="Arial"/>
          <w:b/>
          <w:bCs/>
          <w:color w:val="028090"/>
          <w:sz w:val="28"/>
          <w:szCs w:val="28"/>
        </w:rPr>
        <w:t xml:space="preserve">The Challenge</w:t>
      </w:r>
    </w:p>
    <w:p>
      <w:pPr>
        <w:spacing w:after="80" w:before="80"/>
      </w:pPr>
      <w:r>
        <w:rPr>
          <w:rFonts w:ascii="Arial" w:cs="Arial" w:eastAsia="Arial" w:hAnsi="Arial"/>
          <w:color w:val="374151"/>
          <w:sz w:val="22"/>
          <w:szCs w:val="22"/>
        </w:rPr>
        <w:t xml:space="preserve">The business had sales data scattered across multiple product subcategories with no unified view of profitability vs. volume. Stakeholders needed to identify which products were driving growth and which were quietly dragging down margins — without having to run manual reports.</w:t>
      </w:r>
    </w:p>
    <w:p>
      <w:pPr>
        <w:pStyle w:val="Heading2"/>
        <w:spacing w:after="100" w:before="300"/>
      </w:pPr>
      <w:r>
        <w:rPr>
          <w:rFonts w:ascii="Arial" w:cs="Arial" w:eastAsia="Arial" w:hAnsi="Arial"/>
          <w:b/>
          <w:bCs/>
          <w:color w:val="028090"/>
          <w:sz w:val="28"/>
          <w:szCs w:val="28"/>
        </w:rPr>
        <w:t xml:space="preserve">My Approach &amp; Design Decisions</w:t>
      </w:r>
    </w:p>
    <w:p>
      <w:pPr>
        <w:pStyle w:val="ListParagraph"/>
        <w:numPr>
          <w:ilvl w:val="0"/>
          <w:numId w:val="2"/>
        </w:numPr>
        <w:spacing w:after="60" w:before="60"/>
      </w:pPr>
      <w:r>
        <w:rPr>
          <w:rFonts w:ascii="Arial" w:cs="Arial" w:eastAsia="Arial" w:hAnsi="Arial"/>
          <w:color w:val="374151"/>
          <w:sz w:val="22"/>
          <w:szCs w:val="22"/>
        </w:rPr>
        <w:t xml:space="preserve">Designed dual KPI panels at the top of each view, using trend sparklines to make year-over-year comparison instant and intuitive</w:t>
      </w:r>
    </w:p>
    <w:p>
      <w:pPr>
        <w:pStyle w:val="ListParagraph"/>
        <w:numPr>
          <w:ilvl w:val="0"/>
          <w:numId w:val="2"/>
        </w:numPr>
        <w:spacing w:after="60" w:before="60"/>
      </w:pPr>
      <w:r>
        <w:rPr>
          <w:rFonts w:ascii="Arial" w:cs="Arial" w:eastAsia="Arial" w:hAnsi="Arial"/>
          <w:color w:val="374151"/>
          <w:sz w:val="22"/>
          <w:szCs w:val="22"/>
        </w:rPr>
        <w:t xml:space="preserve">Built a Sales &amp; Profit by Subcategory chart combining horizontal bar comparisons with a profit/loss indicator — enabling category managers to pinpoint underperformers at a glance</w:t>
      </w:r>
    </w:p>
    <w:p>
      <w:pPr>
        <w:pStyle w:val="ListParagraph"/>
        <w:numPr>
          <w:ilvl w:val="0"/>
          <w:numId w:val="2"/>
        </w:numPr>
        <w:spacing w:after="60" w:before="60"/>
      </w:pPr>
      <w:r>
        <w:rPr>
          <w:rFonts w:ascii="Arial" w:cs="Arial" w:eastAsia="Arial" w:hAnsi="Arial"/>
          <w:color w:val="374151"/>
          <w:sz w:val="22"/>
          <w:szCs w:val="22"/>
        </w:rPr>
        <w:t xml:space="preserve">Created a Sales &amp; Profit Trends over Time visualization with above/below-average color coding, allowing users to quickly identify seasonal anomalies</w:t>
      </w:r>
    </w:p>
    <w:p>
      <w:pPr>
        <w:pStyle w:val="ListParagraph"/>
        <w:numPr>
          <w:ilvl w:val="0"/>
          <w:numId w:val="2"/>
        </w:numPr>
        <w:spacing w:after="60" w:before="60"/>
      </w:pPr>
      <w:r>
        <w:rPr>
          <w:rFonts w:ascii="Arial" w:cs="Arial" w:eastAsia="Arial" w:hAnsi="Arial"/>
          <w:color w:val="374151"/>
          <w:sz w:val="22"/>
          <w:szCs w:val="22"/>
        </w:rPr>
        <w:t xml:space="preserve">Developed the Customer Dashboard with a distribution histogram showing order frequency patterns, and a ranked Top 10 Customers by Profit table to surface high-value relationships</w:t>
      </w:r>
    </w:p>
    <w:p>
      <w:pPr>
        <w:pStyle w:val="ListParagraph"/>
        <w:numPr>
          <w:ilvl w:val="0"/>
          <w:numId w:val="2"/>
        </w:numPr>
        <w:spacing w:after="60" w:before="60"/>
      </w:pPr>
      <w:r>
        <w:rPr>
          <w:rFonts w:ascii="Arial" w:cs="Arial" w:eastAsia="Arial" w:hAnsi="Arial"/>
          <w:color w:val="374151"/>
          <w:sz w:val="22"/>
          <w:szCs w:val="22"/>
        </w:rPr>
        <w:t xml:space="preserve">Implemented interactive filters (year, category, region) so users can drill into any slice of data without leaving the dashboard</w:t>
      </w:r>
    </w:p>
    <w:p>
      <w:pPr>
        <w:pStyle w:val="ListParagraph"/>
        <w:numPr>
          <w:ilvl w:val="0"/>
          <w:numId w:val="2"/>
        </w:numPr>
        <w:spacing w:after="60" w:before="60"/>
      </w:pPr>
      <w:r>
        <w:rPr>
          <w:rFonts w:ascii="Arial" w:cs="Arial" w:eastAsia="Arial" w:hAnsi="Arial"/>
          <w:color w:val="374151"/>
          <w:sz w:val="22"/>
          <w:szCs w:val="22"/>
        </w:rPr>
        <w:t xml:space="preserve">Applied consistent visual language — teal and orange encoding for performance signals — reducing the cognitive load of interpretation</w:t>
      </w:r>
    </w:p>
    <w:p>
      <w:pPr>
        <w:pStyle w:val="Heading2"/>
        <w:spacing w:after="100" w:before="300"/>
      </w:pPr>
      <w:r>
        <w:rPr>
          <w:rFonts w:ascii="Arial" w:cs="Arial" w:eastAsia="Arial" w:hAnsi="Arial"/>
          <w:b/>
          <w:bCs/>
          <w:color w:val="028090"/>
          <w:sz w:val="28"/>
          <w:szCs w:val="28"/>
        </w:rPr>
        <w:t xml:space="preserve">Tools &amp; Technologies</w:t>
      </w:r>
    </w:p>
    <w:p>
      <w:pPr>
        <w:spacing w:after="80" w:before="80"/>
      </w:pPr>
      <w:r>
        <w:rPr>
          <w:rFonts w:ascii="Arial" w:cs="Arial" w:eastAsia="Arial" w:hAnsi="Arial"/>
          <w:color w:val="374151"/>
          <w:sz w:val="22"/>
          <w:szCs w:val="22"/>
        </w:rPr>
        <w:t xml:space="preserve">Tableau Desktop — for all visualization, interactivity, and dashboard design. Data preparation was handled through calculated fields, LOD expressions, and table calculations built directly in Tableau.</w:t>
      </w:r>
    </w:p>
    <w:p>
      <w:pPr>
        <w:pStyle w:val="Heading2"/>
        <w:spacing w:after="100" w:before="300"/>
      </w:pPr>
      <w:r>
        <w:rPr>
          <w:rFonts w:ascii="Arial" w:cs="Arial" w:eastAsia="Arial" w:hAnsi="Arial"/>
          <w:b/>
          <w:bCs/>
          <w:color w:val="028090"/>
          <w:sz w:val="28"/>
          <w:szCs w:val="28"/>
        </w:rPr>
        <w:t xml:space="preserve">Key Insights Uncovered</w:t>
      </w:r>
    </w:p>
    <w:p>
      <w:pPr>
        <w:pStyle w:val="ListParagraph"/>
        <w:numPr>
          <w:ilvl w:val="0"/>
          <w:numId w:val="2"/>
        </w:numPr>
        <w:spacing w:after="60" w:before="60"/>
      </w:pPr>
      <w:r>
        <w:rPr>
          <w:rFonts w:ascii="Arial" w:cs="Arial" w:eastAsia="Arial" w:hAnsi="Arial"/>
          <w:color w:val="374151"/>
          <w:sz w:val="22"/>
          <w:szCs w:val="22"/>
        </w:rPr>
        <w:t xml:space="preserve">Phones and Chairs drove the highest sales volume in 2023, but Tables operated at a loss — a critical finding masked in aggregate reports</w:t>
      </w:r>
    </w:p>
    <w:p>
      <w:pPr>
        <w:pStyle w:val="ListParagraph"/>
        <w:numPr>
          <w:ilvl w:val="0"/>
          <w:numId w:val="2"/>
        </w:numPr>
        <w:spacing w:after="60" w:before="60"/>
      </w:pPr>
      <w:r>
        <w:rPr>
          <w:rFonts w:ascii="Arial" w:cs="Arial" w:eastAsia="Arial" w:hAnsi="Arial"/>
          <w:color w:val="374151"/>
          <w:sz w:val="22"/>
          <w:szCs w:val="22"/>
        </w:rPr>
        <w:t xml:space="preserve">The top 10 customers by profit represented a disproportionate share of total profitability, revealing high value from a relatively small segment</w:t>
      </w:r>
    </w:p>
    <w:p>
      <w:pPr>
        <w:pStyle w:val="ListParagraph"/>
        <w:numPr>
          <w:ilvl w:val="0"/>
          <w:numId w:val="2"/>
        </w:numPr>
        <w:spacing w:after="60" w:before="60"/>
      </w:pPr>
      <w:r>
        <w:rPr>
          <w:rFonts w:ascii="Arial" w:cs="Arial" w:eastAsia="Arial" w:hAnsi="Arial"/>
          <w:color w:val="374151"/>
          <w:sz w:val="22"/>
          <w:szCs w:val="22"/>
        </w:rPr>
        <w:t xml:space="preserve">Order frequency distribution showed that most customers (400 out of 693) placed only 1–2 orders, highlighting a retention opportunity</w:t>
      </w:r>
    </w:p>
    <w:p>
      <w:pPr>
        <w:pStyle w:val="ListParagraph"/>
        <w:numPr>
          <w:ilvl w:val="0"/>
          <w:numId w:val="2"/>
        </w:numPr>
        <w:spacing w:after="60" w:before="60"/>
      </w:pPr>
      <w:r>
        <w:rPr>
          <w:rFonts w:ascii="Arial" w:cs="Arial" w:eastAsia="Arial" w:hAnsi="Arial"/>
          <w:color w:val="374151"/>
          <w:sz w:val="22"/>
          <w:szCs w:val="22"/>
        </w:rPr>
        <w:t xml:space="preserve">Sales growth of 20.4% significantly outpaced profit growth of 12.5%, signaling rising costs that warranted further investigation</w:t>
      </w:r>
    </w:p>
    <w:p>
      <w:pPr>
        <w:pStyle w:val="Heading2"/>
        <w:spacing w:after="100" w:before="300"/>
      </w:pPr>
      <w:r>
        <w:rPr>
          <w:rFonts w:ascii="Arial" w:cs="Arial" w:eastAsia="Arial" w:hAnsi="Arial"/>
          <w:b/>
          <w:bCs/>
          <w:color w:val="028090"/>
          <w:sz w:val="28"/>
          <w:szCs w:val="28"/>
        </w:rPr>
        <w:t xml:space="preserve">Business Impact</w:t>
      </w:r>
    </w:p>
    <w:p>
      <w:pPr>
        <w:spacing w:after="80" w:before="80"/>
      </w:pPr>
      <w:r>
        <w:rPr>
          <w:rFonts w:ascii="Arial" w:cs="Arial" w:eastAsia="Arial" w:hAnsi="Arial"/>
          <w:color w:val="374151"/>
          <w:sz w:val="22"/>
          <w:szCs w:val="22"/>
        </w:rPr>
        <w:t xml:space="preserve">This dashboard replaced a weekly manual Excel reporting process, saving the sales operations team an estimated 4–6 hours per week. More importantly, it gave leadership the ability to make data-backed category and customer strategy decisions in real time — not at the end of the quarter.</w:t>
      </w:r>
    </w:p>
    <w:p>
      <w:pPr>
        <w:pBdr>
          <w:bottom w:val="single" w:color="028090" w:sz="4" w:space="1"/>
        </w:pBdr>
        <w:spacing w:after="160" w:before="160"/>
      </w:pPr>
    </w:p>
    <w:p>
      <w:pPr>
        <w:spacing w:after="60" w:before="400"/>
      </w:pPr>
      <w:r>
        <w:rPr>
          <w:rFonts w:ascii="Arial" w:cs="Arial" w:eastAsia="Arial" w:hAnsi="Arial"/>
          <w:b/>
          <w:bCs/>
          <w:caps/>
          <w:color w:val="028090"/>
          <w:sz w:val="20"/>
          <w:szCs w:val="20"/>
        </w:rPr>
        <w:t xml:space="preserve">PROJECT 02</w:t>
      </w:r>
    </w:p>
    <w:p>
      <w:pPr>
        <w:spacing w:after="160" w:before="0"/>
      </w:pPr>
      <w:r>
        <w:rPr>
          <w:rFonts w:ascii="Arial" w:cs="Arial" w:eastAsia="Arial" w:hAnsi="Arial"/>
          <w:b/>
          <w:bCs/>
          <w:color w:val="1A2E44"/>
          <w:sz w:val="40"/>
          <w:szCs w:val="40"/>
        </w:rPr>
        <w:t xml:space="preserve">Human Resources Analytics Dashboard</w:t>
      </w:r>
    </w:p>
    <w:p>
      <w:pPr>
        <w:spacing w:after="80" w:before="80"/>
      </w:pPr>
      <w:r>
        <w:rPr>
          <w:rFonts w:ascii="Arial" w:cs="Arial" w:eastAsia="Arial" w:hAnsi="Arial"/>
          <w:color w:val="6B7280"/>
          <w:sz w:val="22"/>
          <w:szCs w:val="22"/>
        </w:rPr>
        <w:t xml:space="preserve">A sophisticated, dark-themed HR intelligence suite giving HR leaders complete visibility into workforce composition, attrition, compensation equity, and employee-level detail — all within Tableau.</w:t>
      </w:r>
    </w:p>
    <w:p>
      <w:pPr>
        <w:spacing w:after="120" w:before="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gridCol w:w="100"/>
        <w:gridCol w:w="100"/>
        <w:gridCol w:w="100"/>
        <w:gridCol w:w="100"/>
      </w:tblGrid>
      <w:tr>
        <w:tc>
          <w:tcPr>
            <w:tcBorders>
              <w:top w:val="none" w:color="FFFFFF" w:sz="0"/>
              <w:left w:val="none" w:color="FFFFFF" w:sz="0"/>
              <w:bottom w:val="none" w:color="FFFFFF" w:sz="0"/>
              <w:right w:val="none" w:color="FFFFFF" w:sz="0"/>
            </w:tcBorders>
            <w:shd w:fill="EAF6F6" w:val="clear"/>
            <w:tcMar>
              <w:top w:type="dxa" w:w="60"/>
              <w:left w:type="dxa" w:w="100"/>
              <w:bottom w:type="dxa" w:w="60"/>
              <w:right w:type="dxa" w:w="100"/>
            </w:tcMar>
          </w:tcPr>
          <w:p>
            <w:pPr>
              <w:jc w:val="center"/>
            </w:pPr>
            <w:r>
              <w:rPr>
                <w:rFonts w:ascii="Arial" w:cs="Arial" w:eastAsia="Arial" w:hAnsi="Arial"/>
                <w:b/>
                <w:bCs/>
                <w:color w:val="028090"/>
                <w:sz w:val="18"/>
                <w:szCs w:val="18"/>
              </w:rPr>
              <w:t xml:space="preserve">Tableau Desktop</w:t>
            </w:r>
          </w:p>
        </w:tc>
        <w:tc>
          <w:tcPr>
            <w:tcW w:type="dxa" w:w="200"/>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EAF6F6" w:val="clear"/>
            <w:tcMar>
              <w:top w:type="dxa" w:w="60"/>
              <w:left w:type="dxa" w:w="100"/>
              <w:bottom w:type="dxa" w:w="60"/>
              <w:right w:type="dxa" w:w="100"/>
            </w:tcMar>
          </w:tcPr>
          <w:p>
            <w:pPr>
              <w:jc w:val="center"/>
            </w:pPr>
            <w:r>
              <w:rPr>
                <w:rFonts w:ascii="Arial" w:cs="Arial" w:eastAsia="Arial" w:hAnsi="Arial"/>
                <w:b/>
                <w:bCs/>
                <w:color w:val="028090"/>
                <w:sz w:val="18"/>
                <w:szCs w:val="18"/>
              </w:rPr>
              <w:t xml:space="preserve">HR Analytics</w:t>
            </w:r>
          </w:p>
        </w:tc>
        <w:tc>
          <w:tcPr>
            <w:tcW w:type="dxa" w:w="200"/>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EAF6F6" w:val="clear"/>
            <w:tcMar>
              <w:top w:type="dxa" w:w="60"/>
              <w:left w:type="dxa" w:w="100"/>
              <w:bottom w:type="dxa" w:w="60"/>
              <w:right w:type="dxa" w:w="100"/>
            </w:tcMar>
          </w:tcPr>
          <w:p>
            <w:pPr>
              <w:jc w:val="center"/>
            </w:pPr>
            <w:r>
              <w:rPr>
                <w:rFonts w:ascii="Arial" w:cs="Arial" w:eastAsia="Arial" w:hAnsi="Arial"/>
                <w:b/>
                <w:bCs/>
                <w:color w:val="028090"/>
                <w:sz w:val="18"/>
                <w:szCs w:val="18"/>
              </w:rPr>
              <w:t xml:space="preserve">Workforce Intelligence</w:t>
            </w:r>
          </w:p>
        </w:tc>
        <w:tc>
          <w:tcPr>
            <w:tcW w:type="dxa" w:w="200"/>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EAF6F6" w:val="clear"/>
            <w:tcMar>
              <w:top w:type="dxa" w:w="60"/>
              <w:left w:type="dxa" w:w="100"/>
              <w:bottom w:type="dxa" w:w="60"/>
              <w:right w:type="dxa" w:w="100"/>
            </w:tcMar>
          </w:tcPr>
          <w:p>
            <w:pPr>
              <w:jc w:val="center"/>
            </w:pPr>
            <w:r>
              <w:rPr>
                <w:rFonts w:ascii="Arial" w:cs="Arial" w:eastAsia="Arial" w:hAnsi="Arial"/>
                <w:b/>
                <w:bCs/>
                <w:color w:val="028090"/>
                <w:sz w:val="18"/>
                <w:szCs w:val="18"/>
              </w:rPr>
              <w:t xml:space="preserve">Compensation Analysis</w:t>
            </w:r>
          </w:p>
        </w:tc>
        <w:tc>
          <w:tcPr>
            <w:tcW w:type="dxa" w:w="200"/>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EAF6F6" w:val="clear"/>
            <w:tcMar>
              <w:top w:type="dxa" w:w="60"/>
              <w:left w:type="dxa" w:w="100"/>
              <w:bottom w:type="dxa" w:w="60"/>
              <w:right w:type="dxa" w:w="100"/>
            </w:tcMar>
          </w:tcPr>
          <w:p>
            <w:pPr>
              <w:jc w:val="center"/>
            </w:pPr>
            <w:r>
              <w:rPr>
                <w:rFonts w:ascii="Arial" w:cs="Arial" w:eastAsia="Arial" w:hAnsi="Arial"/>
                <w:b/>
                <w:bCs/>
                <w:color w:val="028090"/>
                <w:sz w:val="18"/>
                <w:szCs w:val="18"/>
              </w:rPr>
              <w:t xml:space="preserve">Demographic Insights</w:t>
            </w:r>
          </w:p>
        </w:tc>
      </w:tr>
    </w:tbl>
    <w:p>
      <w:pPr>
        <w:spacing w:after="120" w:before="240"/>
      </w:pPr>
    </w:p>
    <w:p>
      <w:pPr>
        <w:spacing w:after="80" w:before="200"/>
      </w:pPr>
      <w:r>
        <w:rPr>
          <w:rFonts w:ascii="Arial" w:cs="Arial" w:eastAsia="Arial" w:hAnsi="Arial"/>
          <w:b/>
          <w:bCs/>
          <w:color w:val="374151"/>
          <w:sz w:val="22"/>
          <w:szCs w:val="22"/>
        </w:rPr>
        <w:t xml:space="preserve">Workforce Snapshot</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AF6F6" w:val="clear"/>
            <w:tcMar>
              <w:top w:type="dxa" w:w="120"/>
              <w:left w:type="dxa" w:w="160"/>
              <w:bottom w:type="dxa" w:w="120"/>
              <w:right w:type="dxa" w:w="160"/>
            </w:tcMar>
          </w:tcPr>
          <w:p>
            <w:pPr>
              <w:jc w:val="center"/>
            </w:pPr>
            <w:r>
              <w:rPr>
                <w:rFonts w:ascii="Arial" w:cs="Arial" w:eastAsia="Arial" w:hAnsi="Arial"/>
                <w:b/>
                <w:bCs/>
                <w:color w:val="028090"/>
                <w:sz w:val="36"/>
                <w:szCs w:val="36"/>
              </w:rPr>
              <w:t xml:space="preserve">7,984</w:t>
            </w:r>
          </w:p>
          <w:p>
            <w:pPr>
              <w:jc w:val="center"/>
            </w:pPr>
            <w:r>
              <w:rPr>
                <w:rFonts w:ascii="Arial" w:cs="Arial" w:eastAsia="Arial" w:hAnsi="Arial"/>
                <w:color w:val="6B7280"/>
                <w:sz w:val="18"/>
                <w:szCs w:val="18"/>
              </w:rPr>
              <w:t xml:space="preserve">Active Employees</w:t>
            </w:r>
          </w:p>
          <w:p>
            <w:pPr>
              <w:spacing w:before="40"/>
              <w:jc w:val="center"/>
            </w:pPr>
            <w:r>
              <w:rPr>
                <w:rFonts w:ascii="Arial" w:cs="Arial" w:eastAsia="Arial" w:hAnsi="Arial"/>
                <w:b/>
                <w:bCs/>
                <w:color w:val="02C39A"/>
                <w:sz w:val="18"/>
                <w:szCs w:val="18"/>
              </w:rPr>
              <w:t xml:space="preserve">Currently employed</w:t>
            </w:r>
          </w:p>
        </w:tc>
        <w:tc>
          <w:tcPr>
            <w:tcW w:type="dxa" w:w="2340"/>
            <w:tcBorders>
              <w:top w:val="single" w:color="D1D5DB" w:sz="1"/>
              <w:left w:val="single" w:color="D1D5DB" w:sz="1"/>
              <w:bottom w:val="single" w:color="D1D5DB" w:sz="1"/>
              <w:right w:val="single" w:color="D1D5DB" w:sz="1"/>
            </w:tcBorders>
            <w:shd w:fill="EAF6F6" w:val="clear"/>
            <w:tcMar>
              <w:top w:type="dxa" w:w="120"/>
              <w:left w:type="dxa" w:w="160"/>
              <w:bottom w:type="dxa" w:w="120"/>
              <w:right w:type="dxa" w:w="160"/>
            </w:tcMar>
          </w:tcPr>
          <w:p>
            <w:pPr>
              <w:jc w:val="center"/>
            </w:pPr>
            <w:r>
              <w:rPr>
                <w:rFonts w:ascii="Arial" w:cs="Arial" w:eastAsia="Arial" w:hAnsi="Arial"/>
                <w:b/>
                <w:bCs/>
                <w:color w:val="028090"/>
                <w:sz w:val="36"/>
                <w:szCs w:val="36"/>
              </w:rPr>
              <w:t xml:space="preserve">8,950</w:t>
            </w:r>
          </w:p>
          <w:p>
            <w:pPr>
              <w:jc w:val="center"/>
            </w:pPr>
            <w:r>
              <w:rPr>
                <w:rFonts w:ascii="Arial" w:cs="Arial" w:eastAsia="Arial" w:hAnsi="Arial"/>
                <w:color w:val="6B7280"/>
                <w:sz w:val="18"/>
                <w:szCs w:val="18"/>
              </w:rPr>
              <w:t xml:space="preserve">Total Hired</w:t>
            </w:r>
          </w:p>
          <w:p>
            <w:pPr>
              <w:spacing w:before="40"/>
              <w:jc w:val="center"/>
            </w:pPr>
            <w:r>
              <w:rPr>
                <w:rFonts w:ascii="Arial" w:cs="Arial" w:eastAsia="Arial" w:hAnsi="Arial"/>
                <w:b/>
                <w:bCs/>
                <w:color w:val="02C39A"/>
                <w:sz w:val="18"/>
                <w:szCs w:val="18"/>
              </w:rPr>
              <w:t xml:space="preserve">All-time hires</w:t>
            </w:r>
          </w:p>
        </w:tc>
        <w:tc>
          <w:tcPr>
            <w:tcW w:type="dxa" w:w="2340"/>
            <w:tcBorders>
              <w:top w:val="single" w:color="D1D5DB" w:sz="1"/>
              <w:left w:val="single" w:color="D1D5DB" w:sz="1"/>
              <w:bottom w:val="single" w:color="D1D5DB" w:sz="1"/>
              <w:right w:val="single" w:color="D1D5DB" w:sz="1"/>
            </w:tcBorders>
            <w:shd w:fill="EAF6F6" w:val="clear"/>
            <w:tcMar>
              <w:top w:type="dxa" w:w="120"/>
              <w:left w:type="dxa" w:w="160"/>
              <w:bottom w:type="dxa" w:w="120"/>
              <w:right w:type="dxa" w:w="160"/>
            </w:tcMar>
          </w:tcPr>
          <w:p>
            <w:pPr>
              <w:jc w:val="center"/>
            </w:pPr>
            <w:r>
              <w:rPr>
                <w:rFonts w:ascii="Arial" w:cs="Arial" w:eastAsia="Arial" w:hAnsi="Arial"/>
                <w:b/>
                <w:bCs/>
                <w:color w:val="028090"/>
                <w:sz w:val="36"/>
                <w:szCs w:val="36"/>
              </w:rPr>
              <w:t xml:space="preserve">966</w:t>
            </w:r>
          </w:p>
          <w:p>
            <w:pPr>
              <w:jc w:val="center"/>
            </w:pPr>
            <w:r>
              <w:rPr>
                <w:rFonts w:ascii="Arial" w:cs="Arial" w:eastAsia="Arial" w:hAnsi="Arial"/>
                <w:color w:val="6B7280"/>
                <w:sz w:val="18"/>
                <w:szCs w:val="18"/>
              </w:rPr>
              <w:t xml:space="preserve">Total Terminated</w:t>
            </w:r>
          </w:p>
          <w:p>
            <w:pPr>
              <w:spacing w:before="40"/>
              <w:jc w:val="center"/>
            </w:pPr>
            <w:r>
              <w:rPr>
                <w:rFonts w:ascii="Arial" w:cs="Arial" w:eastAsia="Arial" w:hAnsi="Arial"/>
                <w:b/>
                <w:bCs/>
                <w:color w:val="02C39A"/>
                <w:sz w:val="18"/>
                <w:szCs w:val="18"/>
              </w:rPr>
              <w:t xml:space="preserve">Attrition tracked</w:t>
            </w:r>
          </w:p>
        </w:tc>
        <w:tc>
          <w:tcPr>
            <w:tcW w:type="dxa" w:w="2340"/>
            <w:tcBorders>
              <w:top w:val="single" w:color="D1D5DB" w:sz="1"/>
              <w:left w:val="single" w:color="D1D5DB" w:sz="1"/>
              <w:bottom w:val="single" w:color="D1D5DB" w:sz="1"/>
              <w:right w:val="single" w:color="D1D5DB" w:sz="1"/>
            </w:tcBorders>
            <w:shd w:fill="EAF6F6" w:val="clear"/>
            <w:tcMar>
              <w:top w:type="dxa" w:w="120"/>
              <w:left w:type="dxa" w:w="160"/>
              <w:bottom w:type="dxa" w:w="120"/>
              <w:right w:type="dxa" w:w="160"/>
            </w:tcMar>
          </w:tcPr>
          <w:p>
            <w:pPr>
              <w:jc w:val="center"/>
            </w:pPr>
            <w:r>
              <w:rPr>
                <w:rFonts w:ascii="Arial" w:cs="Arial" w:eastAsia="Arial" w:hAnsi="Arial"/>
                <w:b/>
                <w:bCs/>
                <w:color w:val="028090"/>
                <w:sz w:val="36"/>
                <w:szCs w:val="36"/>
              </w:rPr>
              <w:t xml:space="preserve">7</w:t>
            </w:r>
          </w:p>
          <w:p>
            <w:pPr>
              <w:jc w:val="center"/>
            </w:pPr>
            <w:r>
              <w:rPr>
                <w:rFonts w:ascii="Arial" w:cs="Arial" w:eastAsia="Arial" w:hAnsi="Arial"/>
                <w:color w:val="6B7280"/>
                <w:sz w:val="18"/>
                <w:szCs w:val="18"/>
              </w:rPr>
              <w:t xml:space="preserve">Departments</w:t>
            </w:r>
          </w:p>
          <w:p>
            <w:pPr>
              <w:spacing w:before="40"/>
              <w:jc w:val="center"/>
            </w:pPr>
            <w:r>
              <w:rPr>
                <w:rFonts w:ascii="Arial" w:cs="Arial" w:eastAsia="Arial" w:hAnsi="Arial"/>
                <w:b/>
                <w:bCs/>
                <w:color w:val="02C39A"/>
                <w:sz w:val="18"/>
                <w:szCs w:val="18"/>
              </w:rPr>
              <w:t xml:space="preserve">Operations to HR</w:t>
            </w:r>
          </w:p>
        </w:tc>
      </w:tr>
    </w:tbl>
    <w:p>
      <w:pPr>
        <w:spacing w:after="0" w:before="240"/>
      </w:pPr>
    </w:p>
    <w:p>
      <w:pPr>
        <w:pStyle w:val="Heading2"/>
        <w:spacing w:after="100" w:before="300"/>
      </w:pPr>
      <w:r>
        <w:rPr>
          <w:rFonts w:ascii="Arial" w:cs="Arial" w:eastAsia="Arial" w:hAnsi="Arial"/>
          <w:b/>
          <w:bCs/>
          <w:color w:val="028090"/>
          <w:sz w:val="28"/>
          <w:szCs w:val="28"/>
        </w:rPr>
        <w:t xml:space="preserve">Project Overview</w:t>
      </w:r>
    </w:p>
    <w:p>
      <w:pPr>
        <w:spacing w:after="80" w:before="80"/>
      </w:pPr>
      <w:r>
        <w:rPr>
          <w:rFonts w:ascii="Arial" w:cs="Arial" w:eastAsia="Arial" w:hAnsi="Arial"/>
          <w:color w:val="374151"/>
          <w:sz w:val="22"/>
          <w:szCs w:val="22"/>
        </w:rPr>
        <w:t xml:space="preserve">HR teams sit on a goldmine of people data — yet most organizations struggle to move beyond spreadsheets for workforce reporting. This project delivered a comprehensive, executive-grade HR Analytics Dashboard in Tableau that transforms employee data into meaningful, actionable intelligence.</w:t>
      </w:r>
    </w:p>
    <w:p>
      <w:pPr>
        <w:spacing w:after="80" w:before="80"/>
      </w:pPr>
      <w:r>
        <w:rPr>
          <w:rFonts w:ascii="Arial" w:cs="Arial" w:eastAsia="Arial" w:hAnsi="Arial"/>
          <w:color w:val="374151"/>
          <w:sz w:val="22"/>
          <w:szCs w:val="22"/>
        </w:rPr>
        <w:t xml:space="preserve">The dashboard is built across two connected views: an Overview page covering workforce-level metrics, and a Details page providing a filterable employee-level list for drill-down investigations. The dark-themed design language was a deliberate choice — reflecting the dashboard's role as an always-on command center for HR leadership.</w:t>
      </w:r>
    </w:p>
    <w:p>
      <w:pPr>
        <w:pStyle w:val="Heading2"/>
        <w:spacing w:after="100" w:before="300"/>
      </w:pPr>
      <w:r>
        <w:rPr>
          <w:rFonts w:ascii="Arial" w:cs="Arial" w:eastAsia="Arial" w:hAnsi="Arial"/>
          <w:b/>
          <w:bCs/>
          <w:color w:val="028090"/>
          <w:sz w:val="28"/>
          <w:szCs w:val="28"/>
        </w:rPr>
        <w:t xml:space="preserve">The Challenge</w:t>
      </w:r>
    </w:p>
    <w:p>
      <w:pPr>
        <w:spacing w:after="80" w:before="80"/>
      </w:pPr>
      <w:r>
        <w:rPr>
          <w:rFonts w:ascii="Arial" w:cs="Arial" w:eastAsia="Arial" w:hAnsi="Arial"/>
          <w:color w:val="374151"/>
          <w:sz w:val="22"/>
          <w:szCs w:val="22"/>
        </w:rPr>
        <w:t xml:space="preserve">HR leadership needed answers to complex, intersecting questions: Are we paying men and women equitably at the same education level? Which departments have the highest attrition? How does performance correlate with education? These questions required aggregated analysis, cross-dimensional filtering, and individual-level lookup — all in one place.</w:t>
      </w:r>
    </w:p>
    <w:p>
      <w:pPr>
        <w:pStyle w:val="Heading2"/>
        <w:spacing w:after="100" w:before="300"/>
      </w:pPr>
      <w:r>
        <w:rPr>
          <w:rFonts w:ascii="Arial" w:cs="Arial" w:eastAsia="Arial" w:hAnsi="Arial"/>
          <w:b/>
          <w:bCs/>
          <w:color w:val="028090"/>
          <w:sz w:val="28"/>
          <w:szCs w:val="28"/>
        </w:rPr>
        <w:t xml:space="preserve">My Approach &amp; Design Decisions</w:t>
      </w:r>
    </w:p>
    <w:p>
      <w:pPr>
        <w:pStyle w:val="ListParagraph"/>
        <w:numPr>
          <w:ilvl w:val="0"/>
          <w:numId w:val="2"/>
        </w:numPr>
        <w:spacing w:after="60" w:before="60"/>
      </w:pPr>
      <w:r>
        <w:rPr>
          <w:rFonts w:ascii="Arial" w:cs="Arial" w:eastAsia="Arial" w:hAnsi="Arial"/>
          <w:color w:val="374151"/>
          <w:sz w:val="22"/>
          <w:szCs w:val="22"/>
        </w:rPr>
        <w:t xml:space="preserve">Built an Overview section with three interconnected panels: workforce KPIs with trend lines, a department-level hired vs. terminated breakdown, and a geographic map showing HQ vs. branch distribution</w:t>
      </w:r>
    </w:p>
    <w:p>
      <w:pPr>
        <w:pStyle w:val="ListParagraph"/>
        <w:numPr>
          <w:ilvl w:val="0"/>
          <w:numId w:val="2"/>
        </w:numPr>
        <w:spacing w:after="60" w:before="60"/>
      </w:pPr>
      <w:r>
        <w:rPr>
          <w:rFonts w:ascii="Arial" w:cs="Arial" w:eastAsia="Arial" w:hAnsi="Arial"/>
          <w:color w:val="374151"/>
          <w:sz w:val="22"/>
          <w:szCs w:val="22"/>
        </w:rPr>
        <w:t xml:space="preserve">Designed a Demographics panel using donut charts for gender split, a bubble matrix for education-by-age distribution, and a heatmap showing education level vs. performance rating — revealing which combinations drive 'Excellent' ratings</w:t>
      </w:r>
    </w:p>
    <w:p>
      <w:pPr>
        <w:pStyle w:val="ListParagraph"/>
        <w:numPr>
          <w:ilvl w:val="0"/>
          <w:numId w:val="2"/>
        </w:numPr>
        <w:spacing w:after="60" w:before="60"/>
      </w:pPr>
      <w:r>
        <w:rPr>
          <w:rFonts w:ascii="Arial" w:cs="Arial" w:eastAsia="Arial" w:hAnsi="Arial"/>
          <w:color w:val="374151"/>
          <w:sz w:val="22"/>
          <w:szCs w:val="22"/>
        </w:rPr>
        <w:t xml:space="preserve">Created an Income section comparing salaries by gender and education level side-by-side, enabling direct pay equity analysis — a compliance-critical feature for HR departments</w:t>
      </w:r>
    </w:p>
    <w:p>
      <w:pPr>
        <w:pStyle w:val="ListParagraph"/>
        <w:numPr>
          <w:ilvl w:val="0"/>
          <w:numId w:val="2"/>
        </w:numPr>
        <w:spacing w:after="60" w:before="60"/>
      </w:pPr>
      <w:r>
        <w:rPr>
          <w:rFonts w:ascii="Arial" w:cs="Arial" w:eastAsia="Arial" w:hAnsi="Arial"/>
          <w:color w:val="374151"/>
          <w:sz w:val="22"/>
          <w:szCs w:val="22"/>
        </w:rPr>
        <w:t xml:space="preserve">Built a scatter plot of Age vs. Salary by job title, giving leadership instant visibility into compensation distribution across seniority levels</w:t>
      </w:r>
    </w:p>
    <w:p>
      <w:pPr>
        <w:pStyle w:val="ListParagraph"/>
        <w:numPr>
          <w:ilvl w:val="0"/>
          <w:numId w:val="2"/>
        </w:numPr>
        <w:spacing w:after="60" w:before="60"/>
      </w:pPr>
      <w:r>
        <w:rPr>
          <w:rFonts w:ascii="Arial" w:cs="Arial" w:eastAsia="Arial" w:hAnsi="Arial"/>
          <w:color w:val="374151"/>
          <w:sz w:val="22"/>
          <w:szCs w:val="22"/>
        </w:rPr>
        <w:t xml:space="preserve">Developed a Details page with a fully filterable Employee List showing ID, demographics, role, location, salary, hire status, and tenure bar — turning the dashboard into an operational tool, not just a reporting tool</w:t>
      </w:r>
    </w:p>
    <w:p>
      <w:pPr>
        <w:pStyle w:val="ListParagraph"/>
        <w:numPr>
          <w:ilvl w:val="0"/>
          <w:numId w:val="2"/>
        </w:numPr>
        <w:spacing w:after="60" w:before="60"/>
      </w:pPr>
      <w:r>
        <w:rPr>
          <w:rFonts w:ascii="Arial" w:cs="Arial" w:eastAsia="Arial" w:hAnsi="Arial"/>
          <w:color w:val="374151"/>
          <w:sz w:val="22"/>
          <w:szCs w:val="22"/>
        </w:rPr>
        <w:t xml:space="preserve">Applied a dark teal and magenta color system with clear semantic meaning: teal for hired/active, magenta for terminated/attrition — making status legible at a glance</w:t>
      </w:r>
    </w:p>
    <w:p>
      <w:pPr>
        <w:pStyle w:val="Heading2"/>
        <w:spacing w:after="100" w:before="300"/>
      </w:pPr>
      <w:r>
        <w:rPr>
          <w:rFonts w:ascii="Arial" w:cs="Arial" w:eastAsia="Arial" w:hAnsi="Arial"/>
          <w:b/>
          <w:bCs/>
          <w:color w:val="028090"/>
          <w:sz w:val="28"/>
          <w:szCs w:val="28"/>
        </w:rPr>
        <w:t xml:space="preserve">Tools &amp; Technologies</w:t>
      </w:r>
    </w:p>
    <w:p>
      <w:pPr>
        <w:spacing w:after="80" w:before="80"/>
      </w:pPr>
      <w:r>
        <w:rPr>
          <w:rFonts w:ascii="Arial" w:cs="Arial" w:eastAsia="Arial" w:hAnsi="Arial"/>
          <w:color w:val="374151"/>
          <w:sz w:val="22"/>
          <w:szCs w:val="22"/>
        </w:rPr>
        <w:t xml:space="preserve">Tableau Desktop — for all visualization, layout, and interactivity design. The dashboard uses advanced features including LOD (Level of Detail) expressions for cohort-based salary calculations, parameter controls for dynamic filtering, and dashboard actions for cross-sheet interactivity.</w:t>
      </w:r>
    </w:p>
    <w:p>
      <w:pPr>
        <w:pStyle w:val="Heading2"/>
        <w:spacing w:after="100" w:before="300"/>
      </w:pPr>
      <w:r>
        <w:rPr>
          <w:rFonts w:ascii="Arial" w:cs="Arial" w:eastAsia="Arial" w:hAnsi="Arial"/>
          <w:b/>
          <w:bCs/>
          <w:color w:val="028090"/>
          <w:sz w:val="28"/>
          <w:szCs w:val="28"/>
        </w:rPr>
        <w:t xml:space="preserve">Key Insights Uncovered</w:t>
      </w:r>
    </w:p>
    <w:p>
      <w:pPr>
        <w:pStyle w:val="ListParagraph"/>
        <w:numPr>
          <w:ilvl w:val="0"/>
          <w:numId w:val="2"/>
        </w:numPr>
        <w:spacing w:after="60" w:before="60"/>
      </w:pPr>
      <w:r>
        <w:rPr>
          <w:rFonts w:ascii="Arial" w:cs="Arial" w:eastAsia="Arial" w:hAnsi="Arial"/>
          <w:color w:val="374151"/>
          <w:sz w:val="22"/>
          <w:szCs w:val="22"/>
        </w:rPr>
        <w:t xml:space="preserve">PhD holders earn up to $93K on average compared to $63K for high school graduates — but this gap is smaller within some departments than expected</w:t>
      </w:r>
    </w:p>
    <w:p>
      <w:pPr>
        <w:pStyle w:val="ListParagraph"/>
        <w:numPr>
          <w:ilvl w:val="0"/>
          <w:numId w:val="2"/>
        </w:numPr>
        <w:spacing w:after="60" w:before="60"/>
      </w:pPr>
      <w:r>
        <w:rPr>
          <w:rFonts w:ascii="Arial" w:cs="Arial" w:eastAsia="Arial" w:hAnsi="Arial"/>
          <w:color w:val="374151"/>
          <w:sz w:val="22"/>
          <w:szCs w:val="22"/>
        </w:rPr>
        <w:t xml:space="preserve">Operations is the largest department with 2,429 employees but also has the highest absolute termination count at 289</w:t>
      </w:r>
    </w:p>
    <w:p>
      <w:pPr>
        <w:pStyle w:val="ListParagraph"/>
        <w:numPr>
          <w:ilvl w:val="0"/>
          <w:numId w:val="2"/>
        </w:numPr>
        <w:spacing w:after="60" w:before="60"/>
      </w:pPr>
      <w:r>
        <w:rPr>
          <w:rFonts w:ascii="Arial" w:cs="Arial" w:eastAsia="Arial" w:hAnsi="Arial"/>
          <w:color w:val="374151"/>
          <w:sz w:val="22"/>
          <w:szCs w:val="22"/>
        </w:rPr>
        <w:t xml:space="preserve">Males with a Bachelor's degree aged 35-44 represent the single largest workforce demographic cohort</w:t>
      </w:r>
    </w:p>
    <w:p>
      <w:pPr>
        <w:pStyle w:val="ListParagraph"/>
        <w:numPr>
          <w:ilvl w:val="0"/>
          <w:numId w:val="2"/>
        </w:numPr>
        <w:spacing w:after="60" w:before="60"/>
      </w:pPr>
      <w:r>
        <w:rPr>
          <w:rFonts w:ascii="Arial" w:cs="Arial" w:eastAsia="Arial" w:hAnsi="Arial"/>
          <w:color w:val="374151"/>
          <w:sz w:val="22"/>
          <w:szCs w:val="22"/>
        </w:rPr>
        <w:t xml:space="preserve">The Education &amp; Performance heatmap reveals that PhD holders disproportionately cluster in 'Excellent' ratings, while 'Needs Improvement' is most common among high school-educated employees — a potential training opportunity</w:t>
      </w:r>
    </w:p>
    <w:p>
      <w:pPr>
        <w:pStyle w:val="ListParagraph"/>
        <w:numPr>
          <w:ilvl w:val="0"/>
          <w:numId w:val="2"/>
        </w:numPr>
        <w:spacing w:after="60" w:before="60"/>
      </w:pPr>
      <w:r>
        <w:rPr>
          <w:rFonts w:ascii="Arial" w:cs="Arial" w:eastAsia="Arial" w:hAnsi="Arial"/>
          <w:color w:val="374151"/>
          <w:sz w:val="22"/>
          <w:szCs w:val="22"/>
        </w:rPr>
        <w:t xml:space="preserve">Employee tenure visualization shows a healthy mix of long-tenured staff (8–11 years) alongside recent hires, suggesting stable institutional knowledge with fresh talent inflow</w:t>
      </w:r>
    </w:p>
    <w:p>
      <w:pPr>
        <w:pStyle w:val="Heading2"/>
        <w:spacing w:after="100" w:before="300"/>
      </w:pPr>
      <w:r>
        <w:rPr>
          <w:rFonts w:ascii="Arial" w:cs="Arial" w:eastAsia="Arial" w:hAnsi="Arial"/>
          <w:b/>
          <w:bCs/>
          <w:color w:val="028090"/>
          <w:sz w:val="28"/>
          <w:szCs w:val="28"/>
        </w:rPr>
        <w:t xml:space="preserve">Business Impact</w:t>
      </w:r>
    </w:p>
    <w:p>
      <w:pPr>
        <w:spacing w:after="80" w:before="80"/>
      </w:pPr>
      <w:r>
        <w:rPr>
          <w:rFonts w:ascii="Arial" w:cs="Arial" w:eastAsia="Arial" w:hAnsi="Arial"/>
          <w:color w:val="374151"/>
          <w:sz w:val="22"/>
          <w:szCs w:val="22"/>
        </w:rPr>
        <w:t xml:space="preserve">This dashboard gave HR leadership the ability to conduct compensation equity reviews, attrition analysis, and workforce planning in Tableau — replacing a quarterly manual process that previously required multiple Excel files and an analyst to consolidate. The employee detail view alone eliminated ad-hoc data requests to the HR team by giving managers self-service access to employee records.</w:t>
      </w:r>
    </w:p>
    <w:p>
      <w:pPr>
        <w:pBdr>
          <w:bottom w:val="single" w:color="028090" w:sz="4" w:space="1"/>
        </w:pBdr>
        <w:spacing w:after="160" w:before="160"/>
      </w:pPr>
    </w:p>
    <w:p>
      <w:pPr>
        <w:spacing w:after="160" w:before="400"/>
      </w:pPr>
      <w:r>
        <w:rPr>
          <w:rFonts w:ascii="Arial" w:cs="Arial" w:eastAsia="Arial" w:hAnsi="Arial"/>
          <w:b/>
          <w:bCs/>
          <w:color w:val="1A2E44"/>
          <w:sz w:val="32"/>
          <w:szCs w:val="32"/>
        </w:rPr>
        <w:t xml:space="preserve">Core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EAF6F6" w:val="clear"/>
            <w:tcMar>
              <w:top w:type="dxa" w:w="120"/>
              <w:left w:type="dxa" w:w="180"/>
              <w:bottom w:type="dxa" w:w="120"/>
              <w:right w:type="dxa" w:w="180"/>
            </w:tcMar>
          </w:tcPr>
          <w:p>
            <w:pPr>
              <w:spacing w:after="80" w:before="0"/>
            </w:pPr>
            <w:r>
              <w:rPr>
                <w:rFonts w:ascii="Arial" w:cs="Arial" w:eastAsia="Arial" w:hAnsi="Arial"/>
                <w:b/>
                <w:bCs/>
                <w:color w:val="028090"/>
                <w:sz w:val="22"/>
                <w:szCs w:val="22"/>
              </w:rPr>
              <w:t xml:space="preserve">Visualization &amp; Design</w:t>
            </w:r>
          </w:p>
          <w:p>
            <w:pPr>
              <w:pStyle w:val="ListParagraph"/>
              <w:numPr>
                <w:ilvl w:val="0"/>
                <w:numId w:val="2"/>
              </w:numPr>
              <w:spacing w:after="40" w:before="40"/>
            </w:pPr>
            <w:r>
              <w:rPr>
                <w:rFonts w:ascii="Arial" w:cs="Arial" w:eastAsia="Arial" w:hAnsi="Arial"/>
                <w:color w:val="374151"/>
                <w:sz w:val="20"/>
                <w:szCs w:val="20"/>
              </w:rPr>
              <w:t xml:space="preserve">Tableau Desktop (Advanced)</w:t>
            </w:r>
          </w:p>
          <w:p>
            <w:pPr>
              <w:pStyle w:val="ListParagraph"/>
              <w:numPr>
                <w:ilvl w:val="0"/>
                <w:numId w:val="2"/>
              </w:numPr>
              <w:spacing w:after="40" w:before="40"/>
            </w:pPr>
            <w:r>
              <w:rPr>
                <w:rFonts w:ascii="Arial" w:cs="Arial" w:eastAsia="Arial" w:hAnsi="Arial"/>
                <w:color w:val="374151"/>
                <w:sz w:val="20"/>
                <w:szCs w:val="20"/>
              </w:rPr>
              <w:t xml:space="preserve">KPI Dashboard Design</w:t>
            </w:r>
          </w:p>
          <w:p>
            <w:pPr>
              <w:pStyle w:val="ListParagraph"/>
              <w:numPr>
                <w:ilvl w:val="0"/>
                <w:numId w:val="2"/>
              </w:numPr>
              <w:spacing w:after="40" w:before="40"/>
            </w:pPr>
            <w:r>
              <w:rPr>
                <w:rFonts w:ascii="Arial" w:cs="Arial" w:eastAsia="Arial" w:hAnsi="Arial"/>
                <w:color w:val="374151"/>
                <w:sz w:val="20"/>
                <w:szCs w:val="20"/>
              </w:rPr>
              <w:t xml:space="preserve">Interactive Filtering &amp; Actions</w:t>
            </w:r>
          </w:p>
          <w:p>
            <w:pPr>
              <w:pStyle w:val="ListParagraph"/>
              <w:numPr>
                <w:ilvl w:val="0"/>
                <w:numId w:val="2"/>
              </w:numPr>
              <w:spacing w:after="40" w:before="40"/>
            </w:pPr>
            <w:r>
              <w:rPr>
                <w:rFonts w:ascii="Arial" w:cs="Arial" w:eastAsia="Arial" w:hAnsi="Arial"/>
                <w:color w:val="374151"/>
                <w:sz w:val="20"/>
                <w:szCs w:val="20"/>
              </w:rPr>
              <w:t xml:space="preserve">Data Storytelling</w:t>
            </w:r>
          </w:p>
        </w:tc>
        <w:tc>
          <w:tcPr>
            <w:tcW w:type="dxa" w:w="4680"/>
            <w:tcBorders>
              <w:top w:val="single" w:color="D1D5DB" w:sz="1"/>
              <w:left w:val="single" w:color="D1D5DB" w:sz="1"/>
              <w:bottom w:val="single" w:color="D1D5DB" w:sz="1"/>
              <w:right w:val="single" w:color="D1D5DB" w:sz="1"/>
            </w:tcBorders>
            <w:shd w:fill="EAF6F6" w:val="clear"/>
            <w:tcMar>
              <w:top w:type="dxa" w:w="120"/>
              <w:left w:type="dxa" w:w="180"/>
              <w:bottom w:type="dxa" w:w="120"/>
              <w:right w:type="dxa" w:w="180"/>
            </w:tcMar>
          </w:tcPr>
          <w:p>
            <w:pPr>
              <w:spacing w:after="80" w:before="0"/>
            </w:pPr>
            <w:r>
              <w:rPr>
                <w:rFonts w:ascii="Arial" w:cs="Arial" w:eastAsia="Arial" w:hAnsi="Arial"/>
                <w:b/>
                <w:bCs/>
                <w:color w:val="028090"/>
                <w:sz w:val="22"/>
                <w:szCs w:val="22"/>
              </w:rPr>
              <w:t xml:space="preserve">Analytics &amp; Strategy</w:t>
            </w:r>
          </w:p>
          <w:p>
            <w:pPr>
              <w:pStyle w:val="ListParagraph"/>
              <w:numPr>
                <w:ilvl w:val="0"/>
                <w:numId w:val="2"/>
              </w:numPr>
              <w:spacing w:after="40" w:before="40"/>
            </w:pPr>
            <w:r>
              <w:rPr>
                <w:rFonts w:ascii="Arial" w:cs="Arial" w:eastAsia="Arial" w:hAnsi="Arial"/>
                <w:color w:val="374151"/>
                <w:sz w:val="20"/>
                <w:szCs w:val="20"/>
              </w:rPr>
              <w:t xml:space="preserve">LOD Expressions &amp; Table Calculations</w:t>
            </w:r>
          </w:p>
          <w:p>
            <w:pPr>
              <w:pStyle w:val="ListParagraph"/>
              <w:numPr>
                <w:ilvl w:val="0"/>
                <w:numId w:val="2"/>
              </w:numPr>
              <w:spacing w:after="40" w:before="40"/>
            </w:pPr>
            <w:r>
              <w:rPr>
                <w:rFonts w:ascii="Arial" w:cs="Arial" w:eastAsia="Arial" w:hAnsi="Arial"/>
                <w:color w:val="374151"/>
                <w:sz w:val="20"/>
                <w:szCs w:val="20"/>
              </w:rPr>
              <w:t xml:space="preserve">Year-over-Year &amp; Trend Analysis</w:t>
            </w:r>
          </w:p>
          <w:p>
            <w:pPr>
              <w:pStyle w:val="ListParagraph"/>
              <w:numPr>
                <w:ilvl w:val="0"/>
                <w:numId w:val="2"/>
              </w:numPr>
              <w:spacing w:after="40" w:before="40"/>
            </w:pPr>
            <w:r>
              <w:rPr>
                <w:rFonts w:ascii="Arial" w:cs="Arial" w:eastAsia="Arial" w:hAnsi="Arial"/>
                <w:color w:val="374151"/>
                <w:sz w:val="20"/>
                <w:szCs w:val="20"/>
              </w:rPr>
              <w:t xml:space="preserve">Workforce &amp; Sales Analytics</w:t>
            </w:r>
          </w:p>
          <w:p>
            <w:pPr>
              <w:pStyle w:val="ListParagraph"/>
              <w:numPr>
                <w:ilvl w:val="0"/>
                <w:numId w:val="2"/>
              </w:numPr>
              <w:spacing w:after="40" w:before="40"/>
            </w:pPr>
            <w:r>
              <w:rPr>
                <w:rFonts w:ascii="Arial" w:cs="Arial" w:eastAsia="Arial" w:hAnsi="Arial"/>
                <w:color w:val="374151"/>
                <w:sz w:val="20"/>
                <w:szCs w:val="20"/>
              </w:rPr>
              <w:t xml:space="preserve">Stakeholder-Centered Design</w:t>
            </w:r>
          </w:p>
        </w:tc>
      </w:tr>
    </w:tbl>
    <w:p>
      <w:pPr>
        <w:spacing w:after="0" w:before="480"/>
      </w:pPr>
    </w:p>
    <w:p>
      <w:pPr>
        <w:jc w:val="center"/>
      </w:pPr>
      <w:r>
        <w:rPr>
          <w:rFonts w:ascii="Arial" w:cs="Arial" w:eastAsia="Arial" w:hAnsi="Arial"/>
          <w:i/>
          <w:iCs/>
          <w:color w:val="6B7280"/>
          <w:sz w:val="22"/>
          <w:szCs w:val="22"/>
        </w:rPr>
        <w:t xml:space="preserve">Thank you for reviewing my work.</w:t>
      </w:r>
    </w:p>
    <w:p>
      <w:pPr>
        <w:spacing w:before="80"/>
        <w:jc w:val="center"/>
      </w:pPr>
      <w:r>
        <w:rPr>
          <w:rFonts w:ascii="Arial" w:cs="Arial" w:eastAsia="Arial" w:hAnsi="Arial"/>
          <w:b/>
          <w:bCs/>
          <w:color w:val="028090"/>
          <w:sz w:val="22"/>
          <w:szCs w:val="22"/>
        </w:rPr>
        <w:t xml:space="preserve">I build dashboards that don't just look good — they move businesses forward.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E44"/>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028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2026-04-07T22:47:04.679Z</dcterms:created>
  <dcterms:modified xsi:type="dcterms:W3CDTF">2026-04-07T22:47:04.680Z</dcterms:modified>
</cp:coreProperties>
</file>

<file path=docProps/custom.xml><?xml version="1.0" encoding="utf-8"?>
<Properties xmlns="http://schemas.openxmlformats.org/officeDocument/2006/custom-properties" xmlns:vt="http://schemas.openxmlformats.org/officeDocument/2006/docPropsVTypes"/>
</file>