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0" w:line="300" w:lineRule="auto"/>
        <w:jc w:val="center"/>
      </w:pPr>
      <w:r>
        <w:rPr>
          <w:rFonts w:ascii="Times New Roman" w:cs="Times New Roman" w:eastAsia="Times New Roman" w:hAnsi="Times New Roman"/>
          <w:b/>
          <w:bCs/>
          <w:sz w:val="30"/>
          <w:szCs w:val="30"/>
        </w:rPr>
        <w:t xml:space="preserve">AN EXPLAINABLE TRANSLATION LAYER FOR CONVERTING SHAP/LIME OUTPUTS INTO HUMAN-READABLE PHISHING ALERTS USING A LIGHTWEIGHT OPEN-SOURCE LLM</w:t>
      </w:r>
    </w:p>
    <w:p>
      <w:pPr>
        <w:spacing w:after="800"/>
      </w:pPr>
    </w:p>
    <w:p>
      <w:pPr>
        <w:jc w:val="center"/>
      </w:pPr>
      <w:r>
        <w:rPr>
          <w:rFonts w:ascii="Times New Roman" w:cs="Times New Roman" w:eastAsia="Times New Roman" w:hAnsi="Times New Roman"/>
          <w:sz w:val="24"/>
          <w:szCs w:val="24"/>
        </w:rPr>
        <w:t xml:space="preserve">BY:</w:t>
      </w:r>
    </w:p>
    <w:p>
      <w:pPr>
        <w:spacing w:after="40"/>
        <w:jc w:val="center"/>
      </w:pPr>
      <w:r>
        <w:rPr>
          <w:rFonts w:ascii="Times New Roman" w:cs="Times New Roman" w:eastAsia="Times New Roman" w:hAnsi="Times New Roman"/>
          <w:sz w:val="24"/>
          <w:szCs w:val="24"/>
        </w:rPr>
        <w:t xml:space="preserve">Zulikhat Adesola Adeyanju</w:t>
      </w:r>
    </w:p>
    <w:p>
      <w:pPr>
        <w:spacing w:after="800"/>
        <w:jc w:val="center"/>
      </w:pPr>
      <w:r>
        <w:rPr>
          <w:rFonts w:ascii="Times New Roman" w:cs="Times New Roman" w:eastAsia="Times New Roman" w:hAnsi="Times New Roman"/>
          <w:b/>
          <w:bCs/>
          <w:sz w:val="24"/>
          <w:szCs w:val="24"/>
        </w:rPr>
        <w:t xml:space="preserve">(2025/A/MIT/0231)</w:t>
      </w:r>
    </w:p>
    <w:p>
      <w:pPr>
        <w:spacing w:after="40"/>
        <w:jc w:val="center"/>
      </w:pPr>
      <w:r>
        <w:rPr>
          <w:rFonts w:ascii="Times New Roman" w:cs="Times New Roman" w:eastAsia="Times New Roman" w:hAnsi="Times New Roman"/>
          <w:sz w:val="24"/>
          <w:szCs w:val="24"/>
        </w:rPr>
        <w:t xml:space="preserve">DEPARTMENT OF INFORMATION TECHNOLOGY</w:t>
      </w:r>
    </w:p>
    <w:p>
      <w:pPr>
        <w:spacing w:after="40"/>
        <w:jc w:val="center"/>
      </w:pPr>
      <w:r>
        <w:rPr>
          <w:rFonts w:ascii="Times New Roman" w:cs="Times New Roman" w:eastAsia="Times New Roman" w:hAnsi="Times New Roman"/>
          <w:sz w:val="24"/>
          <w:szCs w:val="24"/>
        </w:rPr>
        <w:t xml:space="preserve">SCHOOL OF COMPUTING</w:t>
      </w:r>
    </w:p>
    <w:p>
      <w:pPr>
        <w:spacing w:after="40"/>
        <w:jc w:val="center"/>
      </w:pPr>
      <w:r>
        <w:rPr>
          <w:rFonts w:ascii="Times New Roman" w:cs="Times New Roman" w:eastAsia="Times New Roman" w:hAnsi="Times New Roman"/>
          <w:sz w:val="24"/>
          <w:szCs w:val="24"/>
        </w:rPr>
        <w:t xml:space="preserve">MIVA OPEN UNIVERSITY ABUJA,</w:t>
      </w:r>
    </w:p>
    <w:p>
      <w:pPr>
        <w:spacing w:after="800"/>
        <w:jc w:val="center"/>
      </w:pPr>
      <w:r>
        <w:rPr>
          <w:rFonts w:ascii="Times New Roman" w:cs="Times New Roman" w:eastAsia="Times New Roman" w:hAnsi="Times New Roman"/>
          <w:sz w:val="24"/>
          <w:szCs w:val="24"/>
        </w:rPr>
        <w:t xml:space="preserve">NIGERIA.</w:t>
      </w:r>
    </w:p>
    <w:p>
      <w:pPr>
        <w:jc w:val="center"/>
      </w:pPr>
      <w:r>
        <w:rPr>
          <w:rFonts w:ascii="Times New Roman" w:cs="Times New Roman" w:eastAsia="Times New Roman" w:hAnsi="Times New Roman"/>
          <w:sz w:val="24"/>
          <w:szCs w:val="24"/>
        </w:rPr>
        <w:t xml:space="preserve">July, 2026</w:t>
      </w:r>
    </w:p>
    <w:p>
      <w:pPr>
        <w:pStyle w:val="Heading1"/>
        <w:pageBreakBefore/>
        <w:spacing w:after="360" w:before="240" w:line="300" w:lineRule="auto"/>
        <w:jc w:val="center"/>
      </w:pPr>
      <w:r>
        <w:rPr>
          <w:rFonts w:ascii="Times New Roman" w:cs="Times New Roman" w:eastAsia="Times New Roman" w:hAnsi="Times New Roman"/>
          <w:b/>
          <w:bCs/>
          <w:sz w:val="30"/>
          <w:szCs w:val="30"/>
        </w:rPr>
        <w:t xml:space="preserve">ABSTRACT</w:t>
      </w:r>
    </w:p>
    <w:p>
      <w:pPr>
        <w:spacing w:after="200" w:line="300" w:lineRule="auto"/>
        <w:jc w:val="both"/>
      </w:pPr>
      <w:r>
        <w:rPr>
          <w:rFonts w:ascii="Times New Roman" w:cs="Times New Roman" w:eastAsia="Times New Roman" w:hAnsi="Times New Roman"/>
          <w:sz w:val="24"/>
          <w:szCs w:val="24"/>
        </w:rPr>
        <w:t xml:space="preserve">Phishing remains one of the cheapest and most effective ways to break into an organisation, and machine learning has become the standard tool for catching it. The problem is that most of these classifiers give a verdict and nothing else. A model can flag an email as phishing with 94 per cent confidence and still leave the person reading that alert with no idea why. Explainable AI methods such as SHAP and LIME were meant to close that gap, but their output — signed numerical weights attached to feature names — assumes a level of statistical fluency that most IT helpdesk staff and SOC analysts simply do not have. This project builds and tests a translation layer that sits between a phishing classifier's explanation and the person who has to act on it, converting SHAP and LIME feature-importance scores into a single plain-language sentence.</w:t>
      </w:r>
    </w:p>
    <w:p>
      <w:pPr>
        <w:spacing w:after="200" w:line="300" w:lineRule="auto"/>
        <w:jc w:val="both"/>
      </w:pPr>
      <w:r>
        <w:rPr>
          <w:rFonts w:ascii="Times New Roman" w:cs="Times New Roman" w:eastAsia="Times New Roman" w:hAnsi="Times New Roman"/>
          <w:sz w:val="24"/>
          <w:szCs w:val="24"/>
        </w:rPr>
        <w:t xml:space="preserve">Two Random Forest classifiers were trained for this study — one for email content, one for URLs — using real, publicly sourced data (the Enron-Spam corpus and a combination of the Phishing.Database blocklist and OpenDNS's top-domains list). SHAP's TreeExplainer and LIME's tabular explainer were wired into both classifiers, and their outputs were reconciled and passed through an engineered prompt template into a translation layer. Because the development environment used for this build had no route to the commercial model-hosting services that the proposal originally named, the translation layer ships with a deterministic, fully offline template-based generator rather than a downloaded quantized LLM, behind an interface designed so a real local model can be substituted without touching the rest of the pipeline. The system was wrapped in a Streamlit interface that shows the verdict, the raw SHAP/LIME output, and the plain-language sentence side by side.</w:t>
      </w:r>
    </w:p>
    <w:p>
      <w:pPr>
        <w:spacing w:after="200" w:line="300" w:lineRule="auto"/>
        <w:jc w:val="both"/>
      </w:pPr>
      <w:r>
        <w:rPr>
          <w:rFonts w:ascii="Times New Roman" w:cs="Times New Roman" w:eastAsia="Times New Roman" w:hAnsi="Times New Roman"/>
          <w:sz w:val="24"/>
          <w:szCs w:val="24"/>
        </w:rPr>
        <w:t xml:space="preserve">The URL classifier reached 88.1 per cent test accuracy and the email classifier 78.8 per cent, both evaluated on held-out data. Automated readability testing showed a consistent improvement in the plain-language explanations over the raw SHAP text — Flesch Reading Ease rose from 13.9 to 34.6 for URL explanations and from −38.9 to 37.3 for email explanations. Fifty automated tests, including a regression test written after the system was caught generating one factually incoherent sentence during manual testing, pass on every run. The project concludes that a lightweight, non-cloud-dependent translation layer is technically achievable and measurably improves the readability of phishing explanations, while flagging that the credibility and decision-speed dimensions of the evaluation still need real non-expert participants, for which a structured questionnaire has been prepared but not yet administered.</w:t>
      </w:r>
    </w:p>
    <w:p>
      <w:pPr>
        <w:spacing w:after="200" w:line="300" w:lineRule="auto"/>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explainable AI, SHAP, LIME, phishing detection, natural language generation, lightweight large language models, human-computer interaction, cybersecurity usability.</w:t>
      </w:r>
    </w:p>
    <w:p>
      <w:pPr>
        <w:pStyle w:val="Heading1"/>
        <w:pageBreakBefore/>
        <w:spacing w:after="360" w:before="240" w:line="300" w:lineRule="auto"/>
        <w:jc w:val="center"/>
      </w:pPr>
      <w:r>
        <w:rPr>
          <w:rFonts w:ascii="Times New Roman" w:cs="Times New Roman" w:eastAsia="Times New Roman" w:hAnsi="Times New Roman"/>
          <w:b/>
          <w:bCs/>
          <w:sz w:val="30"/>
          <w:szCs w:val="30"/>
        </w:rPr>
        <w:t xml:space="preserve">CHAPTER ONE: INTRODUCTION</w:t>
      </w:r>
    </w:p>
    <w:p>
      <w:pPr>
        <w:pStyle w:val="Heading2"/>
        <w:spacing w:after="160" w:before="320" w:line="300" w:lineRule="auto"/>
      </w:pPr>
      <w:r>
        <w:rPr>
          <w:rFonts w:ascii="Times New Roman" w:cs="Times New Roman" w:eastAsia="Times New Roman" w:hAnsi="Times New Roman"/>
          <w:b/>
          <w:bCs/>
          <w:sz w:val="26"/>
          <w:szCs w:val="26"/>
        </w:rPr>
        <w:t xml:space="preserve">1.1 Background to the Project</w:t>
      </w:r>
    </w:p>
    <w:p>
      <w:pPr>
        <w:spacing w:after="200" w:line="300" w:lineRule="auto"/>
        <w:jc w:val="both"/>
      </w:pPr>
      <w:r>
        <w:rPr>
          <w:rFonts w:ascii="Times New Roman" w:cs="Times New Roman" w:eastAsia="Times New Roman" w:hAnsi="Times New Roman"/>
          <w:sz w:val="24"/>
          <w:szCs w:val="24"/>
        </w:rPr>
        <w:t xml:space="preserve">A phishing email rarely announces itself. It borrows a logo, copies a tone of voice, and asks for something small and urgent — a password reset, a confirmed invoice, a quick click to "verify your account." That combination of impersonation and manufactured urgency is what makes phishing a social-engineering problem rather than a purely technical one; the attacker is not exploiting a flaw in software so much as a flaw in how busy people make decisions under pressure (Almomani et al., 2013). It also explains why phishing has been so hard to shake off. Fette et al. (2007) were already writing about machine-learned phishing filters outperforming static rule lists nearly two decades ago, and the arms race has not slowed down since.</w:t>
      </w:r>
    </w:p>
    <w:p>
      <w:pPr>
        <w:spacing w:after="200" w:line="300" w:lineRule="auto"/>
        <w:jc w:val="both"/>
      </w:pPr>
      <w:r>
        <w:rPr>
          <w:rFonts w:ascii="Times New Roman" w:cs="Times New Roman" w:eastAsia="Times New Roman" w:hAnsi="Times New Roman"/>
          <w:sz w:val="24"/>
          <w:szCs w:val="24"/>
        </w:rPr>
        <w:t xml:space="preserve">If anything, it has sped up. Kymatio (2026) put the volume of phishing email sent daily at roughly 3.4 billion, driven in large part by Phishing-as-a-Service kits that let someone with no coding background rent a convincing campaign. Vyme (2026) reported that generative AI now touches over 80 per cent of phishing content in some form, which has quietly erased the old advice about spotting bad grammar and mismatched logos — the emails are grammatically fine now. Nigeria's exposure to this shift has been well documented in the trade press: Surfshark (2026) recorded more than 281,000 breached accounts in the country in the first quarter of 2026 alone, and Abijo (2026) estimated cumulative losses from data breaches at roughly three billion dollars between 2019 and 2025. Aladenusi (2026) points to a related structural problem — a shortage of dedicated cybersecurity staff means that in many Nigerian organisations, a generalist IT employee ends up doing incident triage alongside everything else on their plate.</w:t>
      </w:r>
    </w:p>
    <w:p>
      <w:pPr>
        <w:spacing w:after="200" w:line="300" w:lineRule="auto"/>
        <w:jc w:val="both"/>
      </w:pPr>
      <w:r>
        <w:rPr>
          <w:rFonts w:ascii="Times New Roman" w:cs="Times New Roman" w:eastAsia="Times New Roman" w:hAnsi="Times New Roman"/>
          <w:sz w:val="24"/>
          <w:szCs w:val="24"/>
        </w:rPr>
        <w:t xml:space="preserve">Machine learning changed what a phishing filter could catch. Sahingoz et al. (2019) reported URL classifiers clearing 97 per cent accuracy using nothing but lexical and structural features of the link itself, and similar gains have been reported for content-based email classifiers (Basnet, Mukkamala, &amp; Sung, 2008; Mohammad, Thabtah, &amp; McCluskey, 2016). What none of these systems solved was the question of trust. A classifier that says "phishing" without saying why is a black box, and black boxes are hard to act on with confidence — a point Adadi and Berrada (2018) make at length in their survey of explainable AI, and one that shows up repeatedly in usability research on automated security tooling. Explainable AI, and specifically the two techniques this project builds on — SHAP (Lundberg &amp; Lee, 2017) and LIME (Ribeiro, Singh, &amp; Guestrin, 2016) — were developed precisely to open that box back up, attaching a numeric contribution to each input feature so a model's reasoning becomes, in principle, inspectable.</w:t>
      </w:r>
    </w:p>
    <w:p>
      <w:pPr>
        <w:spacing w:after="200" w:line="300" w:lineRule="auto"/>
        <w:jc w:val="both"/>
      </w:pPr>
      <w:r>
        <w:rPr>
          <w:rFonts w:ascii="Times New Roman" w:cs="Times New Roman" w:eastAsia="Times New Roman" w:hAnsi="Times New Roman"/>
          <w:sz w:val="24"/>
          <w:szCs w:val="24"/>
        </w:rPr>
        <w:t xml:space="preserve">In principle is the operative phrase. Salih et al. (2024) put it plainly: SHAP and LIME output is technically sound and practically inaccessible to anyone without a statistics background. A force plot showing that "feature_42 contributed +0.32" is exactly the kind of thing a data scientist wants to see and exactly the kind of thing that means nothing to a helpdesk technician who has thirty seconds to decide whether to quarantine an email. Miller (2019) makes a related argument from the social-sciences side — that a good explanation is not just accurate, it is selective, contrastive, and delivered in terms the listener already understands, which is a fairly precise description of what SHAP output is not. That mismatch between technically correct and actually understandable is the gap this project sits in.</w:t>
      </w:r>
    </w:p>
    <w:p>
      <w:pPr>
        <w:pStyle w:val="Heading2"/>
        <w:spacing w:after="160" w:before="320" w:line="300" w:lineRule="auto"/>
      </w:pPr>
      <w:r>
        <w:rPr>
          <w:rFonts w:ascii="Times New Roman" w:cs="Times New Roman" w:eastAsia="Times New Roman" w:hAnsi="Times New Roman"/>
          <w:b/>
          <w:bCs/>
          <w:sz w:val="26"/>
          <w:szCs w:val="26"/>
        </w:rPr>
        <w:t xml:space="preserve">1.2 Statement of the Problem</w:t>
      </w:r>
    </w:p>
    <w:p>
      <w:pPr>
        <w:spacing w:after="200" w:line="300" w:lineRule="auto"/>
        <w:jc w:val="both"/>
      </w:pPr>
      <w:r>
        <w:rPr>
          <w:rFonts w:ascii="Times New Roman" w:cs="Times New Roman" w:eastAsia="Times New Roman" w:hAnsi="Times New Roman"/>
          <w:sz w:val="24"/>
          <w:szCs w:val="24"/>
        </w:rPr>
        <w:t xml:space="preserve">Phishing classifiers built with SHAP and LIME solve the transparency problem for people who already know how to read a Shapley value. They do not solve it for anyone else, and "anyone else" is most of the frontline staff who actually triage security alerts. Cambria et al. (2023) and Lim et al. (2025) both note that this usability gap has been largely overlooked in the phishing-detection literature specifically, even though adjacent fields — healthcare decision support in particular — have already started using natural-language generation to bridge the same kind of gap between a model's internal reasoning and a non-specialist's understanding.</w:t>
      </w:r>
    </w:p>
    <w:p>
      <w:pPr>
        <w:spacing w:after="200" w:line="300" w:lineRule="auto"/>
        <w:jc w:val="both"/>
      </w:pPr>
      <w:r>
        <w:rPr>
          <w:rFonts w:ascii="Times New Roman" w:cs="Times New Roman" w:eastAsia="Times New Roman" w:hAnsi="Times New Roman"/>
          <w:sz w:val="24"/>
          <w:szCs w:val="24"/>
        </w:rPr>
        <w:t xml:space="preserve">Existing attempts to close that gap for phishing detection, where they exist at all, tend to lean on commercial, cloud-hosted language models. Lim et al.'s (2025) EXPLICATE system, the closest published relative of this project, pairs SHAP with a DeepSeek-based interpretability layer — which works, but assumes an organisation is comfortable routing security-sensitive text through a third-party API and can absorb the latency and cost of doing so. For a resource-constrained SME, or for a Nigerian organisation weighing the privacy implications of sending flagged emails to an external service (a concern Aladenusi, 2026, raises directly), that assumption does not hold. There is, in short, no lightweight, locally-run system that takes SHAP and LIME output for phishing detection and turns it into a plain sentence a non-expert can act on without needing an internet connection or a cloud subscription. That is the specific, narrow problem this project addresses.</w:t>
      </w:r>
    </w:p>
    <w:p>
      <w:pPr>
        <w:pStyle w:val="Heading2"/>
        <w:spacing w:after="160" w:before="320" w:line="300" w:lineRule="auto"/>
      </w:pPr>
      <w:r>
        <w:rPr>
          <w:rFonts w:ascii="Times New Roman" w:cs="Times New Roman" w:eastAsia="Times New Roman" w:hAnsi="Times New Roman"/>
          <w:b/>
          <w:bCs/>
          <w:sz w:val="26"/>
          <w:szCs w:val="26"/>
        </w:rPr>
        <w:t xml:space="preserve">1.3 Aim and Objectives of the Project</w:t>
      </w:r>
    </w:p>
    <w:p>
      <w:pPr>
        <w:spacing w:after="200" w:line="300" w:lineRule="auto"/>
        <w:jc w:val="both"/>
      </w:pPr>
      <w:r>
        <w:rPr>
          <w:rFonts w:ascii="Times New Roman" w:cs="Times New Roman" w:eastAsia="Times New Roman" w:hAnsi="Times New Roman"/>
          <w:sz w:val="24"/>
          <w:szCs w:val="24"/>
        </w:rPr>
        <w:t xml:space="preserve">The aim of this project is to design, build, and evaluate a translation layer that converts SHAP and LIME feature-importance output from a phishing classifier into a single, human-readable explanation, generated by a lightweight, locally-executable language model rather than a hosted commercial one.</w:t>
      </w:r>
    </w:p>
    <w:p>
      <w:pPr>
        <w:spacing w:after="200" w:line="300" w:lineRule="auto"/>
        <w:jc w:val="both"/>
      </w:pPr>
      <w:r>
        <w:rPr>
          <w:rFonts w:ascii="Times New Roman" w:cs="Times New Roman" w:eastAsia="Times New Roman" w:hAnsi="Times New Roman"/>
          <w:sz w:val="24"/>
          <w:szCs w:val="24"/>
        </w:rPr>
        <w:t xml:space="preserve">In pursuit of that aim, the project set out to:</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Examine SHAP and LIME as currently applied to phishing detection, and identify concretely where their output stops being usable for a non-expert audience.</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Build working phishing classifiers — one for email, one for URLs — capable of returning SHAP and LIME feature-importance values for every prediction they make.</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Design and implement a translation component, built around a lightweight open-source language model, that converts those feature-importance values into one plain-language sentence per prediction.</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Integrate the classifier, the explainability layer, and the translation layer into a single working prototype with a usable interface.</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Evaluate the readability of the translated explanations against the raw SHAP/LIME output, and lay the groundwork for evaluating perceived credibility and decision-making speed with non-expert users.</w:t>
      </w:r>
    </w:p>
    <w:p>
      <w:pPr>
        <w:pStyle w:val="Heading2"/>
        <w:spacing w:after="160" w:before="320" w:line="300" w:lineRule="auto"/>
      </w:pPr>
      <w:r>
        <w:rPr>
          <w:rFonts w:ascii="Times New Roman" w:cs="Times New Roman" w:eastAsia="Times New Roman" w:hAnsi="Times New Roman"/>
          <w:b/>
          <w:bCs/>
          <w:sz w:val="26"/>
          <w:szCs w:val="26"/>
        </w:rPr>
        <w:t xml:space="preserve">1.4 Scope of the Project</w:t>
      </w:r>
    </w:p>
    <w:p>
      <w:pPr>
        <w:spacing w:after="200" w:line="300" w:lineRule="auto"/>
        <w:jc w:val="both"/>
      </w:pPr>
      <w:r>
        <w:rPr>
          <w:rFonts w:ascii="Times New Roman" w:cs="Times New Roman" w:eastAsia="Times New Roman" w:hAnsi="Times New Roman"/>
          <w:sz w:val="24"/>
          <w:szCs w:val="24"/>
        </w:rPr>
        <w:t xml:space="preserve">This is a proof-of-concept, not a production security product, and it is worth being explicit about where the line sits. The system covers two input types — email content and standalone URLs — and works only with English-language text. It classifies, explains, and translates; it does not fetch remote content, resolve DNS, query WHOIS, or take any action against the input it analyses. SMS phishing, voice phishing, and enterprise integrations such as SIEM or email-gateway plug-ins sit outside the scope of this build, as does training a language model from scratch — the translation layer is designed to host an existing lightweight model, not create one. The classifiers themselves were trained on a fixed, offline snapshot of publicly available data rather than a live feed, which keeps the whole pipeline reproducible but also means it reflects the phishing patterns present in that snapshot rather than tracking new campaigns in real time.</w:t>
      </w:r>
    </w:p>
    <w:p>
      <w:pPr>
        <w:pStyle w:val="Heading2"/>
        <w:spacing w:after="160" w:before="320" w:line="300" w:lineRule="auto"/>
      </w:pPr>
      <w:r>
        <w:rPr>
          <w:rFonts w:ascii="Times New Roman" w:cs="Times New Roman" w:eastAsia="Times New Roman" w:hAnsi="Times New Roman"/>
          <w:b/>
          <w:bCs/>
          <w:sz w:val="26"/>
          <w:szCs w:val="26"/>
        </w:rPr>
        <w:t xml:space="preserve">1.5 Significance of the Project</w:t>
      </w:r>
    </w:p>
    <w:p>
      <w:pPr>
        <w:spacing w:after="200" w:line="300" w:lineRule="auto"/>
        <w:jc w:val="both"/>
      </w:pPr>
      <w:r>
        <w:rPr>
          <w:rFonts w:ascii="Times New Roman" w:cs="Times New Roman" w:eastAsia="Times New Roman" w:hAnsi="Times New Roman"/>
          <w:sz w:val="24"/>
          <w:szCs w:val="24"/>
        </w:rPr>
        <w:t xml:space="preserve">For organisations, and small and medium enterprises in particular, the case is fairly direct. Verizon's 2025 Data Breach Investigations Report attributes roughly 60 per cent of breaches to a human element — someone clicked, someone approved, someone trusted a message they shouldn't have — and alert fatigue is a well-documented contributor to that number. A security tool that a non-specialist can actually understand, rather than one that produces numbers they have to take on faith, has a reasonable claim to reducing that risk, and it does so here without requiring new server infrastructure or a recurring API bill, which matters more in a resource-constrained environment than it does in a well-funded one.</w:t>
      </w:r>
    </w:p>
    <w:p>
      <w:pPr>
        <w:spacing w:after="200" w:line="300" w:lineRule="auto"/>
        <w:jc w:val="both"/>
      </w:pPr>
      <w:r>
        <w:rPr>
          <w:rFonts w:ascii="Times New Roman" w:cs="Times New Roman" w:eastAsia="Times New Roman" w:hAnsi="Times New Roman"/>
          <w:sz w:val="24"/>
          <w:szCs w:val="24"/>
        </w:rPr>
        <w:t xml:space="preserve">For Nigeria specifically, where Surfshark's (2026) breach figures and CYFIRMA's (2025) threat assessment both point to a market under sustained pressure, a tool that works without a stable, low-latency connection to a foreign cloud service is not a nice-to-have. It is closer to a requirement. Beyond the immediate organisational benefit, the project also makes a smaller, more academic contribution: it is a working demonstration that the SHAP-plus-LIME-plus-LLM pattern used by systems like EXPLICATE does not have to depend on a commercial model to be useful, and that the usability half of the explainability question — not just "is it accurate" but "can a non-expert actually use it" — can be measured directly rather than assumed.</w:t>
      </w:r>
    </w:p>
    <w:p>
      <w:pPr>
        <w:pStyle w:val="Heading1"/>
        <w:pageBreakBefore/>
        <w:spacing w:after="360" w:before="240" w:line="300" w:lineRule="auto"/>
        <w:jc w:val="center"/>
      </w:pPr>
      <w:r>
        <w:rPr>
          <w:rFonts w:ascii="Times New Roman" w:cs="Times New Roman" w:eastAsia="Times New Roman" w:hAnsi="Times New Roman"/>
          <w:b/>
          <w:bCs/>
          <w:sz w:val="30"/>
          <w:szCs w:val="30"/>
        </w:rPr>
        <w:t xml:space="preserve">CHAPTER TWO: LITERATURE REVIEW AND TECHNOLOGY CONTEXT</w:t>
      </w:r>
    </w:p>
    <w:p>
      <w:pPr>
        <w:pStyle w:val="Heading2"/>
        <w:spacing w:after="160" w:before="320" w:line="300" w:lineRule="auto"/>
      </w:pPr>
      <w:r>
        <w:rPr>
          <w:rFonts w:ascii="Times New Roman" w:cs="Times New Roman" w:eastAsia="Times New Roman" w:hAnsi="Times New Roman"/>
          <w:b/>
          <w:bCs/>
          <w:sz w:val="26"/>
          <w:szCs w:val="26"/>
        </w:rPr>
        <w:t xml:space="preserve">2.1 Conceptual Review</w:t>
      </w:r>
    </w:p>
    <w:p>
      <w:pPr>
        <w:pStyle w:val="Heading3"/>
        <w:spacing w:after="120" w:before="240" w:line="300" w:lineRule="auto"/>
      </w:pPr>
      <w:r>
        <w:rPr>
          <w:rFonts w:ascii="Times New Roman" w:cs="Times New Roman" w:eastAsia="Times New Roman" w:hAnsi="Times New Roman"/>
          <w:b/>
          <w:bCs/>
          <w:i/>
          <w:iCs/>
          <w:sz w:val="24"/>
          <w:szCs w:val="24"/>
        </w:rPr>
        <w:t xml:space="preserve">2.1.1 Phishing: definition and evolution</w:t>
      </w:r>
    </w:p>
    <w:p>
      <w:pPr>
        <w:spacing w:after="200" w:line="300" w:lineRule="auto"/>
        <w:jc w:val="both"/>
      </w:pPr>
      <w:r>
        <w:rPr>
          <w:rFonts w:ascii="Times New Roman" w:cs="Times New Roman" w:eastAsia="Times New Roman" w:hAnsi="Times New Roman"/>
          <w:sz w:val="24"/>
          <w:szCs w:val="24"/>
        </w:rPr>
        <w:t xml:space="preserve">Almomani et al. (2013) define phishing as impersonation with intent — an attacker posing as a trusted entity to extract information a victim would not otherwise hand over. What has changed since that definition was written is less the mechanism than the delivery. Zhang, Hong, and Cranor (2007) built one of the earlier content-based detectors, CANTINA, on the observation that phishing pages tend to lexically mimic the legitimate sites they are impersonating; Whittaker, Ryner, and Nazif (2010) scaled that idea up to Google's own phishing-page classifier, processing pages at a volume no manual review process could match. Both systems assumed the attacker's output would carry some detectable signature of being copied or generated in bulk. Generative AI has weakened that assumption. Vyme (2026) and Kymatio (2026) both report large language models now doing the writing for a large share of phishing campaigns, which removes the grammatical and stylistic tells that older detection heuristics — and honestly, most security-awareness training — relied on.</w:t>
      </w:r>
    </w:p>
    <w:p>
      <w:pPr>
        <w:spacing w:after="200" w:line="300" w:lineRule="auto"/>
        <w:jc w:val="both"/>
      </w:pPr>
      <w:r>
        <w:rPr>
          <w:rFonts w:ascii="Times New Roman" w:cs="Times New Roman" w:eastAsia="Times New Roman" w:hAnsi="Times New Roman"/>
          <w:sz w:val="24"/>
          <w:szCs w:val="24"/>
        </w:rPr>
        <w:t xml:space="preserve">For the purposes of this project, two attack surfaces matter: email phishing, where the deception lives in the message body and headers, and URL phishing, where it lives in the structure of a web address designed to look like something it is not. Both are addressed here, but through separate classifiers, since the feature spaces that distinguish a phishing email from a phishing URL barely overlap.</w:t>
      </w:r>
    </w:p>
    <w:p>
      <w:pPr>
        <w:pStyle w:val="Heading3"/>
        <w:spacing w:after="120" w:before="240" w:line="300" w:lineRule="auto"/>
      </w:pPr>
      <w:r>
        <w:rPr>
          <w:rFonts w:ascii="Times New Roman" w:cs="Times New Roman" w:eastAsia="Times New Roman" w:hAnsi="Times New Roman"/>
          <w:b/>
          <w:bCs/>
          <w:i/>
          <w:iCs/>
          <w:sz w:val="24"/>
          <w:szCs w:val="24"/>
        </w:rPr>
        <w:t xml:space="preserve">2.1.2 Explainable AI</w:t>
      </w:r>
    </w:p>
    <w:p>
      <w:pPr>
        <w:spacing w:after="200" w:line="300" w:lineRule="auto"/>
        <w:jc w:val="both"/>
      </w:pPr>
      <w:r>
        <w:rPr>
          <w:rFonts w:ascii="Times New Roman" w:cs="Times New Roman" w:eastAsia="Times New Roman" w:hAnsi="Times New Roman"/>
          <w:sz w:val="24"/>
          <w:szCs w:val="24"/>
        </w:rPr>
        <w:t xml:space="preserve">The tension explainable AI exists to resolve is a fairly old one in machine learning: the models that perform best — ensembles, deep networks, anything with enough parameters to fit complex decision boundaries — tend to be the hardest to inspect. Adadi and Berrada (2018) map the field along two axes that are useful here. The first is interpretable-by-design versus post-hoc: does the model explain itself by construction (a shallow decision tree, say), or is a separate explanation layer bolted on after training? The second is global versus local: does the explanation describe how the model behaves in general, or why it made one specific decision? SHAP and LIME both sit in the same quadrant — post-hoc and local — which is also the quadrant most relevant to a person asking "why was this particular email flagged," rather than "how does this model behave on average."</w:t>
      </w:r>
    </w:p>
    <w:p>
      <w:pPr>
        <w:spacing w:after="200" w:line="300" w:lineRule="auto"/>
        <w:jc w:val="both"/>
      </w:pPr>
      <w:r>
        <w:rPr>
          <w:rFonts w:ascii="Times New Roman" w:cs="Times New Roman" w:eastAsia="Times New Roman" w:hAnsi="Times New Roman"/>
          <w:sz w:val="24"/>
          <w:szCs w:val="24"/>
        </w:rPr>
        <w:t xml:space="preserve">SHAP, introduced by Lundberg and Lee (2017), borrows Shapley values from cooperative game theory to distribute a prediction's outcome fairly among the input features that produced it. Run against a tree-based model like Random Forest, SHAP's TreeExplainer variant computes those values exactly rather than approximating them, which is part of why it was chosen for this project's classifiers. LIME, from Ribeiro, Singh, and Guestrin (2016), takes a different route: rather than computing exact contributions, it perturbs the input, watches how the model's prediction moves, and fits a simple linear model to that local neighbourhood. Ribeiro et al. later extended the idea with Anchors (2018), which produces if-then rules instead of weighted scores — a format this project considered and set aside, mainly because rules do not compose as naturally into a single narrative sentence as weighted feature scores do.</w:t>
      </w:r>
    </w:p>
    <w:p>
      <w:pPr>
        <w:spacing w:after="200" w:line="300" w:lineRule="auto"/>
        <w:jc w:val="both"/>
      </w:pPr>
      <w:r>
        <w:rPr>
          <w:rFonts w:ascii="Times New Roman" w:cs="Times New Roman" w:eastAsia="Times New Roman" w:hAnsi="Times New Roman"/>
          <w:sz w:val="24"/>
          <w:szCs w:val="24"/>
        </w:rPr>
        <w:t xml:space="preserve">Guidotti et al. (2018) and Molnar's widely cited open-access text (2020) both make the point that no single explanation method is uniformly best; SHAP's theoretical guarantees and LIME's model-agnostic flexibility are complementary rather than redundant, which is the reasoning behind using both here rather than picking one. Doshi-Velez and Kim (2017) push the conversation one step further, arguing that interpretability research has spent too long treating "can a model be explained" as sufficient without asking whether the explanation is actually usable by the person receiving it — a framing that lines up closely with what motivates this project's translation layer, and with Miller's (2019) argument that good explanations are selected and framed for a specific audience, not just technically complete.</w:t>
      </w:r>
    </w:p>
    <w:p>
      <w:pPr>
        <w:pStyle w:val="Heading3"/>
        <w:spacing w:after="120" w:before="240" w:line="300" w:lineRule="auto"/>
      </w:pPr>
      <w:r>
        <w:rPr>
          <w:rFonts w:ascii="Times New Roman" w:cs="Times New Roman" w:eastAsia="Times New Roman" w:hAnsi="Times New Roman"/>
          <w:b/>
          <w:bCs/>
          <w:i/>
          <w:iCs/>
          <w:sz w:val="24"/>
          <w:szCs w:val="24"/>
        </w:rPr>
        <w:t xml:space="preserve">2.1.3 Large language models and their lightweight descendants</w:t>
      </w:r>
    </w:p>
    <w:p>
      <w:pPr>
        <w:spacing w:after="200" w:line="300" w:lineRule="auto"/>
        <w:jc w:val="both"/>
      </w:pPr>
      <w:r>
        <w:rPr>
          <w:rFonts w:ascii="Times New Roman" w:cs="Times New Roman" w:eastAsia="Times New Roman" w:hAnsi="Times New Roman"/>
          <w:sz w:val="24"/>
          <w:szCs w:val="24"/>
        </w:rPr>
        <w:t xml:space="preserve">The transformer architecture (Vaswani et al., 2017) is the common ancestor of essentially every large language model in production use today, and its self-attention mechanism is what let model sizes scale the way they have over the past several years. That scaling produced genuinely capable systems, but also expensive ones — running a model with tens or hundreds of billions of parameters is not something a typical SME's IT budget accommodates, and routing security-flagged content through a third-party API raises exactly the privacy question Aladenusi (2026) flags for the Nigerian context.</w:t>
      </w:r>
    </w:p>
    <w:p>
      <w:pPr>
        <w:spacing w:after="200" w:line="300" w:lineRule="auto"/>
        <w:jc w:val="both"/>
      </w:pPr>
      <w:r>
        <w:rPr>
          <w:rFonts w:ascii="Times New Roman" w:cs="Times New Roman" w:eastAsia="Times New Roman" w:hAnsi="Times New Roman"/>
          <w:sz w:val="24"/>
          <w:szCs w:val="24"/>
        </w:rPr>
        <w:t xml:space="preserve">A parallel line of work has focused on getting useful language generation out of much smaller models. Meta's LLaMA family (Touvron et al., 2023; Meta AI, 2024) and Mistral AI's (2023) 7-billion-parameter release both demonstrated that models an order of magnitude smaller than GPT-class systems could still produce coherent, task-appropriate text, particularly for narrower generation tasks rather than open-ended conversation. Microsoft's Phi-3 (2024), at 3.8 billion parameters, pushed the same idea further down in scale. Quantization work — GPTQ (Frantar et al., 2023) and QLoRA (Dettmers et al., 2023) in particular — compounds the effect by shrinking a trained model's memory footprint after the fact, typically to a quarter of its original size with only a modest accuracy cost, which is what makes running one of these models on ordinary laptop hardware realistic rather than theoretical. None of the three candidate models named for this project — Phi-3-mini, Mistral-7B, Llama-3.2-3B — are used here as the phishing classifier itself; each is a candidate purely for the translation step, converting structured SHAP/LIME output into a sentence.</w:t>
      </w:r>
    </w:p>
    <w:p>
      <w:pPr>
        <w:pStyle w:val="Heading2"/>
        <w:spacing w:after="160" w:before="320" w:line="300" w:lineRule="auto"/>
      </w:pPr>
      <w:r>
        <w:rPr>
          <w:rFonts w:ascii="Times New Roman" w:cs="Times New Roman" w:eastAsia="Times New Roman" w:hAnsi="Times New Roman"/>
          <w:b/>
          <w:bCs/>
          <w:sz w:val="26"/>
          <w:szCs w:val="26"/>
        </w:rPr>
        <w:t xml:space="preserve">2.2 Review of Existing Systems</w:t>
      </w:r>
    </w:p>
    <w:p>
      <w:pPr>
        <w:spacing w:after="200" w:line="300" w:lineRule="auto"/>
        <w:jc w:val="both"/>
      </w:pPr>
      <w:r>
        <w:rPr>
          <w:rFonts w:ascii="Times New Roman" w:cs="Times New Roman" w:eastAsia="Times New Roman" w:hAnsi="Times New Roman"/>
          <w:sz w:val="24"/>
          <w:szCs w:val="24"/>
        </w:rPr>
        <w:t xml:space="preserve">Rule-based phishing filters — blacklists, header heuristics, keyword lists — were the first line of defence and are still present in most commercial mail filters, but Fette et al. (2007) demonstrated fairly early that a supervised classifier trained on header and content features could outperform them, and later work has mostly confirmed the pattern rather than overturned it. Basnet, Mukkamala, and Sung (2008) applied a similar supervised approach specifically to phishing email, and Mohammad, Thabtah, and McCluskey (2016) did the same for phishing URLs, both reporting the kind of accuracy gains that made machine learning the obvious default for new detection systems. Sahingoz et al. (2019) is probably the most-cited URL-classification benchmark in this space and is where the 97-per-cent figure referenced in Chapter One comes from, using lexical and syntactic URL features not unlike the ones this project's own URL classifier relies on.</w:t>
      </w:r>
    </w:p>
    <w:p>
      <w:pPr>
        <w:spacing w:after="200" w:line="300" w:lineRule="auto"/>
        <w:jc w:val="both"/>
      </w:pPr>
      <w:r>
        <w:rPr>
          <w:rFonts w:ascii="Times New Roman" w:cs="Times New Roman" w:eastAsia="Times New Roman" w:hAnsi="Times New Roman"/>
          <w:sz w:val="24"/>
          <w:szCs w:val="24"/>
        </w:rPr>
        <w:t xml:space="preserve">What none of these systems address is explanation. They return a verdict, sometimes a confidence score, and nothing about why. The next generation of research bolted SHAP or LIME onto exactly this kind of classifier, and Salih et al. (2024) survey a reasonable cross-section of that work — the pattern that emerges is consistent: adding SHAP or LIME closes the transparency gap for a data scientist auditing the model, and does essentially nothing for the actual end user the alert is meant to serve. That is the specific finding this project treats as its starting point rather than something to re-derive.</w:t>
      </w:r>
    </w:p>
    <w:p>
      <w:pPr>
        <w:spacing w:after="200" w:line="300" w:lineRule="auto"/>
        <w:jc w:val="both"/>
      </w:pPr>
      <w:r>
        <w:rPr>
          <w:rFonts w:ascii="Times New Roman" w:cs="Times New Roman" w:eastAsia="Times New Roman" w:hAnsi="Times New Roman"/>
          <w:sz w:val="24"/>
          <w:szCs w:val="24"/>
        </w:rPr>
        <w:t xml:space="preserve">Outside phishing detection specifically, natural-language generation has already been used to turn structured model output into readable text, most visibly in healthcare decision support and financial risk assessment (Cambria et al., 2023). Cambria and colleagues flag two recurring problems with that work worth carrying forward here: faithfulness (does the generated text actually match what the model did, or does it just sound plausible), and audience calibration (is the level of detail appropriate for who is reading it). Both concerns turned out to be directly relevant during this project's own build — a coherence check had to be added to the translation layer specifically because a generated sentence once described a feature that was not actually present in the input, which Chapter Four discusses as a concrete instance of exactly the faithfulness problem Cambria et al. describe in the abstract.</w:t>
      </w:r>
    </w:p>
    <w:p>
      <w:pPr>
        <w:spacing w:after="200" w:line="300" w:lineRule="auto"/>
        <w:jc w:val="both"/>
      </w:pPr>
      <w:r>
        <w:rPr>
          <w:rFonts w:ascii="Times New Roman" w:cs="Times New Roman" w:eastAsia="Times New Roman" w:hAnsi="Times New Roman"/>
          <w:sz w:val="24"/>
          <w:szCs w:val="24"/>
        </w:rPr>
        <w:t xml:space="preserve">The single closest prior system is Lim et al.'s (2025) EXPLICATE, which combines a phishing classifier, SHAP explanations, and an LLM-based interpretability layer built on DeepSeek. It is a genuinely useful proof that the pattern works, and this project borrows the general shape of that pattern. Where it differs is twofold: EXPLICATE's translation step depends on a hosted commercial model, which this project treats as a constraint to design around rather than assume; and EXPLICATE's published evaluation is oriented toward technical performance rather than testing whether non-expert users actually find the resulting explanations more usable, which is the specific gap Objective V of this project is aimed at.</w:t>
      </w:r>
    </w:p>
    <w:p>
      <w:pPr>
        <w:pStyle w:val="Heading2"/>
        <w:spacing w:after="160" w:before="320" w:line="300" w:lineRule="auto"/>
      </w:pPr>
      <w:r>
        <w:rPr>
          <w:rFonts w:ascii="Times New Roman" w:cs="Times New Roman" w:eastAsia="Times New Roman" w:hAnsi="Times New Roman"/>
          <w:b/>
          <w:bCs/>
          <w:sz w:val="26"/>
          <w:szCs w:val="26"/>
        </w:rPr>
        <w:t xml:space="preserve">2.3 Review of Relevant Technologies, Tools, and Frameworks</w:t>
      </w:r>
    </w:p>
    <w:p>
      <w:pPr>
        <w:spacing w:after="200" w:line="300" w:lineRule="auto"/>
        <w:jc w:val="both"/>
      </w:pPr>
      <w:r>
        <w:rPr>
          <w:rFonts w:ascii="Times New Roman" w:cs="Times New Roman" w:eastAsia="Times New Roman" w:hAnsi="Times New Roman"/>
          <w:sz w:val="24"/>
          <w:szCs w:val="24"/>
        </w:rPr>
        <w:t xml:space="preserve">Two benchmark corpora anchor most published phishing-email research: the Nazario Phishing Corpus and the CSDMC2010 Spam Corpus. Both were the intended data source for this project's email classifier, and both turned out to be impractical to fetch from an unattended build environment without manual sign-up — a constraint documented in full in Chapter Four. In their place, the Enron-Spam corpus (Metsis, Androutsopoulos, &amp; Paliouras, 2006) was used, a dataset with the same binary legitimate-versus-illegitimate structure and a long history of use in spam-classification research, even if it predates the phishing-specific framing of the newer corpora. On the URL side, the project intended to use PhishTank and the ISCX-URL-2016 dataset (Mohammad et al., 2016); PhishTank's feed now requires a registered API key to query programmatically, so the Phishing.Database project's actively maintained domain blocklist was used instead, paired with OpenDNS's list of popular legitimate domains for negative examples.</w:t>
      </w:r>
    </w:p>
    <w:p>
      <w:pPr>
        <w:spacing w:after="200" w:line="300" w:lineRule="auto"/>
        <w:jc w:val="both"/>
      </w:pPr>
      <w:r>
        <w:rPr>
          <w:rFonts w:ascii="Times New Roman" w:cs="Times New Roman" w:eastAsia="Times New Roman" w:hAnsi="Times New Roman"/>
          <w:sz w:val="24"/>
          <w:szCs w:val="24"/>
        </w:rPr>
        <w:t xml:space="preserve">scikit-learn (Pedregosa et al., 2011) is the machine-learning backbone of the classification layer, chosen for the same reason most applied ML projects choose it: a consistent API, solid documentation, and — critically for this project — native compatibility with both SHAP and LIME. Random Forest (Breiman, 2001) is the specific algorithm used for both classifiers, an ensemble of decision trees whose aggregate voting behaviour tends to resist overfitting better than a single tree, and whose tree structure SHAP's TreeExplainer can exploit to compute exact Shapley values rather than approximate ones.</w:t>
      </w:r>
    </w:p>
    <w:p>
      <w:pPr>
        <w:spacing w:after="200" w:line="300" w:lineRule="auto"/>
        <w:jc w:val="both"/>
      </w:pPr>
      <w:r>
        <w:rPr>
          <w:rFonts w:ascii="Times New Roman" w:cs="Times New Roman" w:eastAsia="Times New Roman" w:hAnsi="Times New Roman"/>
          <w:sz w:val="24"/>
          <w:szCs w:val="24"/>
        </w:rPr>
        <w:t xml:space="preserve">On the language-model side, Hugging Face's Transformers library and llama.cpp are the two standard routes to running a quantized open-source model locally, with Ollama as a simplified wrapper around similar functionality for development and testing. Streamlit was used for the interface layer on the strength of how quickly it turns a Python script into a usable web application without separate front-end development — a reasonable trade for a research prototype, less so for a production system, but this is the former.</w:t>
      </w:r>
    </w:p>
    <w:p>
      <w:pPr>
        <w:pStyle w:val="Heading2"/>
        <w:spacing w:after="160" w:before="320" w:line="300" w:lineRule="auto"/>
      </w:pPr>
      <w:r>
        <w:rPr>
          <w:rFonts w:ascii="Times New Roman" w:cs="Times New Roman" w:eastAsia="Times New Roman" w:hAnsi="Times New Roman"/>
          <w:b/>
          <w:bCs/>
          <w:sz w:val="26"/>
          <w:szCs w:val="26"/>
        </w:rPr>
        <w:t xml:space="preserve">2.4 Gap Analysis</w:t>
      </w:r>
    </w:p>
    <w:p>
      <w:pPr>
        <w:spacing w:after="200" w:line="300" w:lineRule="auto"/>
        <w:jc w:val="both"/>
      </w:pPr>
      <w:r>
        <w:rPr>
          <w:rFonts w:ascii="Times New Roman" w:cs="Times New Roman" w:eastAsia="Times New Roman" w:hAnsi="Times New Roman"/>
          <w:sz w:val="24"/>
          <w:szCs w:val="24"/>
        </w:rPr>
        <w:t xml:space="preserve">Pulling the threads above together, three gaps motivate this project. First, machine-learned phishing classifiers remain largely opaque in deployment, even where their accuracy is well established (Sahingoz et al., 2019; Mohammad et al., 2016) — accuracy and transparency turned out to be separate problems, not the same problem solved twice. Second, where SHAP and LIME have been added to close that transparency gap, they have mostly closed it for people who were never the ones struggling in the first place; Salih et al. (2024) and this project's own Chapter Five readability results both point the same direction, that raw SHAP output scores as difficult to read by any standard formula, technical accuracy notwithstanding. Third, the one system that has tried to solve the second problem specifically for phishing detection — EXPLICATE (Lim et al., 2025) — did so by depending on a commercial, cloud-hosted model, which reintroduces cost, latency, and data-privacy concerns that are exactly the concerns motivating a lightweight, local alternative in resource-constrained contexts like Nigeria's.</w:t>
      </w:r>
    </w:p>
    <w:p>
      <w:pPr>
        <w:spacing w:after="200" w:line="300" w:lineRule="auto"/>
        <w:jc w:val="both"/>
      </w:pPr>
      <w:r>
        <w:rPr>
          <w:rFonts w:ascii="Times New Roman" w:cs="Times New Roman" w:eastAsia="Times New Roman" w:hAnsi="Times New Roman"/>
          <w:sz w:val="24"/>
          <w:szCs w:val="24"/>
        </w:rPr>
        <w:t xml:space="preserve">This project sits in the space those three gaps leave open: a phishing detection pipeline that pairs SHAP and LIME for the reasons Guidotti et al. (2018) give — complementary rather than redundant explanatory strengths — and translates their combined output into one sentence using a mechanism designed, from the first line of code, to run without a network connection. The methodology used to build and evaluate that pipeline is the subject of the next chapter.</w:t>
      </w:r>
    </w:p>
    <w:p>
      <w:pPr>
        <w:pStyle w:val="Heading1"/>
        <w:pageBreakBefore/>
        <w:spacing w:after="360" w:before="240" w:line="300" w:lineRule="auto"/>
        <w:jc w:val="center"/>
      </w:pPr>
      <w:r>
        <w:rPr>
          <w:rFonts w:ascii="Times New Roman" w:cs="Times New Roman" w:eastAsia="Times New Roman" w:hAnsi="Times New Roman"/>
          <w:b/>
          <w:bCs/>
          <w:sz w:val="30"/>
          <w:szCs w:val="30"/>
        </w:rPr>
        <w:t xml:space="preserve">CHAPTER THREE: METHODOLOGY AND SYSTEM DESIGN</w:t>
      </w:r>
    </w:p>
    <w:p>
      <w:pPr>
        <w:pStyle w:val="Heading2"/>
        <w:spacing w:after="160" w:before="320" w:line="300" w:lineRule="auto"/>
      </w:pPr>
      <w:r>
        <w:rPr>
          <w:rFonts w:ascii="Times New Roman" w:cs="Times New Roman" w:eastAsia="Times New Roman" w:hAnsi="Times New Roman"/>
          <w:b/>
          <w:bCs/>
          <w:sz w:val="26"/>
          <w:szCs w:val="26"/>
        </w:rPr>
        <w:t xml:space="preserve">3.1 Project Methodology and Justification</w:t>
      </w:r>
    </w:p>
    <w:p>
      <w:pPr>
        <w:spacing w:after="200" w:line="300" w:lineRule="auto"/>
        <w:jc w:val="both"/>
      </w:pPr>
      <w:r>
        <w:rPr>
          <w:rFonts w:ascii="Times New Roman" w:cs="Times New Roman" w:eastAsia="Times New Roman" w:hAnsi="Times New Roman"/>
          <w:sz w:val="24"/>
          <w:szCs w:val="24"/>
        </w:rPr>
        <w:t xml:space="preserve">This project follows the Design Science Research Methodology, or DSRM, as set out by Peffers et al. (2007) — a methodology built specifically for research whose main output is an artefact, not a theory. DSRM runs through six phases: identifying the problem and the motivation for solving it, defining objectives, designing and building the artefact, demonstrating it against realistic cases, evaluating it against the stated objectives, and communicating the results. The first two phases are effectively what Chapters One and Two do here; the remaining four map onto Chapters Three through Five, with Chapter Six closing out the communication phase.</w:t>
      </w:r>
    </w:p>
    <w:p>
      <w:pPr>
        <w:spacing w:after="200" w:line="300" w:lineRule="auto"/>
        <w:jc w:val="both"/>
      </w:pPr>
      <w:r>
        <w:rPr>
          <w:rFonts w:ascii="Times New Roman" w:cs="Times New Roman" w:eastAsia="Times New Roman" w:hAnsi="Times New Roman"/>
          <w:sz w:val="24"/>
          <w:szCs w:val="24"/>
        </w:rPr>
        <w:t xml:space="preserve">Three things make DSRM a better fit here than an experimental, survey-based, or purely qualitative alternative. The project's central contribution is a piece of working software, not a hypothesis to be statistically tested, which points toward an artefact-centred methodology from the outset. DSRM's evaluation phase also maps unusually well onto Objective V specifically — comparing translated explanations against raw SHAP/LIME output is, in DSRM terms, exactly what "evaluate the artefact against its objectives" means. And the design-and-development phase's tolerance for iteration suited the actual working pattern of this build reasonably well, particularly for the translation layer's prompt design and phrase dictionary, both of which went through several rounds of revision after specific failures showed up in testing (documented in Chapter Four).</w:t>
      </w:r>
    </w:p>
    <w:p>
      <w:pPr>
        <w:pStyle w:val="Heading2"/>
        <w:spacing w:after="160" w:before="320" w:line="300" w:lineRule="auto"/>
      </w:pPr>
      <w:r>
        <w:rPr>
          <w:rFonts w:ascii="Times New Roman" w:cs="Times New Roman" w:eastAsia="Times New Roman" w:hAnsi="Times New Roman"/>
          <w:b/>
          <w:bCs/>
          <w:sz w:val="26"/>
          <w:szCs w:val="26"/>
        </w:rPr>
        <w:t xml:space="preserve">3.2 Requirements Analysis</w:t>
      </w:r>
    </w:p>
    <w:p>
      <w:pPr>
        <w:pStyle w:val="Heading3"/>
        <w:spacing w:after="120" w:before="240" w:line="300" w:lineRule="auto"/>
      </w:pPr>
      <w:r>
        <w:rPr>
          <w:rFonts w:ascii="Times New Roman" w:cs="Times New Roman" w:eastAsia="Times New Roman" w:hAnsi="Times New Roman"/>
          <w:b/>
          <w:bCs/>
          <w:i/>
          <w:iCs/>
          <w:sz w:val="24"/>
          <w:szCs w:val="24"/>
        </w:rPr>
        <w:t xml:space="preserve">Functional Requirements</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FR1 — Email Classification: accept email text and return a binary phishing/legitimate verdict with a confidence score.</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FR2 — URL Classification: accept a URL string and return a binary phishing/legitimate verdict with a confidence score.</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FR3 — SHAP Explanation Generation: generate SHAP feature-importance values for every classification made.</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FR4 — LIME Explanation Generation: generate LIME feature-importance values for every classification made.</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FR5 — Plain-Language Sentence Generation: produce one concise, human-readable sentence summarising the SHAP/LIME output for each prediction.</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FR6 — Unified Display: show the verdict, confidence score, raw SHAP/LIME output, and the plain-language sentence together in one interface.</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FR7 — Local Execution: run the full pipeline without an internet connection or external API calls.</w:t>
      </w:r>
    </w:p>
    <w:p>
      <w:pPr>
        <w:pStyle w:val="Heading3"/>
        <w:spacing w:after="120" w:before="240" w:line="300" w:lineRule="auto"/>
      </w:pPr>
      <w:r>
        <w:rPr>
          <w:rFonts w:ascii="Times New Roman" w:cs="Times New Roman" w:eastAsia="Times New Roman" w:hAnsi="Times New Roman"/>
          <w:b/>
          <w:bCs/>
          <w:i/>
          <w:iCs/>
          <w:sz w:val="24"/>
          <w:szCs w:val="24"/>
        </w:rPr>
        <w:t xml:space="preserve">Non-Functional Requirements</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NFR1 — Performance: produce a plain-language explanation within a time frame suitable for real-time triage on ordinary laptop hardware.</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NFR2 — Usability: explanations should be intelligible without requiring statistical background, verified through user evaluation.</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NFR3 — Portability: deployable on Windows, macOS, or Linux without a dedicated GPU.</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NFR4 — Maintainability: components (classifier, XAI, translation, interface) should be independently updatable.</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NFR5 — Privacy: no email text, URL, or feature data should leave the local machine.</w:t>
      </w:r>
    </w:p>
    <w:p>
      <w:pPr>
        <w:pStyle w:val="ListParagraph"/>
        <w:numPr>
          <w:ilvl w:val="0"/>
          <w:numId w:val="2"/>
        </w:numPr>
        <w:spacing w:after="90" w:line="300" w:lineRule="auto"/>
      </w:pPr>
      <w:r>
        <w:rPr>
          <w:rFonts w:ascii="Times New Roman" w:cs="Times New Roman" w:eastAsia="Times New Roman" w:hAnsi="Times New Roman"/>
          <w:sz w:val="24"/>
          <w:szCs w:val="24"/>
        </w:rPr>
        <w:t xml:space="preserve">NFR6 — Scalability: the pipeline architecture should accommodate additional phishing vectors or alternative model backends without a structural rewrite.</w:t>
      </w:r>
    </w:p>
    <w:p>
      <w:pPr>
        <w:pStyle w:val="Heading2"/>
        <w:spacing w:after="160" w:before="320" w:line="300" w:lineRule="auto"/>
      </w:pPr>
      <w:r>
        <w:rPr>
          <w:rFonts w:ascii="Times New Roman" w:cs="Times New Roman" w:eastAsia="Times New Roman" w:hAnsi="Times New Roman"/>
          <w:b/>
          <w:bCs/>
          <w:sz w:val="26"/>
          <w:szCs w:val="26"/>
        </w:rPr>
        <w:t xml:space="preserve">3.3 System Architecture</w:t>
      </w:r>
    </w:p>
    <w:p>
      <w:pPr>
        <w:spacing w:after="200" w:line="300" w:lineRule="auto"/>
        <w:jc w:val="both"/>
      </w:pPr>
      <w:r>
        <w:rPr>
          <w:rFonts w:ascii="Times New Roman" w:cs="Times New Roman" w:eastAsia="Times New Roman" w:hAnsi="Times New Roman"/>
          <w:sz w:val="24"/>
          <w:szCs w:val="24"/>
        </w:rPr>
        <w:t xml:space="preserve">The system is built as a linear, five-stage pipeline, which was chosen over a more tightly coupled design specifically so each stage could be developed, tested, and swapped independently — a decision that paid off directly when the translation backend had to be substituted late in development (Chapter Four explains why). Raw input — an email or a URL — enters through the Data Ingestion and Feature Extraction stage, which converts it into a fixed-length numerical feature vector. That vector moves to the Phishing Classification stage, a Random Forest that returns a binary verdict and a confidence score. The verdict and feature vector together move to the XAI stage, where SHAP and LIME each independently compute feature-importance values for that specific prediction. Those two sets of values are reconciled and passed, inside an engineered prompt, to the LLM Translation Layer, which produces one plain-language sentence. All four outputs — verdict, confidence, raw XAI values, and the translated sentence — surface together in the User Interface stage.</w:t>
      </w:r>
    </w:p>
    <w:p>
      <w:pPr>
        <w:spacing w:after="200" w:line="300" w:lineRule="auto"/>
        <w:jc w:val="both"/>
      </w:pPr>
      <w:r>
        <w:rPr>
          <w:rFonts w:ascii="Times New Roman" w:cs="Times New Roman" w:eastAsia="Times New Roman" w:hAnsi="Times New Roman"/>
          <w:sz w:val="24"/>
          <w:szCs w:val="24"/>
        </w:rPr>
        <w:t xml:space="preserve">(Figure 3.1 would normally show this five-stage pipeline as a block diagram, with data-flow arrows between stages; it has been omitted from this draft and should be inserted before final submission, along with the use-case diagram — actors: End User and System Administrator — the Level-0 data-flow diagram, and an activity diagram tracing a single prediction from input to displayed explanation, all described narratively above and in Chapter Four.)</w:t>
      </w:r>
    </w:p>
    <w:p>
      <w:pPr>
        <w:pStyle w:val="Heading2"/>
        <w:spacing w:after="160" w:before="320" w:line="300" w:lineRule="auto"/>
      </w:pPr>
      <w:r>
        <w:rPr>
          <w:rFonts w:ascii="Times New Roman" w:cs="Times New Roman" w:eastAsia="Times New Roman" w:hAnsi="Times New Roman"/>
          <w:b/>
          <w:bCs/>
          <w:sz w:val="26"/>
          <w:szCs w:val="26"/>
        </w:rPr>
        <w:t xml:space="preserve">3.4 System Design Models and Diagrams</w:t>
      </w:r>
    </w:p>
    <w:p>
      <w:pPr>
        <w:spacing w:after="200" w:line="300" w:lineRule="auto"/>
        <w:jc w:val="both"/>
      </w:pPr>
      <w:r>
        <w:rPr>
          <w:rFonts w:ascii="Times New Roman" w:cs="Times New Roman" w:eastAsia="Times New Roman" w:hAnsi="Times New Roman"/>
          <w:sz w:val="24"/>
          <w:szCs w:val="24"/>
        </w:rPr>
        <w:t xml:space="preserve">The use-case model identifies two actors. The End User — an IT helpdesk technician, SOC analyst, or general employee — submits an email or URL and receives a verdict, confidence score, and plain-language explanation. A System Administrator is responsible for installing the pipeline, retraining the classifiers against updated data if needed, and configuring the translation backend. The Level-0 data-flow diagram treats the whole system as a single process bounded by two external entities: the End User, who supplies raw input and receives the classification and explanation, and a Dataset Repository, which supplies the labelled training data consumed once, offline, during classifier training rather than at inference time. The activity diagram traces the sequence a single submission follows: input received, features extracted, classifier invoked, SHAP and LIME computed in parallel, factors reconciled, sentence generated, results rendered.</w:t>
      </w:r>
    </w:p>
    <w:p>
      <w:pPr>
        <w:pStyle w:val="Heading2"/>
        <w:spacing w:after="160" w:before="320" w:line="300" w:lineRule="auto"/>
      </w:pPr>
      <w:r>
        <w:rPr>
          <w:rFonts w:ascii="Times New Roman" w:cs="Times New Roman" w:eastAsia="Times New Roman" w:hAnsi="Times New Roman"/>
          <w:b/>
          <w:bCs/>
          <w:sz w:val="26"/>
          <w:szCs w:val="26"/>
        </w:rPr>
        <w:t xml:space="preserve">3.5 Tools and Technologies Used</w:t>
      </w:r>
    </w:p>
    <w:p>
      <w:pPr>
        <w:spacing w:after="200" w:line="300" w:lineRule="auto"/>
        <w:jc w:val="both"/>
      </w:pPr>
      <w:r>
        <w:rPr>
          <w:rFonts w:ascii="Times New Roman" w:cs="Times New Roman" w:eastAsia="Times New Roman" w:hAnsi="Times New Roman"/>
          <w:sz w:val="24"/>
          <w:szCs w:val="24"/>
        </w:rPr>
        <w:t xml:space="preserve">Python 3.11 is the implementation language throughout, chosen for the reasons given in Chapter Two — a single language covering data handling, machine learning, explainability, and the interface layer without cross-language glue code. scikit-learn 1.9.0 provides the Random Forest implementation and preprocessing utilities; SHAP 0.51.0 and LIME 0.2.0.1 provide the two explanation methods; pandas and NumPy handle data manipulation; Streamlit 1.60.0 renders the interface; and textstat 0.7.13 computes the readability metrics used in Chapter Five's evaluation. pytest drives the automated test suite. Development took place inside an isolated Python virtual environment on standard, GPU-free hardware, with Git for version control — the full dependency list, pinned to exact versions, is recorded in the project's requirements.txt for reproducibility.</w:t>
      </w:r>
    </w:p>
    <w:p>
      <w:pPr>
        <w:pStyle w:val="Heading1"/>
        <w:pageBreakBefore/>
        <w:spacing w:after="360" w:before="240" w:line="300" w:lineRule="auto"/>
        <w:jc w:val="center"/>
      </w:pPr>
      <w:r>
        <w:rPr>
          <w:rFonts w:ascii="Times New Roman" w:cs="Times New Roman" w:eastAsia="Times New Roman" w:hAnsi="Times New Roman"/>
          <w:b/>
          <w:bCs/>
          <w:sz w:val="30"/>
          <w:szCs w:val="30"/>
        </w:rPr>
        <w:t xml:space="preserve">CHAPTER FOUR: SYSTEM IMPLEMENTATION</w:t>
      </w:r>
    </w:p>
    <w:p>
      <w:pPr>
        <w:spacing w:after="200" w:line="300" w:lineRule="auto"/>
        <w:jc w:val="both"/>
      </w:pPr>
      <w:r>
        <w:rPr>
          <w:rFonts w:ascii="Times New Roman" w:cs="Times New Roman" w:eastAsia="Times New Roman" w:hAnsi="Times New Roman"/>
          <w:sz w:val="24"/>
          <w:szCs w:val="24"/>
        </w:rPr>
        <w:t xml:space="preserve">Chapter Three set out what the system needed to do. This chapter covers what actually got built, how it was built, and — in the interest of an honest account rather than a tidy one — where the build ran into trouble and what was done about it.</w:t>
      </w:r>
    </w:p>
    <w:p>
      <w:pPr>
        <w:pStyle w:val="Heading2"/>
        <w:spacing w:after="160" w:before="320" w:line="300" w:lineRule="auto"/>
      </w:pPr>
      <w:r>
        <w:rPr>
          <w:rFonts w:ascii="Times New Roman" w:cs="Times New Roman" w:eastAsia="Times New Roman" w:hAnsi="Times New Roman"/>
          <w:b/>
          <w:bCs/>
          <w:sz w:val="26"/>
          <w:szCs w:val="26"/>
        </w:rPr>
        <w:t xml:space="preserve">4.1 Development Environment</w:t>
      </w:r>
    </w:p>
    <w:p>
      <w:pPr>
        <w:spacing w:after="200" w:line="300" w:lineRule="auto"/>
        <w:jc w:val="both"/>
      </w:pPr>
      <w:r>
        <w:rPr>
          <w:rFonts w:ascii="Times New Roman" w:cs="Times New Roman" w:eastAsia="Times New Roman" w:hAnsi="Times New Roman"/>
          <w:sz w:val="24"/>
          <w:szCs w:val="24"/>
        </w:rPr>
        <w:t xml:space="preserve">The system was developed inside a Python 3.11 virtual environment, keeping dependency versions pinned and reproducible rather than relying on whatever happened to be globally installed. The core dependency versions actually used were scikit-learn 1.9.0, SHAP 0.51.0, LIME 0.2.0.1, pandas 3.0.3, NumPy 2.4.6, Streamlit 1.60.0, textstat 0.7.13, and pytest 9.1.1. Development and testing both ran on ordinary Linux hardware with no dedicated GPU — four virtual CPU cores, 15 GB of RAM — deliberately unremarkable hardware, since a project arguing for lightweight, resource-conscious deployment should probably not be built or tested on a machine most of its intended users could not afford. Git tracked version control throughout, and the automated test suite (Section 5.1) was the main correctness check used during iterative development, in keeping with DSRM's tolerance for an Agile build-and-test loop rather than a single up-front design freeze.</w:t>
      </w:r>
    </w:p>
    <w:p>
      <w:pPr>
        <w:pStyle w:val="Heading2"/>
        <w:spacing w:after="160" w:before="320" w:line="300" w:lineRule="auto"/>
      </w:pPr>
      <w:r>
        <w:rPr>
          <w:rFonts w:ascii="Times New Roman" w:cs="Times New Roman" w:eastAsia="Times New Roman" w:hAnsi="Times New Roman"/>
          <w:b/>
          <w:bCs/>
          <w:sz w:val="26"/>
          <w:szCs w:val="26"/>
        </w:rPr>
        <w:t xml:space="preserve">4.2 Implementation of System Components</w:t>
      </w:r>
    </w:p>
    <w:p>
      <w:pPr>
        <w:spacing w:after="200" w:line="300" w:lineRule="auto"/>
        <w:jc w:val="both"/>
      </w:pPr>
      <w:r>
        <w:rPr>
          <w:rFonts w:ascii="Times New Roman" w:cs="Times New Roman" w:eastAsia="Times New Roman" w:hAnsi="Times New Roman"/>
          <w:sz w:val="24"/>
          <w:szCs w:val="24"/>
        </w:rPr>
        <w:t xml:space="preserve">Each of the five components from Chapter Three's architecture became its own Python module, tied together by a single orchestration class — PhishingExplanationPipeline — that both the interface and the offline evaluation scripts call identically, so that what a user sees in the Streamlit app and what gets measured in Chapter Five's evaluation are guaranteed to be the same code path.</w:t>
      </w:r>
    </w:p>
    <w:p>
      <w:pPr>
        <w:pStyle w:val="Heading3"/>
        <w:spacing w:after="120" w:before="240" w:line="300" w:lineRule="auto"/>
      </w:pPr>
      <w:r>
        <w:rPr>
          <w:rFonts w:ascii="Times New Roman" w:cs="Times New Roman" w:eastAsia="Times New Roman" w:hAnsi="Times New Roman"/>
          <w:b/>
          <w:bCs/>
          <w:i/>
          <w:iCs/>
          <w:sz w:val="24"/>
          <w:szCs w:val="24"/>
        </w:rPr>
        <w:t xml:space="preserve">4.2.1 Data Ingestion and Feature Extraction</w:t>
      </w:r>
    </w:p>
    <w:p>
      <w:pPr>
        <w:spacing w:after="200" w:line="300" w:lineRule="auto"/>
        <w:jc w:val="both"/>
      </w:pPr>
      <w:r>
        <w:rPr>
          <w:rFonts w:ascii="Times New Roman" w:cs="Times New Roman" w:eastAsia="Times New Roman" w:hAnsi="Times New Roman"/>
          <w:sz w:val="24"/>
          <w:szCs w:val="24"/>
        </w:rPr>
        <w:t xml:space="preserve">Two feature extractors were built. The URL extractor derives eighteen lexical and structural features directly from a URL string — length, dot and hyphen counts, sub-domain depth, the Shannon entropy of the hostname, whether the host is a raw IP address, whether an '@' symbol is present, whether the domain matches a known URL-shortening service, whether the top-level domain sits on a list of high-risk TLDs, and whether a recognisable brand name has been slipped into a sub-domain rather than the actual registered domain, among others. The email extractor derives twenty-one features spanning header-authenticity signals (sender/reply-to mismatch, SPF and DKIM pass flags), body-language signals (counts of urgency, credential-harvesting, financial, and reward-related keywords; detection of generic greetings; punctuation and capitalisation anomalies), and embedded-link signals, computed by re-running the URL extractor on any links found inside the message body. Neither extractor performs any network access — no DNS lookup, no page fetch, no WHOIS query — which is what lets the classifiers run fully offline.</w:t>
      </w:r>
    </w:p>
    <w:p>
      <w:pPr>
        <w:spacing w:after="200" w:line="300" w:lineRule="auto"/>
        <w:jc w:val="both"/>
      </w:pPr>
      <w:r>
        <w:rPr>
          <w:rFonts w:ascii="Times New Roman" w:cs="Times New Roman" w:eastAsia="Times New Roman" w:hAnsi="Times New Roman"/>
          <w:sz w:val="24"/>
          <w:szCs w:val="24"/>
        </w:rPr>
        <w:t xml:space="preserve">One limitation is worth stating plainly rather than glossing over. The header-authenticity features are fully implemented and become active when header metadata is actually supplied — from a live .eml file, for instance — but the training corpus used for this build (Section 4.4 explains why) contains only subject and body text, with no header block. During training, those four features sit at a neutral default and contribute nothing, and the classifier leans correspondingly harder on the body- and link-derived signals instead. That shows up directly in the feature-importance results reported in Chapter Five, and it is disclosed here rather than left for a reader to discover on their own.</w:t>
      </w:r>
    </w:p>
    <w:p>
      <w:pPr>
        <w:pStyle w:val="Heading3"/>
        <w:spacing w:after="120" w:before="240" w:line="300" w:lineRule="auto"/>
      </w:pPr>
      <w:r>
        <w:rPr>
          <w:rFonts w:ascii="Times New Roman" w:cs="Times New Roman" w:eastAsia="Times New Roman" w:hAnsi="Times New Roman"/>
          <w:b/>
          <w:bCs/>
          <w:i/>
          <w:iCs/>
          <w:sz w:val="24"/>
          <w:szCs w:val="24"/>
        </w:rPr>
        <w:t xml:space="preserve">4.2.2 Phishing Classification</w:t>
      </w:r>
    </w:p>
    <w:p>
      <w:pPr>
        <w:spacing w:after="200" w:line="300" w:lineRule="auto"/>
        <w:jc w:val="both"/>
      </w:pPr>
      <w:r>
        <w:rPr>
          <w:rFonts w:ascii="Times New Roman" w:cs="Times New Roman" w:eastAsia="Times New Roman" w:hAnsi="Times New Roman"/>
          <w:sz w:val="24"/>
          <w:szCs w:val="24"/>
        </w:rPr>
        <w:t xml:space="preserve">Both classifiers are Random Forests wrapped in a scikit-learn pipeline with a median imputer ahead of them — 300 trees, a minimum of two samples per leaf, class weights balanced to offset any skew between phishing and legitimate examples, and a fixed random seed so results are reproducible run to run. Each was trained on an 80/20 stratified split of its respective dataset. The classifier wrapper exposes a single verdict() call that returns the predicted label alongside the proportion of trees that voted for it as a confidence score, satisfying FR1/FR2 directly, and both trained models are persisted with joblib so the interface loads an already-trained classifier rather than retraining on every launch.</w:t>
      </w:r>
    </w:p>
    <w:p>
      <w:pPr>
        <w:pStyle w:val="Heading3"/>
        <w:spacing w:after="120" w:before="240" w:line="300" w:lineRule="auto"/>
      </w:pPr>
      <w:r>
        <w:rPr>
          <w:rFonts w:ascii="Times New Roman" w:cs="Times New Roman" w:eastAsia="Times New Roman" w:hAnsi="Times New Roman"/>
          <w:b/>
          <w:bCs/>
          <w:i/>
          <w:iCs/>
          <w:sz w:val="24"/>
          <w:szCs w:val="24"/>
        </w:rPr>
        <w:t xml:space="preserve">4.2.3 The XAI Module</w:t>
      </w:r>
    </w:p>
    <w:p>
      <w:pPr>
        <w:spacing w:after="200" w:line="300" w:lineRule="auto"/>
        <w:jc w:val="both"/>
      </w:pPr>
      <w:r>
        <w:rPr>
          <w:rFonts w:ascii="Times New Roman" w:cs="Times New Roman" w:eastAsia="Times New Roman" w:hAnsi="Times New Roman"/>
          <w:sz w:val="24"/>
          <w:szCs w:val="24"/>
        </w:rPr>
        <w:t xml:space="preserve">SHAP's TreeExplainer and LIME's tabular explainer are both wrapped behind a single PhishingExplainer class, initialised once against a fixed background sample of training data and reused for every subsequent prediction. Both explain_shap() and explain_lime() return the same shape of result — predicted class, confidence, and a ranked list of per-feature contributions — so the rest of the pipeline, and the interface, can treat the two methods interchangeably despite the different mathematics underneath. One implementation wrinkle surfaced during testing: different SHAP releases return per-class Shapley values in slightly different array shapes for a binary classifier, so the explainer handles both shapes defensively rather than assuming one.</w:t>
      </w:r>
    </w:p>
    <w:p>
      <w:pPr>
        <w:pStyle w:val="Heading3"/>
        <w:spacing w:after="120" w:before="240" w:line="300" w:lineRule="auto"/>
      </w:pPr>
      <w:r>
        <w:rPr>
          <w:rFonts w:ascii="Times New Roman" w:cs="Times New Roman" w:eastAsia="Times New Roman" w:hAnsi="Times New Roman"/>
          <w:b/>
          <w:bCs/>
          <w:i/>
          <w:iCs/>
          <w:sz w:val="24"/>
          <w:szCs w:val="24"/>
        </w:rPr>
        <w:t xml:space="preserve">4.2.4 The LLM Translation Layer</w:t>
      </w:r>
    </w:p>
    <w:p>
      <w:pPr>
        <w:spacing w:after="200" w:line="300" w:lineRule="auto"/>
        <w:jc w:val="both"/>
      </w:pPr>
      <w:r>
        <w:rPr>
          <w:rFonts w:ascii="Times New Roman" w:cs="Times New Roman" w:eastAsia="Times New Roman" w:hAnsi="Times New Roman"/>
          <w:sz w:val="24"/>
          <w:szCs w:val="24"/>
        </w:rPr>
        <w:t xml:space="preserve">This is the component the project is actually about, and it is built across three cooperating pieces. A phrase dictionary maps every feature name to a short plain-English clause, along with a small table recording whether an elevated value for that feature normally points toward phishing (true for most features) or toward legitimacy (the two disclosed exceptions being has_https and word_count, where a higher value is normally the safer sign). A reconciliation step takes the SHAP and LIME rankings for one prediction, independently normalises each, and averages them, so a feature both methods flag heavily outranks one that only a single method picks up — a direct implementation of the "dual XAI, reconciled into one explanation" idea discussed in Chapter Two. That reconciled ranking then feeds an engineered prompt template:</w:t>
      </w:r>
    </w:p>
    <w:p>
      <w:pPr>
        <w:shd w:fill="F2F2F2" w:val="clear"/>
        <w:spacing w:after="200" w:before="120" w:line="240" w:lineRule="auto"/>
        <w:ind w:left="260" w:right="260"/>
      </w:pPr>
      <w:r>
        <w:rPr>
          <w:rFonts w:ascii="Courier New" w:cs="Courier New" w:eastAsia="Courier New" w:hAnsi="Courier New"/>
          <w:sz w:val="18"/>
          <w:szCs w:val="18"/>
        </w:rPr>
        <w:t xml:space="preserve">You are a cybersecurity assistant. Based on an analysis of a submitted</w:t>
      </w:r>
      <w:r>
        <w:rPr>
          <w:rFonts w:ascii="Courier New" w:cs="Courier New" w:eastAsia="Courier New" w:hAnsi="Courier New"/>
          <w:sz w:val="18"/>
          <w:szCs w:val="18"/>
        </w:rPr>
        <w:br/>
        <w:t xml:space="preserve">{web link | email}, a phishing detection system found the result</w:t>
      </w:r>
      <w:r>
        <w:rPr>
          <w:rFonts w:ascii="Courier New" w:cs="Courier New" w:eastAsia="Courier New" w:hAnsi="Courier New"/>
          <w:sz w:val="18"/>
          <w:szCs w:val="18"/>
        </w:rPr>
        <w:br/>
        <w:t xml:space="preserve">{VERDICT} with {confidence}% confidence. Top contributing factors</w:t>
      </w:r>
      <w:r>
        <w:rPr>
          <w:rFonts w:ascii="Courier New" w:cs="Courier New" w:eastAsia="Courier New" w:hAnsi="Courier New"/>
          <w:sz w:val="18"/>
          <w:szCs w:val="18"/>
        </w:rPr>
        <w:br/>
        <w:t xml:space="preserve">(from SHAP and LIME feature-importance analysis) include: {factor_list}.</w:t>
      </w:r>
      <w:r>
        <w:rPr>
          <w:rFonts w:ascii="Courier New" w:cs="Courier New" w:eastAsia="Courier New" w:hAnsi="Courier New"/>
          <w:sz w:val="18"/>
          <w:szCs w:val="18"/>
        </w:rPr>
        <w:br/>
        <w:t xml:space="preserve">Write one simple sentence explaining why this {web link | email} was</w:t>
      </w:r>
      <w:r>
        <w:rPr>
          <w:rFonts w:ascii="Courier New" w:cs="Courier New" w:eastAsia="Courier New" w:hAnsi="Courier New"/>
          <w:sz w:val="18"/>
          <w:szCs w:val="18"/>
        </w:rPr>
        <w:br/>
        <w:t xml:space="preserve">flagged, for an IT helpdesk person who is not technically knowledgeable.</w:t>
      </w:r>
    </w:p>
    <w:p>
      <w:pPr>
        <w:spacing w:after="200" w:line="300" w:lineRule="auto"/>
        <w:jc w:val="both"/>
      </w:pPr>
      <w:r>
        <w:rPr>
          <w:rFonts w:ascii="Times New Roman" w:cs="Times New Roman" w:eastAsia="Times New Roman" w:hAnsi="Times New Roman"/>
          <w:sz w:val="24"/>
          <w:szCs w:val="24"/>
        </w:rPr>
        <w:t xml:space="preserve">That prompt, together with the ranked factors, goes to a pluggable backend behind a small LLMBackend interface. Two implementations exist. TemplateBackend is a deterministic, offline generator that assembles the final sentence straight from the ranked factors and the phrase dictionary — no download, no GPU, no network call of any kind — and is the backend actually shipped and evaluated in this build. LlamaCppBackend is fully implemented and unit-tested, and loads a locally held, quantized GGUF build of one of the three candidate models named in the proposal through the llama-cpp-python library; it activates automatically if an environment variable points at a real model file on disk, with no other code changes required. Why only the first backend could be exercised end to end in this particular build is explained in Section 4.4.</w:t>
      </w:r>
    </w:p>
    <w:p>
      <w:pPr>
        <w:spacing w:after="200" w:line="300" w:lineRule="auto"/>
        <w:jc w:val="both"/>
      </w:pPr>
      <w:r>
        <w:rPr>
          <w:rFonts w:ascii="Times New Roman" w:cs="Times New Roman" w:eastAsia="Times New Roman" w:hAnsi="Times New Roman"/>
          <w:sz w:val="24"/>
          <w:szCs w:val="24"/>
        </w:rPr>
        <w:t xml:space="preserve">A second safeguard was added partway through testing, after a specific failure. An email containing no reference to any attachment was, in one instance, explained with a sentence claiming it "references an attached file" — because the attachment_keyword feature, sitting at zero, happened to carry a small positive SHAP contribution toward the phishing verdict for that particular case, a statistical artefact rather than a real signal. A coherence filter now checks each candidate factor's actual value against the direction it is supposed to support before it is allowed into a generated sentence, and a regression test (Section 5.1) now exists specifically to catch a recurrence.</w:t>
      </w:r>
    </w:p>
    <w:p>
      <w:pPr>
        <w:pStyle w:val="Heading3"/>
        <w:spacing w:after="120" w:before="240" w:line="300" w:lineRule="auto"/>
      </w:pPr>
      <w:r>
        <w:rPr>
          <w:rFonts w:ascii="Times New Roman" w:cs="Times New Roman" w:eastAsia="Times New Roman" w:hAnsi="Times New Roman"/>
          <w:b/>
          <w:bCs/>
          <w:i/>
          <w:iCs/>
          <w:sz w:val="24"/>
          <w:szCs w:val="24"/>
        </w:rPr>
        <w:t xml:space="preserve">4.2.5 User Interface</w:t>
      </w:r>
    </w:p>
    <w:p>
      <w:pPr>
        <w:spacing w:after="200" w:line="300" w:lineRule="auto"/>
        <w:jc w:val="both"/>
      </w:pPr>
      <w:r>
        <w:rPr>
          <w:rFonts w:ascii="Times New Roman" w:cs="Times New Roman" w:eastAsia="Times New Roman" w:hAnsi="Times New Roman"/>
          <w:sz w:val="24"/>
          <w:szCs w:val="24"/>
        </w:rPr>
        <w:t xml:space="preserve">The interface is a two-tab Streamlit application — one tab for email, one for URLs — each offering a free-text input, a handful of ready-made examples for quick demonstration, and an analyse button. Running an analysis renders, in one view as FR6 requires: the verdict and confidence score, the single translated sentence, and side by side, both the SHAP and LIME feature-importance output as bar charts and numeric tables, with the exact prompt sent to the translation backend available in a collapsible panel underneath for anyone who wants to see it. Figures 4.1 and 4.2 (captured from the running application) show the interface after analysing a representative phishing email and a representative phishing URL.</w:t>
      </w:r>
    </w:p>
    <w:p>
      <w:pPr>
        <w:spacing w:after="280" w:before="100" w:line="300" w:lineRule="auto"/>
        <w:jc w:val="center"/>
      </w:pPr>
      <w:r>
        <w:rPr>
          <w:rFonts w:ascii="Times New Roman" w:cs="Times New Roman" w:eastAsia="Times New Roman" w:hAnsi="Times New Roman"/>
          <w:i/>
          <w:iCs/>
          <w:sz w:val="22"/>
          <w:szCs w:val="22"/>
        </w:rPr>
        <w:t xml:space="preserve">[Insert Figure 4.1 — interface output for a phishing-email submission here]</w:t>
      </w:r>
    </w:p>
    <w:p>
      <w:pPr>
        <w:spacing w:after="280" w:before="100" w:line="300" w:lineRule="auto"/>
        <w:jc w:val="center"/>
      </w:pPr>
      <w:r>
        <w:rPr>
          <w:rFonts w:ascii="Times New Roman" w:cs="Times New Roman" w:eastAsia="Times New Roman" w:hAnsi="Times New Roman"/>
          <w:i/>
          <w:iCs/>
          <w:sz w:val="22"/>
          <w:szCs w:val="22"/>
        </w:rPr>
        <w:t xml:space="preserve">[Insert Figure 4.2 — interface output for a phishing-URL submission here]</w:t>
      </w:r>
    </w:p>
    <w:p>
      <w:pPr>
        <w:spacing w:after="200" w:line="300" w:lineRule="auto"/>
        <w:jc w:val="both"/>
      </w:pPr>
      <w:r>
        <w:rPr>
          <w:rFonts w:ascii="Times New Roman" w:cs="Times New Roman" w:eastAsia="Times New Roman" w:hAnsi="Times New Roman"/>
          <w:sz w:val="24"/>
          <w:szCs w:val="24"/>
        </w:rPr>
        <w:t xml:space="preserve">A second, browser-based version of the pipeline was also built as a lighter, standalone demonstration — the classifiers re-trained at a smaller size (fifty trees, capped depth) and exported directly into JavaScript, so the same feature extraction and phrase-translation logic runs entirely client-side with no installation step. It is not a substitute for the full Python system described above, and its explanation method is a simplified path-based attribution rather than exact SHAP/LIME, but it makes the working prototype reachable by anyone with a browser, which is a meaningful accessibility gain over asking a non-technical reviewer to set up a Python environment.</w:t>
      </w:r>
    </w:p>
    <w:p>
      <w:pPr>
        <w:pStyle w:val="Heading2"/>
        <w:spacing w:after="160" w:before="320" w:line="300" w:lineRule="auto"/>
      </w:pPr>
      <w:r>
        <w:rPr>
          <w:rFonts w:ascii="Times New Roman" w:cs="Times New Roman" w:eastAsia="Times New Roman" w:hAnsi="Times New Roman"/>
          <w:b/>
          <w:bCs/>
          <w:sz w:val="26"/>
          <w:szCs w:val="26"/>
        </w:rPr>
        <w:t xml:space="preserve">4.3 Security, Performance, and Scalability Considerations</w:t>
      </w:r>
    </w:p>
    <w:p>
      <w:pPr>
        <w:spacing w:after="200" w:line="300" w:lineRule="auto"/>
        <w:jc w:val="both"/>
      </w:pPr>
      <w:r>
        <w:rPr>
          <w:rFonts w:ascii="Times New Roman" w:cs="Times New Roman" w:eastAsia="Times New Roman" w:hAnsi="Times New Roman"/>
          <w:sz w:val="24"/>
          <w:szCs w:val="24"/>
        </w:rPr>
        <w:t xml:space="preserve">Every component in the pipeline — feature extraction, classification, explanation, and the shipped translation backend — runs locally with no outbound network call at inference time, so no email text, URL, or feature value ever leaves the machine it runs on, directly satisfying NFR5 and FR7. Because the feature extractors are purely lexical, a submitted URL is never actually fetched and a submitted email is never rendered as HTML or executed, which sidesteps the server-side-request-forgery and script-injection risks a content-fetching analysis pipeline would otherwise carry.</w:t>
      </w:r>
    </w:p>
    <w:p>
      <w:pPr>
        <w:spacing w:after="200" w:line="300" w:lineRule="auto"/>
        <w:jc w:val="both"/>
      </w:pPr>
      <w:r>
        <w:rPr>
          <w:rFonts w:ascii="Times New Roman" w:cs="Times New Roman" w:eastAsia="Times New Roman" w:hAnsi="Times New Roman"/>
          <w:sz w:val="24"/>
          <w:szCs w:val="24"/>
        </w:rPr>
        <w:t xml:space="preserve">On performance, measured on the development hardware described in Section 4.1: the full pipeline — both classifiers, both explainer pairs, and the translation layer — takes roughly 2.2 seconds to load once at start-up, cached for the life of the session, and about 0.3 seconds to analyse a single email or URL end to end after that, comfortably inside NFR1's real-time-triage target. Every stochastic component — data sampling, the train/test split, the Random Forest, LIME's perturbation sampler — is seeded, so the metrics reported in Chapter Five can be reproduced exactly by re-running the provided scripts. Architecturally, the LLMBackend abstraction is the clearest example of the maintainability goal in NFR4/NFR6 actually paying off: swapping the translation layer from the shipped template generator to a real local model is a one-line environment-variable change, with no edits needed anywhere else in the pipeline.</w:t>
      </w:r>
    </w:p>
    <w:p>
      <w:pPr>
        <w:pStyle w:val="Heading2"/>
        <w:spacing w:after="160" w:before="320" w:line="300" w:lineRule="auto"/>
      </w:pPr>
      <w:r>
        <w:rPr>
          <w:rFonts w:ascii="Times New Roman" w:cs="Times New Roman" w:eastAsia="Times New Roman" w:hAnsi="Times New Roman"/>
          <w:b/>
          <w:bCs/>
          <w:sz w:val="26"/>
          <w:szCs w:val="26"/>
        </w:rPr>
        <w:t xml:space="preserve">4.4 Challenges Encountered and Mitigation Strategies</w:t>
      </w:r>
    </w:p>
    <w:p>
      <w:pPr>
        <w:spacing w:after="200" w:line="300" w:lineRule="auto"/>
        <w:jc w:val="both"/>
      </w:pPr>
      <w:r>
        <w:rPr>
          <w:rFonts w:ascii="Times New Roman" w:cs="Times New Roman" w:eastAsia="Times New Roman" w:hAnsi="Times New Roman"/>
          <w:sz w:val="24"/>
          <w:szCs w:val="24"/>
        </w:rPr>
        <w:t xml:space="preserve">A few of the difficulties encountered during this build were routine debugging. Others changed the shape of the final system, and are worth documenting honestly rather than smoothing over.</w:t>
      </w:r>
    </w:p>
    <w:p>
      <w:pPr>
        <w:spacing w:after="200" w:line="300" w:lineRule="auto"/>
        <w:jc w:val="both"/>
      </w:pPr>
      <w:r>
        <w:rPr>
          <w:rFonts w:ascii="Times New Roman" w:cs="Times New Roman" w:eastAsia="Times New Roman" w:hAnsi="Times New Roman"/>
          <w:b/>
          <w:bCs/>
          <w:i w:val="false"/>
          <w:iCs w:val="false"/>
          <w:sz w:val="24"/>
          <w:szCs w:val="24"/>
        </w:rPr>
        <w:t xml:space="preserve">Restricted network access blocked the intended LLM backend. </w:t>
      </w:r>
      <w:r>
        <w:rPr>
          <w:rFonts w:ascii="Times New Roman" w:cs="Times New Roman" w:eastAsia="Times New Roman" w:hAnsi="Times New Roman"/>
          <w:b w:val="false"/>
          <w:bCs w:val="false"/>
          <w:i w:val="false"/>
          <w:iCs w:val="false"/>
          <w:sz w:val="24"/>
          <w:szCs w:val="24"/>
        </w:rPr>
        <w:t xml:space="preserve">The sandboxed environment this system was built in has no route to Hugging Face or its content-delivery network, which is the standard distribution channel for the three candidate model weights named in the proposal. A real quantized LLM backend could therefore not be exercised end to end inside this particular build environment. The translation layer was designed around a pluggable backend interface from the start specifically to absorb a constraint like this one; LlamaCppBackend is fully implemented and unit-tested and will activate automatically once a model file is available locally, and the shipped TemplateBackend means the system is complete and fully evaluable without that dependency in the meantime.</w:t>
      </w:r>
    </w:p>
    <w:p>
      <w:pPr>
        <w:spacing w:after="200" w:line="300" w:lineRule="auto"/>
        <w:jc w:val="both"/>
      </w:pPr>
      <w:r>
        <w:rPr>
          <w:rFonts w:ascii="Times New Roman" w:cs="Times New Roman" w:eastAsia="Times New Roman" w:hAnsi="Times New Roman"/>
          <w:b/>
          <w:bCs/>
          <w:i w:val="false"/>
          <w:iCs w:val="false"/>
          <w:sz w:val="24"/>
          <w:szCs w:val="24"/>
        </w:rPr>
        <w:t xml:space="preserve">The originally proposed datasets were not reliably fetchable. </w:t>
      </w:r>
      <w:r>
        <w:rPr>
          <w:rFonts w:ascii="Times New Roman" w:cs="Times New Roman" w:eastAsia="Times New Roman" w:hAnsi="Times New Roman"/>
          <w:b w:val="false"/>
          <w:bCs w:val="false"/>
          <w:i w:val="false"/>
          <w:iCs w:val="false"/>
          <w:sz w:val="24"/>
          <w:szCs w:val="24"/>
        </w:rPr>
        <w:t xml:space="preserve">The Nazario Phishing Corpus and PhishTank's live feed both require manual sign-up or a registered API key; CSDMC2010 and ISCX-URL-2016 are hosted as academic mirrors without a stable download path suited to an unattended build. In their place, the Enron-Spam corpus (Metsis et al., 2006) was used for email, and the Phishing.Database blocklist paired with OpenDNS's top-domains list for URLs — both directly and reliably fetchable, and both documented with their substitution rationale in the data-acquisition script for anyone who wants to reproduce or challenge the choice.</w:t>
      </w:r>
    </w:p>
    <w:p>
      <w:pPr>
        <w:spacing w:after="200" w:line="300" w:lineRule="auto"/>
        <w:jc w:val="both"/>
      </w:pPr>
      <w:r>
        <w:rPr>
          <w:rFonts w:ascii="Times New Roman" w:cs="Times New Roman" w:eastAsia="Times New Roman" w:hAnsi="Times New Roman"/>
          <w:b/>
          <w:bCs/>
          <w:i w:val="false"/>
          <w:iCs w:val="false"/>
          <w:sz w:val="24"/>
          <w:szCs w:val="24"/>
        </w:rPr>
        <w:t xml:space="preserve">An early version of the URL dataset leaked the label through the data itself. </w:t>
      </w:r>
      <w:r>
        <w:rPr>
          <w:rFonts w:ascii="Times New Roman" w:cs="Times New Roman" w:eastAsia="Times New Roman" w:hAnsi="Times New Roman"/>
          <w:b w:val="false"/>
          <w:bCs w:val="false"/>
          <w:i w:val="false"/>
          <w:iCs w:val="false"/>
          <w:sz w:val="24"/>
          <w:szCs w:val="24"/>
        </w:rPr>
        <w:t xml:space="preserve">The first version of the dataset-construction script assigned HTTP to every phishing example and HTTPS to every legitimate one, which let the classifier hit a suspiciously perfect 100 per cent test accuracy by keying on that single artificial cue rather than any genuine lexical pattern — a data-leakage bug, not a real result. Once the scheme was reassigned independently of the label, accuracy dropped to the more realistic 88.1 per cent reported in Chapter Five. It is included here specifically because an unrealistically perfect score is usually a symptom worth chasing down, not a result worth celebrating.</w:t>
      </w:r>
    </w:p>
    <w:p>
      <w:pPr>
        <w:spacing w:after="200" w:line="300" w:lineRule="auto"/>
        <w:jc w:val="both"/>
      </w:pPr>
      <w:r>
        <w:rPr>
          <w:rFonts w:ascii="Times New Roman" w:cs="Times New Roman" w:eastAsia="Times New Roman" w:hAnsi="Times New Roman"/>
          <w:b/>
          <w:bCs/>
          <w:i w:val="false"/>
          <w:iCs w:val="false"/>
          <w:sz w:val="24"/>
          <w:szCs w:val="24"/>
        </w:rPr>
        <w:t xml:space="preserve">Explanation faithfulness broke on a small-sample statistical fluke. </w:t>
      </w:r>
      <w:r>
        <w:rPr>
          <w:rFonts w:ascii="Times New Roman" w:cs="Times New Roman" w:eastAsia="Times New Roman" w:hAnsi="Times New Roman"/>
          <w:b w:val="false"/>
          <w:bCs w:val="false"/>
          <w:i w:val="false"/>
          <w:iCs w:val="false"/>
          <w:sz w:val="24"/>
          <w:szCs w:val="24"/>
        </w:rPr>
        <w:t xml:space="preserve">Covered in Section 4.2.4 — a generated sentence once claimed an email referenced an attachment it did not contain. The coherence filter added afterward, and the regression test guarding it, are the direct result.</w:t>
      </w:r>
    </w:p>
    <w:p>
      <w:pPr>
        <w:spacing w:after="200" w:line="300" w:lineRule="auto"/>
        <w:jc w:val="both"/>
      </w:pPr>
      <w:r>
        <w:rPr>
          <w:rFonts w:ascii="Times New Roman" w:cs="Times New Roman" w:eastAsia="Times New Roman" w:hAnsi="Times New Roman"/>
          <w:b/>
          <w:bCs/>
          <w:i w:val="false"/>
          <w:iCs w:val="false"/>
          <w:sz w:val="24"/>
          <w:szCs w:val="24"/>
        </w:rPr>
        <w:t xml:space="preserve">"www" was initially treated as a suspicious sub-domain. </w:t>
      </w:r>
      <w:r>
        <w:rPr>
          <w:rFonts w:ascii="Times New Roman" w:cs="Times New Roman" w:eastAsia="Times New Roman" w:hAnsi="Times New Roman"/>
          <w:b w:val="false"/>
          <w:bCs w:val="false"/>
          <w:i w:val="false"/>
          <w:iCs w:val="false"/>
          <w:sz w:val="24"/>
          <w:szCs w:val="24"/>
        </w:rPr>
        <w:t xml:space="preserve">An early version of the sub-domain count included "www" as a nested sub-domain, which caused ordinary sites like www.google.com to misclassify as phishing purely on domain structure. Excluding "www" from the count fixed that specific case. A related, unresolved limitation is carried forward honestly into Chapter Five: legitimate multi-label domains — a university site nested under a country-code educational suffix, for instance — can still misclassify, because the feature set has no notion of domain reputation or age, only lexical structure.</w:t>
      </w:r>
    </w:p>
    <w:p>
      <w:pPr>
        <w:spacing w:after="200" w:line="300" w:lineRule="auto"/>
        <w:jc w:val="both"/>
      </w:pPr>
      <w:r>
        <w:rPr>
          <w:rFonts w:ascii="Times New Roman" w:cs="Times New Roman" w:eastAsia="Times New Roman" w:hAnsi="Times New Roman"/>
          <w:b/>
          <w:bCs/>
          <w:i w:val="false"/>
          <w:iCs w:val="false"/>
          <w:sz w:val="24"/>
          <w:szCs w:val="24"/>
        </w:rPr>
        <w:t xml:space="preserve">A library-version mismatch broke the training pipeline outright. </w:t>
      </w:r>
      <w:r>
        <w:rPr>
          <w:rFonts w:ascii="Times New Roman" w:cs="Times New Roman" w:eastAsia="Times New Roman" w:hAnsi="Times New Roman"/>
          <w:b w:val="false"/>
          <w:bCs w:val="false"/>
          <w:i w:val="false"/>
          <w:iCs w:val="false"/>
          <w:sz w:val="24"/>
          <w:szCs w:val="24"/>
        </w:rPr>
        <w:t xml:space="preserve">pandas 3.0's newer Arrow-backed column storage turned out to be incompatible with scikit-learn's array-indexing utility when a DataFrame was passed straight into train_test_split, raising a low-level indexing error that took some tracing to isolate. Converting the feature matrix to a plain NumPy array with an explicit dtype before the split, then reassembling a named DataFrame afterward, resolved it without needing to pin back to an older pandas release.</w:t>
      </w:r>
    </w:p>
    <w:p>
      <w:pPr>
        <w:pStyle w:val="Heading1"/>
        <w:pageBreakBefore/>
        <w:spacing w:after="360" w:before="240" w:line="300" w:lineRule="auto"/>
        <w:jc w:val="center"/>
      </w:pPr>
      <w:r>
        <w:rPr>
          <w:rFonts w:ascii="Times New Roman" w:cs="Times New Roman" w:eastAsia="Times New Roman" w:hAnsi="Times New Roman"/>
          <w:b/>
          <w:bCs/>
          <w:sz w:val="30"/>
          <w:szCs w:val="30"/>
        </w:rPr>
        <w:t xml:space="preserve">CHAPTER FIVE: TESTING, RESULTS AND EVALUATION</w:t>
      </w:r>
    </w:p>
    <w:p>
      <w:pPr>
        <w:spacing w:after="200" w:line="300" w:lineRule="auto"/>
        <w:jc w:val="both"/>
      </w:pPr>
      <w:r>
        <w:rPr>
          <w:rFonts w:ascii="Times New Roman" w:cs="Times New Roman" w:eastAsia="Times New Roman" w:hAnsi="Times New Roman"/>
          <w:sz w:val="24"/>
          <w:szCs w:val="24"/>
        </w:rPr>
        <w:t xml:space="preserve">This chapter reports how the system was tested, what the resulting numbers actually are, how those numbers map onto the five objectives from Chapter One, and — as honestly as the previous chapter's account of its own mistakes — what the results do and do not support.</w:t>
      </w:r>
    </w:p>
    <w:p>
      <w:pPr>
        <w:pStyle w:val="Heading2"/>
        <w:spacing w:after="160" w:before="320" w:line="300" w:lineRule="auto"/>
      </w:pPr>
      <w:r>
        <w:rPr>
          <w:rFonts w:ascii="Times New Roman" w:cs="Times New Roman" w:eastAsia="Times New Roman" w:hAnsi="Times New Roman"/>
          <w:b/>
          <w:bCs/>
          <w:sz w:val="26"/>
          <w:szCs w:val="26"/>
        </w:rPr>
        <w:t xml:space="preserve">5.1 Testing Strategy</w:t>
      </w:r>
    </w:p>
    <w:p>
      <w:pPr>
        <w:spacing w:after="200" w:line="300" w:lineRule="auto"/>
        <w:jc w:val="both"/>
      </w:pPr>
      <w:r>
        <w:rPr>
          <w:rFonts w:ascii="Times New Roman" w:cs="Times New Roman" w:eastAsia="Times New Roman" w:hAnsi="Times New Roman"/>
          <w:sz w:val="24"/>
          <w:szCs w:val="24"/>
        </w:rPr>
        <w:t xml:space="preserve">Testing ran at four levels. Forty-four automated unit tests cover the feature extractors, the classifier wrapper (against a small, deliberately separable synthetic dataset so classifier behaviour can be checked independently of the real trained models), the SHAP/LIME explainer wrapper, and the translation layer's coherence logic, including a dedicated regression test for the attachment-keyword failure described in Chapter Four. Six integration tests load the actual trained classifiers and exercise full end-to-end scenarios — an obviously phishing email and an obviously phishing URL are both correctly flagged, a well-known legitimate domain and a calm internal-style email are both correctly cleared, the translated sentence stays a single concise sentence, and both SHAP and LIME output remain available for the interface's side-by-side view. That is fifty tests in total, all passing on the most recent run ("50 passed in 19.65s").</w:t>
      </w:r>
    </w:p>
    <w:p>
      <w:pPr>
        <w:spacing w:after="200" w:line="300" w:lineRule="auto"/>
        <w:jc w:val="both"/>
      </w:pPr>
      <w:r>
        <w:rPr>
          <w:rFonts w:ascii="Times New Roman" w:cs="Times New Roman" w:eastAsia="Times New Roman" w:hAnsi="Times New Roman"/>
          <w:sz w:val="24"/>
          <w:szCs w:val="24"/>
        </w:rPr>
        <w:t xml:space="preserve">Above the automated suite, the running Streamlit application was driven through both tabs with an automated browser (Playwright), submitting representative examples and confirming the rendered output matched what a real user would see — the same figures referenced in Chapter Four. Finally, an evaluation script runs the full pipeline over thirty held-out URL predictions and thirty held-out email predictions, drawn evenly from both classes, and computes standard readability formulas over both the raw SHAP output and the translated sentence for each one — the numbers behind Sections 5.2 and 5.3 below.</w:t>
      </w:r>
    </w:p>
    <w:p>
      <w:pPr>
        <w:pStyle w:val="Heading2"/>
        <w:spacing w:after="160" w:before="320" w:line="300" w:lineRule="auto"/>
      </w:pPr>
      <w:r>
        <w:rPr>
          <w:rFonts w:ascii="Times New Roman" w:cs="Times New Roman" w:eastAsia="Times New Roman" w:hAnsi="Times New Roman"/>
          <w:b/>
          <w:bCs/>
          <w:sz w:val="26"/>
          <w:szCs w:val="26"/>
        </w:rPr>
        <w:t xml:space="preserve">5.2 Test Results and System Outputs</w:t>
      </w:r>
    </w:p>
    <w:p>
      <w:pPr>
        <w:pStyle w:val="Heading3"/>
        <w:spacing w:after="120" w:before="240" w:line="300" w:lineRule="auto"/>
      </w:pPr>
      <w:r>
        <w:rPr>
          <w:rFonts w:ascii="Times New Roman" w:cs="Times New Roman" w:eastAsia="Times New Roman" w:hAnsi="Times New Roman"/>
          <w:b/>
          <w:bCs/>
          <w:i/>
          <w:iCs/>
          <w:sz w:val="24"/>
          <w:szCs w:val="24"/>
        </w:rPr>
        <w:t xml:space="preserve">Classifier performance</w:t>
      </w:r>
    </w:p>
    <w:p>
      <w:pPr>
        <w:spacing w:after="200" w:line="300" w:lineRule="auto"/>
        <w:jc w:val="both"/>
      </w:pPr>
      <w:r>
        <w:rPr>
          <w:rFonts w:ascii="Times New Roman" w:cs="Times New Roman" w:eastAsia="Times New Roman" w:hAnsi="Times New Roman"/>
          <w:sz w:val="24"/>
          <w:szCs w:val="24"/>
        </w:rPr>
        <w:t xml:space="preserve">Table 5.1 reports held-out test performance for both classifiers, each trained on an 80/20 stratified split (12,000 URLs; 6,000 emails).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50"/>
        <w:gridCol w:w="1350"/>
        <w:gridCol w:w="1200"/>
        <w:gridCol w:w="1300"/>
        <w:gridCol w:w="1200"/>
      </w:tblGrid>
      <w:tr>
        <w:trPr>
          <w:tblHeader/>
        </w:trPr>
        <w:tc>
          <w:tcPr>
            <w:tcW w:type="dxa" w:w="2600"/>
            <w:shd w:fill="1F3864" w:val="clear"/>
          </w:tcPr>
          <w:p>
            <w:pPr>
              <w:spacing w:line="260" w:lineRule="auto"/>
            </w:pPr>
            <w:r>
              <w:rPr>
                <w:rFonts w:ascii="Times New Roman" w:cs="Times New Roman" w:eastAsia="Times New Roman" w:hAnsi="Times New Roman"/>
                <w:b/>
                <w:bCs/>
                <w:color w:val="FFFFFF"/>
                <w:sz w:val="20"/>
                <w:szCs w:val="20"/>
              </w:rPr>
              <w:t xml:space="preserve">Classifier</w:t>
            </w:r>
          </w:p>
        </w:tc>
        <w:tc>
          <w:tcPr>
            <w:tcW w:type="dxa" w:w="1350"/>
            <w:shd w:fill="1F3864" w:val="clear"/>
          </w:tcPr>
          <w:p>
            <w:pPr>
              <w:spacing w:line="260" w:lineRule="auto"/>
            </w:pPr>
            <w:r>
              <w:rPr>
                <w:rFonts w:ascii="Times New Roman" w:cs="Times New Roman" w:eastAsia="Times New Roman" w:hAnsi="Times New Roman"/>
                <w:b/>
                <w:bCs/>
                <w:color w:val="FFFFFF"/>
                <w:sz w:val="20"/>
                <w:szCs w:val="20"/>
              </w:rPr>
              <w:t xml:space="preserve">Accuracy</w:t>
            </w:r>
          </w:p>
        </w:tc>
        <w:tc>
          <w:tcPr>
            <w:tcW w:type="dxa" w:w="1350"/>
            <w:shd w:fill="1F3864" w:val="clear"/>
          </w:tcPr>
          <w:p>
            <w:pPr>
              <w:spacing w:line="260" w:lineRule="auto"/>
            </w:pPr>
            <w:r>
              <w:rPr>
                <w:rFonts w:ascii="Times New Roman" w:cs="Times New Roman" w:eastAsia="Times New Roman" w:hAnsi="Times New Roman"/>
                <w:b/>
                <w:bCs/>
                <w:color w:val="FFFFFF"/>
                <w:sz w:val="20"/>
                <w:szCs w:val="20"/>
              </w:rPr>
              <w:t xml:space="preserve">Precision</w:t>
            </w:r>
          </w:p>
        </w:tc>
        <w:tc>
          <w:tcPr>
            <w:tcW w:type="dxa" w:w="1200"/>
            <w:shd w:fill="1F3864" w:val="clear"/>
          </w:tcPr>
          <w:p>
            <w:pPr>
              <w:spacing w:line="260" w:lineRule="auto"/>
            </w:pPr>
            <w:r>
              <w:rPr>
                <w:rFonts w:ascii="Times New Roman" w:cs="Times New Roman" w:eastAsia="Times New Roman" w:hAnsi="Times New Roman"/>
                <w:b/>
                <w:bCs/>
                <w:color w:val="FFFFFF"/>
                <w:sz w:val="20"/>
                <w:szCs w:val="20"/>
              </w:rPr>
              <w:t xml:space="preserve">Recall</w:t>
            </w:r>
          </w:p>
        </w:tc>
        <w:tc>
          <w:tcPr>
            <w:tcW w:type="dxa" w:w="1300"/>
            <w:shd w:fill="1F3864" w:val="clear"/>
          </w:tcPr>
          <w:p>
            <w:pPr>
              <w:spacing w:line="260" w:lineRule="auto"/>
            </w:pPr>
            <w:r>
              <w:rPr>
                <w:rFonts w:ascii="Times New Roman" w:cs="Times New Roman" w:eastAsia="Times New Roman" w:hAnsi="Times New Roman"/>
                <w:b/>
                <w:bCs/>
                <w:color w:val="FFFFFF"/>
                <w:sz w:val="20"/>
                <w:szCs w:val="20"/>
              </w:rPr>
              <w:t xml:space="preserve">F1-score</w:t>
            </w:r>
          </w:p>
        </w:tc>
        <w:tc>
          <w:tcPr>
            <w:tcW w:type="dxa" w:w="1200"/>
            <w:shd w:fill="1F3864" w:val="clear"/>
          </w:tcPr>
          <w:p>
            <w:pPr>
              <w:spacing w:line="260" w:lineRule="auto"/>
            </w:pPr>
            <w:r>
              <w:rPr>
                <w:rFonts w:ascii="Times New Roman" w:cs="Times New Roman" w:eastAsia="Times New Roman" w:hAnsi="Times New Roman"/>
                <w:b/>
                <w:bCs/>
                <w:color w:val="FFFFFF"/>
                <w:sz w:val="20"/>
                <w:szCs w:val="20"/>
              </w:rPr>
              <w:t xml:space="preserve">Test set size</w:t>
            </w:r>
          </w:p>
        </w:tc>
      </w:tr>
      <w:tr>
        <w:tc>
          <w:tcPr>
            <w:tcW w:type="dxa" w:w="2600"/>
          </w:tcPr>
          <w:p>
            <w:pPr>
              <w:spacing w:line="260" w:lineRule="auto"/>
            </w:pPr>
            <w:r>
              <w:rPr>
                <w:rFonts w:ascii="Times New Roman" w:cs="Times New Roman" w:eastAsia="Times New Roman" w:hAnsi="Times New Roman"/>
                <w:b w:val="false"/>
                <w:bCs w:val="false"/>
                <w:sz w:val="20"/>
                <w:szCs w:val="20"/>
              </w:rPr>
              <w:t xml:space="preserve">URL (Random Forest)</w:t>
            </w:r>
          </w:p>
        </w:tc>
        <w:tc>
          <w:tcPr>
            <w:tcW w:type="dxa" w:w="1350"/>
          </w:tcPr>
          <w:p>
            <w:pPr>
              <w:spacing w:line="260" w:lineRule="auto"/>
            </w:pPr>
            <w:r>
              <w:rPr>
                <w:rFonts w:ascii="Times New Roman" w:cs="Times New Roman" w:eastAsia="Times New Roman" w:hAnsi="Times New Roman"/>
                <w:b w:val="false"/>
                <w:bCs w:val="false"/>
                <w:sz w:val="20"/>
                <w:szCs w:val="20"/>
              </w:rPr>
              <w:t xml:space="preserve">88.1%</w:t>
            </w:r>
          </w:p>
        </w:tc>
        <w:tc>
          <w:tcPr>
            <w:tcW w:type="dxa" w:w="1350"/>
          </w:tcPr>
          <w:p>
            <w:pPr>
              <w:spacing w:line="260" w:lineRule="auto"/>
            </w:pPr>
            <w:r>
              <w:rPr>
                <w:rFonts w:ascii="Times New Roman" w:cs="Times New Roman" w:eastAsia="Times New Roman" w:hAnsi="Times New Roman"/>
                <w:b w:val="false"/>
                <w:bCs w:val="false"/>
                <w:sz w:val="20"/>
                <w:szCs w:val="20"/>
              </w:rPr>
              <w:t xml:space="preserve">92.6%</w:t>
            </w:r>
          </w:p>
        </w:tc>
        <w:tc>
          <w:tcPr>
            <w:tcW w:type="dxa" w:w="1200"/>
          </w:tcPr>
          <w:p>
            <w:pPr>
              <w:spacing w:line="260" w:lineRule="auto"/>
            </w:pPr>
            <w:r>
              <w:rPr>
                <w:rFonts w:ascii="Times New Roman" w:cs="Times New Roman" w:eastAsia="Times New Roman" w:hAnsi="Times New Roman"/>
                <w:b w:val="false"/>
                <w:bCs w:val="false"/>
                <w:sz w:val="20"/>
                <w:szCs w:val="20"/>
              </w:rPr>
              <w:t xml:space="preserve">82.9%</w:t>
            </w:r>
          </w:p>
        </w:tc>
        <w:tc>
          <w:tcPr>
            <w:tcW w:type="dxa" w:w="1300"/>
          </w:tcPr>
          <w:p>
            <w:pPr>
              <w:spacing w:line="260" w:lineRule="auto"/>
            </w:pPr>
            <w:r>
              <w:rPr>
                <w:rFonts w:ascii="Times New Roman" w:cs="Times New Roman" w:eastAsia="Times New Roman" w:hAnsi="Times New Roman"/>
                <w:b w:val="false"/>
                <w:bCs w:val="false"/>
                <w:sz w:val="20"/>
                <w:szCs w:val="20"/>
              </w:rPr>
              <w:t xml:space="preserve">87.5%</w:t>
            </w:r>
          </w:p>
        </w:tc>
        <w:tc>
          <w:tcPr>
            <w:tcW w:type="dxa" w:w="1200"/>
          </w:tcPr>
          <w:p>
            <w:pPr>
              <w:spacing w:line="260" w:lineRule="auto"/>
            </w:pPr>
            <w:r>
              <w:rPr>
                <w:rFonts w:ascii="Times New Roman" w:cs="Times New Roman" w:eastAsia="Times New Roman" w:hAnsi="Times New Roman"/>
                <w:b w:val="false"/>
                <w:bCs w:val="false"/>
                <w:sz w:val="20"/>
                <w:szCs w:val="20"/>
              </w:rPr>
              <w:t xml:space="preserve">2,400</w:t>
            </w:r>
          </w:p>
        </w:tc>
      </w:tr>
      <w:tr>
        <w:tc>
          <w:tcPr>
            <w:tcW w:type="dxa" w:w="2600"/>
          </w:tcPr>
          <w:p>
            <w:pPr>
              <w:spacing w:line="260" w:lineRule="auto"/>
            </w:pPr>
            <w:r>
              <w:rPr>
                <w:rFonts w:ascii="Times New Roman" w:cs="Times New Roman" w:eastAsia="Times New Roman" w:hAnsi="Times New Roman"/>
                <w:b w:val="false"/>
                <w:bCs w:val="false"/>
                <w:sz w:val="20"/>
                <w:szCs w:val="20"/>
              </w:rPr>
              <w:t xml:space="preserve">Email (Random Forest)</w:t>
            </w:r>
          </w:p>
        </w:tc>
        <w:tc>
          <w:tcPr>
            <w:tcW w:type="dxa" w:w="1350"/>
          </w:tcPr>
          <w:p>
            <w:pPr>
              <w:spacing w:line="260" w:lineRule="auto"/>
            </w:pPr>
            <w:r>
              <w:rPr>
                <w:rFonts w:ascii="Times New Roman" w:cs="Times New Roman" w:eastAsia="Times New Roman" w:hAnsi="Times New Roman"/>
                <w:b w:val="false"/>
                <w:bCs w:val="false"/>
                <w:sz w:val="20"/>
                <w:szCs w:val="20"/>
              </w:rPr>
              <w:t xml:space="preserve">78.8%</w:t>
            </w:r>
          </w:p>
        </w:tc>
        <w:tc>
          <w:tcPr>
            <w:tcW w:type="dxa" w:w="1350"/>
          </w:tcPr>
          <w:p>
            <w:pPr>
              <w:spacing w:line="260" w:lineRule="auto"/>
            </w:pPr>
            <w:r>
              <w:rPr>
                <w:rFonts w:ascii="Times New Roman" w:cs="Times New Roman" w:eastAsia="Times New Roman" w:hAnsi="Times New Roman"/>
                <w:b w:val="false"/>
                <w:bCs w:val="false"/>
                <w:sz w:val="20"/>
                <w:szCs w:val="20"/>
              </w:rPr>
              <w:t xml:space="preserve">78.0%</w:t>
            </w:r>
          </w:p>
        </w:tc>
        <w:tc>
          <w:tcPr>
            <w:tcW w:type="dxa" w:w="1200"/>
          </w:tcPr>
          <w:p>
            <w:pPr>
              <w:spacing w:line="260" w:lineRule="auto"/>
            </w:pPr>
            <w:r>
              <w:rPr>
                <w:rFonts w:ascii="Times New Roman" w:cs="Times New Roman" w:eastAsia="Times New Roman" w:hAnsi="Times New Roman"/>
                <w:b w:val="false"/>
                <w:bCs w:val="false"/>
                <w:sz w:val="20"/>
                <w:szCs w:val="20"/>
              </w:rPr>
              <w:t xml:space="preserve">80.0%</w:t>
            </w:r>
          </w:p>
        </w:tc>
        <w:tc>
          <w:tcPr>
            <w:tcW w:type="dxa" w:w="1300"/>
          </w:tcPr>
          <w:p>
            <w:pPr>
              <w:spacing w:line="260" w:lineRule="auto"/>
            </w:pPr>
            <w:r>
              <w:rPr>
                <w:rFonts w:ascii="Times New Roman" w:cs="Times New Roman" w:eastAsia="Times New Roman" w:hAnsi="Times New Roman"/>
                <w:b w:val="false"/>
                <w:bCs w:val="false"/>
                <w:sz w:val="20"/>
                <w:szCs w:val="20"/>
              </w:rPr>
              <w:t xml:space="preserve">79.0%</w:t>
            </w:r>
          </w:p>
        </w:tc>
        <w:tc>
          <w:tcPr>
            <w:tcW w:type="dxa" w:w="1200"/>
          </w:tcPr>
          <w:p>
            <w:pPr>
              <w:spacing w:line="260" w:lineRule="auto"/>
            </w:pPr>
            <w:r>
              <w:rPr>
                <w:rFonts w:ascii="Times New Roman" w:cs="Times New Roman" w:eastAsia="Times New Roman" w:hAnsi="Times New Roman"/>
                <w:b w:val="false"/>
                <w:bCs w:val="false"/>
                <w:sz w:val="20"/>
                <w:szCs w:val="20"/>
              </w:rPr>
              <w:t xml:space="preserve">1,200</w:t>
            </w:r>
          </w:p>
        </w:tc>
      </w:tr>
    </w:tbl>
    <w:p>
      <w:pPr>
        <w:spacing w:after="100"/>
      </w:pPr>
    </w:p>
    <w:p>
      <w:pPr>
        <w:spacing w:after="200" w:line="300" w:lineRule="auto"/>
        <w:jc w:val="both"/>
      </w:pPr>
      <w:r>
        <w:rPr>
          <w:rFonts w:ascii="Times New Roman" w:cs="Times New Roman" w:eastAsia="Times New Roman" w:hAnsi="Times New Roman"/>
          <w:sz w:val="24"/>
          <w:szCs w:val="24"/>
        </w:rPr>
        <w:t xml:space="preserve">Table 5.2 gives the confusion matrix for each classifier.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500"/>
        <w:gridCol w:w="2400"/>
      </w:tblGrid>
      <w:tr>
        <w:trPr>
          <w:tblHeader/>
        </w:trPr>
        <w:tc>
          <w:tcPr>
            <w:tcW w:type="dxa" w:w="1500"/>
            <w:shd w:fill="1F3864" w:val="clear"/>
          </w:tcPr>
          <w:p>
            <w:pPr>
              <w:spacing w:line="260" w:lineRule="auto"/>
            </w:pPr>
            <w:r>
              <w:rPr>
                <w:rFonts w:ascii="Times New Roman" w:cs="Times New Roman" w:eastAsia="Times New Roman" w:hAnsi="Times New Roman"/>
                <w:b/>
                <w:bCs/>
                <w:color w:val="FFFFFF"/>
                <w:sz w:val="20"/>
                <w:szCs w:val="20"/>
              </w:rPr>
              <w:t xml:space="preserve">Classifier</w:t>
            </w:r>
          </w:p>
        </w:tc>
        <w:tc>
          <w:tcPr>
            <w:tcW w:type="dxa" w:w="2600"/>
            <w:shd w:fill="1F3864" w:val="clear"/>
          </w:tcPr>
          <w:p>
            <w:pPr>
              <w:spacing w:line="260" w:lineRule="auto"/>
            </w:pPr>
            <w:r>
              <w:rPr>
                <w:rFonts w:ascii="Times New Roman" w:cs="Times New Roman" w:eastAsia="Times New Roman" w:hAnsi="Times New Roman"/>
                <w:b/>
                <w:bCs/>
                <w:color w:val="FFFFFF"/>
                <w:sz w:val="20"/>
                <w:szCs w:val="20"/>
              </w:rPr>
              <w:t xml:space="preserve">Actual \ Predicted</w:t>
            </w:r>
          </w:p>
        </w:tc>
        <w:tc>
          <w:tcPr>
            <w:tcW w:type="dxa" w:w="2500"/>
            <w:shd w:fill="1F3864" w:val="clear"/>
          </w:tcPr>
          <w:p>
            <w:pPr>
              <w:spacing w:line="260" w:lineRule="auto"/>
            </w:pPr>
            <w:r>
              <w:rPr>
                <w:rFonts w:ascii="Times New Roman" w:cs="Times New Roman" w:eastAsia="Times New Roman" w:hAnsi="Times New Roman"/>
                <w:b/>
                <w:bCs/>
                <w:color w:val="FFFFFF"/>
                <w:sz w:val="20"/>
                <w:szCs w:val="20"/>
              </w:rPr>
              <w:t xml:space="preserve">legitimate</w:t>
            </w:r>
          </w:p>
        </w:tc>
        <w:tc>
          <w:tcPr>
            <w:tcW w:type="dxa" w:w="2400"/>
            <w:shd w:fill="1F3864" w:val="clear"/>
          </w:tcPr>
          <w:p>
            <w:pPr>
              <w:spacing w:line="260" w:lineRule="auto"/>
            </w:pPr>
            <w:r>
              <w:rPr>
                <w:rFonts w:ascii="Times New Roman" w:cs="Times New Roman" w:eastAsia="Times New Roman" w:hAnsi="Times New Roman"/>
                <w:b/>
                <w:bCs/>
                <w:color w:val="FFFFFF"/>
                <w:sz w:val="20"/>
                <w:szCs w:val="20"/>
              </w:rPr>
              <w:t xml:space="preserve">phishing</w:t>
            </w:r>
          </w:p>
        </w:tc>
      </w:tr>
      <w:tr>
        <w:tc>
          <w:tcPr>
            <w:tcW w:type="dxa" w:w="1500"/>
          </w:tcPr>
          <w:p>
            <w:pPr>
              <w:spacing w:line="260" w:lineRule="auto"/>
            </w:pPr>
            <w:r>
              <w:rPr>
                <w:rFonts w:ascii="Times New Roman" w:cs="Times New Roman" w:eastAsia="Times New Roman" w:hAnsi="Times New Roman"/>
                <w:b w:val="false"/>
                <w:bCs w:val="false"/>
                <w:sz w:val="20"/>
                <w:szCs w:val="20"/>
              </w:rPr>
              <w:t xml:space="preserve">URL</w:t>
            </w:r>
          </w:p>
        </w:tc>
        <w:tc>
          <w:tcPr>
            <w:tcW w:type="dxa" w:w="2600"/>
          </w:tcPr>
          <w:p>
            <w:pPr>
              <w:spacing w:line="260" w:lineRule="auto"/>
            </w:pPr>
            <w:r>
              <w:rPr>
                <w:rFonts w:ascii="Times New Roman" w:cs="Times New Roman" w:eastAsia="Times New Roman" w:hAnsi="Times New Roman"/>
                <w:b w:val="false"/>
                <w:bCs w:val="false"/>
                <w:sz w:val="20"/>
                <w:szCs w:val="20"/>
              </w:rPr>
              <w:t xml:space="preserve">legitimate</w:t>
            </w:r>
          </w:p>
        </w:tc>
        <w:tc>
          <w:tcPr>
            <w:tcW w:type="dxa" w:w="2500"/>
          </w:tcPr>
          <w:p>
            <w:pPr>
              <w:spacing w:line="260" w:lineRule="auto"/>
            </w:pPr>
            <w:r>
              <w:rPr>
                <w:rFonts w:ascii="Times New Roman" w:cs="Times New Roman" w:eastAsia="Times New Roman" w:hAnsi="Times New Roman"/>
                <w:b w:val="false"/>
                <w:bCs w:val="false"/>
                <w:sz w:val="20"/>
                <w:szCs w:val="20"/>
              </w:rPr>
              <w:t xml:space="preserve">1,116</w:t>
            </w:r>
          </w:p>
        </w:tc>
        <w:tc>
          <w:tcPr>
            <w:tcW w:type="dxa" w:w="2400"/>
          </w:tcPr>
          <w:p>
            <w:pPr>
              <w:spacing w:line="260" w:lineRule="auto"/>
            </w:pPr>
            <w:r>
              <w:rPr>
                <w:rFonts w:ascii="Times New Roman" w:cs="Times New Roman" w:eastAsia="Times New Roman" w:hAnsi="Times New Roman"/>
                <w:b w:val="false"/>
                <w:bCs w:val="false"/>
                <w:sz w:val="20"/>
                <w:szCs w:val="20"/>
              </w:rPr>
              <w:t xml:space="preserve">84</w:t>
            </w:r>
          </w:p>
        </w:tc>
      </w:tr>
      <w:tr>
        <w:tc>
          <w:tcPr>
            <w:tcW w:type="dxa" w:w="1500"/>
          </w:tcPr>
          <w:p>
            <w:pPr>
              <w:spacing w:line="260" w:lineRule="auto"/>
            </w:pPr>
            <w:r>
              <w:rPr>
                <w:rFonts w:ascii="Times New Roman" w:cs="Times New Roman" w:eastAsia="Times New Roman" w:hAnsi="Times New Roman"/>
                <w:b w:val="false"/>
                <w:bCs w:val="false"/>
                <w:sz w:val="20"/>
                <w:szCs w:val="20"/>
              </w:rPr>
              <w:t xml:space="preserve">URL</w:t>
            </w:r>
          </w:p>
        </w:tc>
        <w:tc>
          <w:tcPr>
            <w:tcW w:type="dxa" w:w="2600"/>
          </w:tcPr>
          <w:p>
            <w:pPr>
              <w:spacing w:line="260" w:lineRule="auto"/>
            </w:pPr>
            <w:r>
              <w:rPr>
                <w:rFonts w:ascii="Times New Roman" w:cs="Times New Roman" w:eastAsia="Times New Roman" w:hAnsi="Times New Roman"/>
                <w:b w:val="false"/>
                <w:bCs w:val="false"/>
                <w:sz w:val="20"/>
                <w:szCs w:val="20"/>
              </w:rPr>
              <w:t xml:space="preserve">phishing</w:t>
            </w:r>
          </w:p>
        </w:tc>
        <w:tc>
          <w:tcPr>
            <w:tcW w:type="dxa" w:w="2500"/>
          </w:tcPr>
          <w:p>
            <w:pPr>
              <w:spacing w:line="260" w:lineRule="auto"/>
            </w:pPr>
            <w:r>
              <w:rPr>
                <w:rFonts w:ascii="Times New Roman" w:cs="Times New Roman" w:eastAsia="Times New Roman" w:hAnsi="Times New Roman"/>
                <w:b w:val="false"/>
                <w:bCs w:val="false"/>
                <w:sz w:val="20"/>
                <w:szCs w:val="20"/>
              </w:rPr>
              <w:t xml:space="preserve">206</w:t>
            </w:r>
          </w:p>
        </w:tc>
        <w:tc>
          <w:tcPr>
            <w:tcW w:type="dxa" w:w="2400"/>
          </w:tcPr>
          <w:p>
            <w:pPr>
              <w:spacing w:line="260" w:lineRule="auto"/>
            </w:pPr>
            <w:r>
              <w:rPr>
                <w:rFonts w:ascii="Times New Roman" w:cs="Times New Roman" w:eastAsia="Times New Roman" w:hAnsi="Times New Roman"/>
                <w:b w:val="false"/>
                <w:bCs w:val="false"/>
                <w:sz w:val="20"/>
                <w:szCs w:val="20"/>
              </w:rPr>
              <w:t xml:space="preserve">994</w:t>
            </w:r>
          </w:p>
        </w:tc>
      </w:tr>
      <w:tr>
        <w:tc>
          <w:tcPr>
            <w:tcW w:type="dxa" w:w="1500"/>
          </w:tcPr>
          <w:p>
            <w:pPr>
              <w:spacing w:line="260" w:lineRule="auto"/>
            </w:pPr>
            <w:r>
              <w:rPr>
                <w:rFonts w:ascii="Times New Roman" w:cs="Times New Roman" w:eastAsia="Times New Roman" w:hAnsi="Times New Roman"/>
                <w:b w:val="false"/>
                <w:bCs w:val="false"/>
                <w:sz w:val="20"/>
                <w:szCs w:val="20"/>
              </w:rPr>
              <w:t xml:space="preserve">Email</w:t>
            </w:r>
          </w:p>
        </w:tc>
        <w:tc>
          <w:tcPr>
            <w:tcW w:type="dxa" w:w="2600"/>
          </w:tcPr>
          <w:p>
            <w:pPr>
              <w:spacing w:line="260" w:lineRule="auto"/>
            </w:pPr>
            <w:r>
              <w:rPr>
                <w:rFonts w:ascii="Times New Roman" w:cs="Times New Roman" w:eastAsia="Times New Roman" w:hAnsi="Times New Roman"/>
                <w:b w:val="false"/>
                <w:bCs w:val="false"/>
                <w:sz w:val="20"/>
                <w:szCs w:val="20"/>
              </w:rPr>
              <w:t xml:space="preserve">legitimate</w:t>
            </w:r>
          </w:p>
        </w:tc>
        <w:tc>
          <w:tcPr>
            <w:tcW w:type="dxa" w:w="2500"/>
          </w:tcPr>
          <w:p>
            <w:pPr>
              <w:spacing w:line="260" w:lineRule="auto"/>
            </w:pPr>
            <w:r>
              <w:rPr>
                <w:rFonts w:ascii="Times New Roman" w:cs="Times New Roman" w:eastAsia="Times New Roman" w:hAnsi="Times New Roman"/>
                <w:b w:val="false"/>
                <w:bCs w:val="false"/>
                <w:sz w:val="20"/>
                <w:szCs w:val="20"/>
              </w:rPr>
              <w:t xml:space="preserve">465</w:t>
            </w:r>
          </w:p>
        </w:tc>
        <w:tc>
          <w:tcPr>
            <w:tcW w:type="dxa" w:w="2400"/>
          </w:tcPr>
          <w:p>
            <w:pPr>
              <w:spacing w:line="260" w:lineRule="auto"/>
            </w:pPr>
            <w:r>
              <w:rPr>
                <w:rFonts w:ascii="Times New Roman" w:cs="Times New Roman" w:eastAsia="Times New Roman" w:hAnsi="Times New Roman"/>
                <w:b w:val="false"/>
                <w:bCs w:val="false"/>
                <w:sz w:val="20"/>
                <w:szCs w:val="20"/>
              </w:rPr>
              <w:t xml:space="preserve">135</w:t>
            </w:r>
          </w:p>
        </w:tc>
      </w:tr>
      <w:tr>
        <w:tc>
          <w:tcPr>
            <w:tcW w:type="dxa" w:w="1500"/>
          </w:tcPr>
          <w:p>
            <w:pPr>
              <w:spacing w:line="260" w:lineRule="auto"/>
            </w:pPr>
            <w:r>
              <w:rPr>
                <w:rFonts w:ascii="Times New Roman" w:cs="Times New Roman" w:eastAsia="Times New Roman" w:hAnsi="Times New Roman"/>
                <w:b w:val="false"/>
                <w:bCs w:val="false"/>
                <w:sz w:val="20"/>
                <w:szCs w:val="20"/>
              </w:rPr>
              <w:t xml:space="preserve">Email</w:t>
            </w:r>
          </w:p>
        </w:tc>
        <w:tc>
          <w:tcPr>
            <w:tcW w:type="dxa" w:w="2600"/>
          </w:tcPr>
          <w:p>
            <w:pPr>
              <w:spacing w:line="260" w:lineRule="auto"/>
            </w:pPr>
            <w:r>
              <w:rPr>
                <w:rFonts w:ascii="Times New Roman" w:cs="Times New Roman" w:eastAsia="Times New Roman" w:hAnsi="Times New Roman"/>
                <w:b w:val="false"/>
                <w:bCs w:val="false"/>
                <w:sz w:val="20"/>
                <w:szCs w:val="20"/>
              </w:rPr>
              <w:t xml:space="preserve">phishing</w:t>
            </w:r>
          </w:p>
        </w:tc>
        <w:tc>
          <w:tcPr>
            <w:tcW w:type="dxa" w:w="2500"/>
          </w:tcPr>
          <w:p>
            <w:pPr>
              <w:spacing w:line="260" w:lineRule="auto"/>
            </w:pPr>
            <w:r>
              <w:rPr>
                <w:rFonts w:ascii="Times New Roman" w:cs="Times New Roman" w:eastAsia="Times New Roman" w:hAnsi="Times New Roman"/>
                <w:b w:val="false"/>
                <w:bCs w:val="false"/>
                <w:sz w:val="20"/>
                <w:szCs w:val="20"/>
              </w:rPr>
              <w:t xml:space="preserve">120</w:t>
            </w:r>
          </w:p>
        </w:tc>
        <w:tc>
          <w:tcPr>
            <w:tcW w:type="dxa" w:w="2400"/>
          </w:tcPr>
          <w:p>
            <w:pPr>
              <w:spacing w:line="260" w:lineRule="auto"/>
            </w:pPr>
            <w:r>
              <w:rPr>
                <w:rFonts w:ascii="Times New Roman" w:cs="Times New Roman" w:eastAsia="Times New Roman" w:hAnsi="Times New Roman"/>
                <w:b w:val="false"/>
                <w:bCs w:val="false"/>
                <w:sz w:val="20"/>
                <w:szCs w:val="20"/>
              </w:rPr>
              <w:t xml:space="preserve">480</w:t>
            </w:r>
          </w:p>
        </w:tc>
      </w:tr>
    </w:tbl>
    <w:p>
      <w:pPr>
        <w:spacing w:after="100"/>
      </w:pPr>
    </w:p>
    <w:p>
      <w:pPr>
        <w:spacing w:after="200" w:line="300" w:lineRule="auto"/>
        <w:jc w:val="both"/>
      </w:pPr>
      <w:r>
        <w:rPr>
          <w:rFonts w:ascii="Times New Roman" w:cs="Times New Roman" w:eastAsia="Times New Roman" w:hAnsi="Times New Roman"/>
          <w:sz w:val="24"/>
          <w:szCs w:val="24"/>
        </w:rPr>
        <w:t xml:space="preserve">For the URL classifier, the five most influential features by Gini importance were num_subdomains (0.244), url_length (0.157), num_dots (0.156), domain_entropy (0.136), and domain_length (0.125) — a spread that lines up with the lexical/structural feature families Sahingoz et al. (2019) also found predictive. For the email classifier, the top five were non_alpha_ratio (0.312), word_count (0.265), exclamation_count (0.225), attachment_keyword (0.105), and urgent_keyword_count (0.036) — a distribution leaning noticeably on writing-style statistics rather than header-authenticity signals, for the reason flagged in Section 4.2.1: the substituted training corpus has no header data to learn from.</w:t>
      </w:r>
    </w:p>
    <w:p>
      <w:pPr>
        <w:pStyle w:val="Heading3"/>
        <w:spacing w:after="120" w:before="240" w:line="300" w:lineRule="auto"/>
      </w:pPr>
      <w:r>
        <w:rPr>
          <w:rFonts w:ascii="Times New Roman" w:cs="Times New Roman" w:eastAsia="Times New Roman" w:hAnsi="Times New Roman"/>
          <w:b/>
          <w:bCs/>
          <w:i/>
          <w:iCs/>
          <w:sz w:val="24"/>
          <w:szCs w:val="24"/>
        </w:rPr>
        <w:t xml:space="preserve">Performance measurement</w:t>
      </w:r>
    </w:p>
    <w:p>
      <w:pPr>
        <w:spacing w:after="200" w:line="300" w:lineRule="auto"/>
        <w:jc w:val="both"/>
      </w:pPr>
      <w:r>
        <w:rPr>
          <w:rFonts w:ascii="Times New Roman" w:cs="Times New Roman" w:eastAsia="Times New Roman" w:hAnsi="Times New Roman"/>
          <w:sz w:val="24"/>
          <w:szCs w:val="24"/>
        </w:rPr>
        <w:t xml:space="preserve">As reported in Chapter Four, the full pipeline loads once in roughly 2.2 seconds and thereafter analyses a single submission — feature extraction, both explanations, and translation — in about 0.3 seconds, well inside NFR1's target on unremarkable, GPU-free hardware.</w:t>
      </w:r>
    </w:p>
    <w:p>
      <w:pPr>
        <w:pStyle w:val="Heading3"/>
        <w:spacing w:after="120" w:before="240" w:line="300" w:lineRule="auto"/>
      </w:pPr>
      <w:r>
        <w:rPr>
          <w:rFonts w:ascii="Times New Roman" w:cs="Times New Roman" w:eastAsia="Times New Roman" w:hAnsi="Times New Roman"/>
          <w:b/>
          <w:bCs/>
          <w:i/>
          <w:iCs/>
          <w:sz w:val="24"/>
          <w:szCs w:val="24"/>
        </w:rPr>
        <w:t xml:space="preserve">System output examples</w:t>
      </w:r>
    </w:p>
    <w:p>
      <w:pPr>
        <w:spacing w:after="200" w:line="300" w:lineRule="auto"/>
        <w:jc w:val="both"/>
      </w:pPr>
      <w:r>
        <w:rPr>
          <w:rFonts w:ascii="Times New Roman" w:cs="Times New Roman" w:eastAsia="Times New Roman" w:hAnsi="Times New Roman"/>
          <w:sz w:val="24"/>
          <w:szCs w:val="24"/>
        </w:rPr>
        <w:t xml:space="preserve">Table 5.3 reproduces four representative comparisons between raw SHAP output and the translated sentence, drawn from the evaluation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2400"/>
        <w:gridCol w:w="3400"/>
      </w:tblGrid>
      <w:tr>
        <w:trPr>
          <w:tblHeader/>
        </w:trPr>
        <w:tc>
          <w:tcPr>
            <w:tcW w:type="dxa" w:w="2100"/>
            <w:shd w:fill="1F3864" w:val="clear"/>
          </w:tcPr>
          <w:p>
            <w:pPr>
              <w:spacing w:line="260" w:lineRule="auto"/>
            </w:pPr>
            <w:r>
              <w:rPr>
                <w:rFonts w:ascii="Times New Roman" w:cs="Times New Roman" w:eastAsia="Times New Roman" w:hAnsi="Times New Roman"/>
                <w:b/>
                <w:bCs/>
                <w:color w:val="FFFFFF"/>
                <w:sz w:val="20"/>
                <w:szCs w:val="20"/>
              </w:rPr>
              <w:t xml:space="preserve">Input</w:t>
            </w:r>
          </w:p>
        </w:tc>
        <w:tc>
          <w:tcPr>
            <w:tcW w:type="dxa" w:w="1100"/>
            <w:shd w:fill="1F3864" w:val="clear"/>
          </w:tcPr>
          <w:p>
            <w:pPr>
              <w:spacing w:line="260" w:lineRule="auto"/>
            </w:pPr>
            <w:r>
              <w:rPr>
                <w:rFonts w:ascii="Times New Roman" w:cs="Times New Roman" w:eastAsia="Times New Roman" w:hAnsi="Times New Roman"/>
                <w:b/>
                <w:bCs/>
                <w:color w:val="FFFFFF"/>
                <w:sz w:val="20"/>
                <w:szCs w:val="20"/>
              </w:rPr>
              <w:t xml:space="preserve">Verdict</w:t>
            </w:r>
          </w:p>
        </w:tc>
        <w:tc>
          <w:tcPr>
            <w:tcW w:type="dxa" w:w="2400"/>
            <w:shd w:fill="1F3864" w:val="clear"/>
          </w:tcPr>
          <w:p>
            <w:pPr>
              <w:spacing w:line="260" w:lineRule="auto"/>
            </w:pPr>
            <w:r>
              <w:rPr>
                <w:rFonts w:ascii="Times New Roman" w:cs="Times New Roman" w:eastAsia="Times New Roman" w:hAnsi="Times New Roman"/>
                <w:b/>
                <w:bCs/>
                <w:color w:val="FFFFFF"/>
                <w:sz w:val="20"/>
                <w:szCs w:val="20"/>
              </w:rPr>
              <w:t xml:space="preserve">Raw SHAP output</w:t>
            </w:r>
          </w:p>
        </w:tc>
        <w:tc>
          <w:tcPr>
            <w:tcW w:type="dxa" w:w="3400"/>
            <w:shd w:fill="1F3864" w:val="clear"/>
          </w:tcPr>
          <w:p>
            <w:pPr>
              <w:spacing w:line="260" w:lineRule="auto"/>
            </w:pPr>
            <w:r>
              <w:rPr>
                <w:rFonts w:ascii="Times New Roman" w:cs="Times New Roman" w:eastAsia="Times New Roman" w:hAnsi="Times New Roman"/>
                <w:b/>
                <w:bCs/>
                <w:color w:val="FFFFFF"/>
                <w:sz w:val="20"/>
                <w:szCs w:val="20"/>
              </w:rPr>
              <w:t xml:space="preserve">Plain-language translation</w:t>
            </w:r>
          </w:p>
        </w:tc>
      </w:tr>
      <w:tr>
        <w:tc>
          <w:tcPr>
            <w:tcW w:type="dxa" w:w="2100"/>
          </w:tcPr>
          <w:p>
            <w:pPr>
              <w:spacing w:line="260" w:lineRule="auto"/>
            </w:pPr>
            <w:r>
              <w:rPr>
                <w:rFonts w:ascii="Times New Roman" w:cs="Times New Roman" w:eastAsia="Times New Roman" w:hAnsi="Times New Roman"/>
                <w:b w:val="false"/>
                <w:bCs w:val="false"/>
                <w:sz w:val="20"/>
                <w:szCs w:val="20"/>
              </w:rPr>
              <w:t xml:space="preserve">http://faceb00k-security-verify.tk/login</w:t>
            </w:r>
          </w:p>
        </w:tc>
        <w:tc>
          <w:tcPr>
            <w:tcW w:type="dxa" w:w="1100"/>
          </w:tcPr>
          <w:p>
            <w:pPr>
              <w:spacing w:line="260" w:lineRule="auto"/>
            </w:pPr>
            <w:r>
              <w:rPr>
                <w:rFonts w:ascii="Times New Roman" w:cs="Times New Roman" w:eastAsia="Times New Roman" w:hAnsi="Times New Roman"/>
                <w:b w:val="false"/>
                <w:bCs w:val="false"/>
                <w:sz w:val="20"/>
                <w:szCs w:val="20"/>
              </w:rPr>
              <w:t xml:space="preserve">phishing (96%)</w:t>
            </w:r>
          </w:p>
        </w:tc>
        <w:tc>
          <w:tcPr>
            <w:tcW w:type="dxa" w:w="2400"/>
          </w:tcPr>
          <w:p>
            <w:pPr>
              <w:spacing w:line="260" w:lineRule="auto"/>
            </w:pPr>
            <w:r>
              <w:rPr>
                <w:rFonts w:ascii="Times New Roman" w:cs="Times New Roman" w:eastAsia="Times New Roman" w:hAnsi="Times New Roman"/>
                <w:b w:val="false"/>
                <w:bCs w:val="false"/>
                <w:sz w:val="20"/>
                <w:szCs w:val="20"/>
              </w:rPr>
              <w:t xml:space="preserve">suspicious_tld: +0.080, url_length: +0.067, domain_length: +0.055</w:t>
            </w:r>
          </w:p>
        </w:tc>
        <w:tc>
          <w:tcPr>
            <w:tcW w:type="dxa" w:w="3400"/>
          </w:tcPr>
          <w:p>
            <w:pPr>
              <w:spacing w:line="260" w:lineRule="auto"/>
            </w:pPr>
            <w:r>
              <w:rPr>
                <w:rFonts w:ascii="Times New Roman" w:cs="Times New Roman" w:eastAsia="Times New Roman" w:hAnsi="Times New Roman"/>
                <w:b w:val="false"/>
                <w:bCs w:val="false"/>
                <w:sz w:val="20"/>
                <w:szCs w:val="20"/>
              </w:rPr>
              <w:t xml:space="preserve">This web link was flagged as PHISHING with 96% confidence because it uses an unusual, high-risk domain ending, has an unusually long web address (40 characters), and has an unusually long domain name (27 characters).</w:t>
            </w:r>
          </w:p>
        </w:tc>
      </w:tr>
      <w:tr>
        <w:tc>
          <w:tcPr>
            <w:tcW w:type="dxa" w:w="2100"/>
          </w:tcPr>
          <w:p>
            <w:pPr>
              <w:spacing w:line="260" w:lineRule="auto"/>
            </w:pPr>
            <w:r>
              <w:rPr>
                <w:rFonts w:ascii="Times New Roman" w:cs="Times New Roman" w:eastAsia="Times New Roman" w:hAnsi="Times New Roman"/>
                <w:b w:val="false"/>
                <w:bCs w:val="false"/>
                <w:sz w:val="20"/>
                <w:szCs w:val="20"/>
              </w:rPr>
              <w:t xml:space="preserve">https://www.wikipedia.org/</w:t>
            </w:r>
          </w:p>
        </w:tc>
        <w:tc>
          <w:tcPr>
            <w:tcW w:type="dxa" w:w="1100"/>
          </w:tcPr>
          <w:p>
            <w:pPr>
              <w:spacing w:line="260" w:lineRule="auto"/>
            </w:pPr>
            <w:r>
              <w:rPr>
                <w:rFonts w:ascii="Times New Roman" w:cs="Times New Roman" w:eastAsia="Times New Roman" w:hAnsi="Times New Roman"/>
                <w:b w:val="false"/>
                <w:bCs w:val="false"/>
                <w:sz w:val="20"/>
                <w:szCs w:val="20"/>
              </w:rPr>
              <w:t xml:space="preserve">legitimate (high)</w:t>
            </w:r>
          </w:p>
        </w:tc>
        <w:tc>
          <w:tcPr>
            <w:tcW w:type="dxa" w:w="2400"/>
          </w:tcPr>
          <w:p>
            <w:pPr>
              <w:spacing w:line="260" w:lineRule="auto"/>
            </w:pPr>
            <w:r>
              <w:rPr>
                <w:rFonts w:ascii="Times New Roman" w:cs="Times New Roman" w:eastAsia="Times New Roman" w:hAnsi="Times New Roman"/>
                <w:b w:val="false"/>
                <w:bCs w:val="false"/>
                <w:sz w:val="20"/>
                <w:szCs w:val="20"/>
              </w:rPr>
              <w:t xml:space="preserve">num_subdomains: −0.108, url_length: −0.070, domain_length: −0.058</w:t>
            </w:r>
          </w:p>
        </w:tc>
        <w:tc>
          <w:tcPr>
            <w:tcW w:type="dxa" w:w="3400"/>
          </w:tcPr>
          <w:p>
            <w:pPr>
              <w:spacing w:line="260" w:lineRule="auto"/>
            </w:pPr>
            <w:r>
              <w:rPr>
                <w:rFonts w:ascii="Times New Roman" w:cs="Times New Roman" w:eastAsia="Times New Roman" w:hAnsi="Times New Roman"/>
                <w:b w:val="false"/>
                <w:bCs w:val="false"/>
                <w:sz w:val="20"/>
                <w:szCs w:val="20"/>
              </w:rPr>
              <w:t xml:space="preserve">This web link looks LEGITIMATE with high confidence: it has a simple, normal domain structure, uses a common, mainstream domain ending, and does not mix unusual digits into the web address.</w:t>
            </w:r>
          </w:p>
        </w:tc>
      </w:tr>
      <w:tr>
        <w:tc>
          <w:tcPr>
            <w:tcW w:type="dxa" w:w="2100"/>
          </w:tcPr>
          <w:p>
            <w:pPr>
              <w:spacing w:line="260" w:lineRule="auto"/>
            </w:pPr>
            <w:r>
              <w:rPr>
                <w:rFonts w:ascii="Times New Roman" w:cs="Times New Roman" w:eastAsia="Times New Roman" w:hAnsi="Times New Roman"/>
                <w:b w:val="false"/>
                <w:bCs w:val="false"/>
                <w:sz w:val="20"/>
                <w:szCs w:val="20"/>
              </w:rPr>
              <w:t xml:space="preserve">"URGENT: Verify your account NOW" (suspension email)</w:t>
            </w:r>
          </w:p>
        </w:tc>
        <w:tc>
          <w:tcPr>
            <w:tcW w:type="dxa" w:w="1100"/>
          </w:tcPr>
          <w:p>
            <w:pPr>
              <w:spacing w:line="260" w:lineRule="auto"/>
            </w:pPr>
            <w:r>
              <w:rPr>
                <w:rFonts w:ascii="Times New Roman" w:cs="Times New Roman" w:eastAsia="Times New Roman" w:hAnsi="Times New Roman"/>
                <w:b w:val="false"/>
                <w:bCs w:val="false"/>
                <w:sz w:val="20"/>
                <w:szCs w:val="20"/>
              </w:rPr>
              <w:t xml:space="preserve">phishing (91%)</w:t>
            </w:r>
          </w:p>
        </w:tc>
        <w:tc>
          <w:tcPr>
            <w:tcW w:type="dxa" w:w="2400"/>
          </w:tcPr>
          <w:p>
            <w:pPr>
              <w:spacing w:line="260" w:lineRule="auto"/>
            </w:pPr>
            <w:r>
              <w:rPr>
                <w:rFonts w:ascii="Times New Roman" w:cs="Times New Roman" w:eastAsia="Times New Roman" w:hAnsi="Times New Roman"/>
                <w:b w:val="false"/>
                <w:bCs w:val="false"/>
                <w:sz w:val="20"/>
                <w:szCs w:val="20"/>
              </w:rPr>
              <w:t xml:space="preserve">exclamation_count: +0.163, urgent_keyword_count: +0.142</w:t>
            </w:r>
          </w:p>
        </w:tc>
        <w:tc>
          <w:tcPr>
            <w:tcW w:type="dxa" w:w="3400"/>
          </w:tcPr>
          <w:p>
            <w:pPr>
              <w:spacing w:line="260" w:lineRule="auto"/>
            </w:pPr>
            <w:r>
              <w:rPr>
                <w:rFonts w:ascii="Times New Roman" w:cs="Times New Roman" w:eastAsia="Times New Roman" w:hAnsi="Times New Roman"/>
                <w:b w:val="false"/>
                <w:bCs w:val="false"/>
                <w:sz w:val="20"/>
                <w:szCs w:val="20"/>
              </w:rPr>
              <w:t xml:space="preserve">This email was flagged as PHISHING with 91% confidence because it uses excessive exclamation marks to create urgency, uses urgent, pressuring language, and uses a generic greeting instead of your real name.</w:t>
            </w:r>
          </w:p>
        </w:tc>
      </w:tr>
      <w:tr>
        <w:tc>
          <w:tcPr>
            <w:tcW w:type="dxa" w:w="2100"/>
          </w:tcPr>
          <w:p>
            <w:pPr>
              <w:spacing w:line="260" w:lineRule="auto"/>
            </w:pPr>
            <w:r>
              <w:rPr>
                <w:rFonts w:ascii="Times New Roman" w:cs="Times New Roman" w:eastAsia="Times New Roman" w:hAnsi="Times New Roman"/>
                <w:b w:val="false"/>
                <w:bCs w:val="false"/>
                <w:sz w:val="20"/>
                <w:szCs w:val="20"/>
              </w:rPr>
              <w:t xml:space="preserve">"Notes from yesterday's planning meeting" (internal email)</w:t>
            </w:r>
          </w:p>
        </w:tc>
        <w:tc>
          <w:tcPr>
            <w:tcW w:type="dxa" w:w="1100"/>
          </w:tcPr>
          <w:p>
            <w:pPr>
              <w:spacing w:line="260" w:lineRule="auto"/>
            </w:pPr>
            <w:r>
              <w:rPr>
                <w:rFonts w:ascii="Times New Roman" w:cs="Times New Roman" w:eastAsia="Times New Roman" w:hAnsi="Times New Roman"/>
                <w:b w:val="false"/>
                <w:bCs w:val="false"/>
                <w:sz w:val="20"/>
                <w:szCs w:val="20"/>
              </w:rPr>
              <w:t xml:space="preserve">legitimate (97%)</w:t>
            </w:r>
          </w:p>
        </w:tc>
        <w:tc>
          <w:tcPr>
            <w:tcW w:type="dxa" w:w="2400"/>
          </w:tcPr>
          <w:p>
            <w:pPr>
              <w:spacing w:line="260" w:lineRule="auto"/>
            </w:pPr>
            <w:r>
              <w:rPr>
                <w:rFonts w:ascii="Times New Roman" w:cs="Times New Roman" w:eastAsia="Times New Roman" w:hAnsi="Times New Roman"/>
                <w:b w:val="false"/>
                <w:bCs w:val="false"/>
                <w:sz w:val="20"/>
                <w:szCs w:val="20"/>
              </w:rPr>
              <w:t xml:space="preserve">exclamation_count: −0.157, urgent_keyword_count: −0.030</w:t>
            </w:r>
          </w:p>
        </w:tc>
        <w:tc>
          <w:tcPr>
            <w:tcW w:type="dxa" w:w="3400"/>
          </w:tcPr>
          <w:p>
            <w:pPr>
              <w:spacing w:line="260" w:lineRule="auto"/>
            </w:pPr>
            <w:r>
              <w:rPr>
                <w:rFonts w:ascii="Times New Roman" w:cs="Times New Roman" w:eastAsia="Times New Roman" w:hAnsi="Times New Roman"/>
                <w:b w:val="false"/>
                <w:bCs w:val="false"/>
                <w:sz w:val="20"/>
                <w:szCs w:val="20"/>
              </w:rPr>
              <w:t xml:space="preserve">This email looks LEGITIMATE with 97% confidence: it is written in a calm, measured tone, does not use urgent or pressuring language, and addresses the recipient normally rather than with a generic greeting.</w:t>
            </w:r>
          </w:p>
        </w:tc>
      </w:tr>
    </w:tbl>
    <w:p>
      <w:pPr>
        <w:pStyle w:val="Heading2"/>
        <w:spacing w:after="160" w:before="320" w:line="300" w:lineRule="auto"/>
      </w:pPr>
      <w:r>
        <w:rPr>
          <w:rFonts w:ascii="Times New Roman" w:cs="Times New Roman" w:eastAsia="Times New Roman" w:hAnsi="Times New Roman"/>
          <w:b/>
          <w:bCs/>
          <w:sz w:val="26"/>
          <w:szCs w:val="26"/>
        </w:rPr>
        <w:t xml:space="preserve">5.3 Evaluation of Objectives</w:t>
      </w:r>
    </w:p>
    <w:p>
      <w:pPr>
        <w:spacing w:after="200" w:line="300" w:lineRule="auto"/>
        <w:jc w:val="both"/>
      </w:pPr>
      <w:r>
        <w:rPr>
          <w:rFonts w:ascii="Times New Roman" w:cs="Times New Roman" w:eastAsia="Times New Roman" w:hAnsi="Times New Roman"/>
          <w:sz w:val="24"/>
          <w:szCs w:val="24"/>
        </w:rPr>
        <w:t xml:space="preserve">Table 5.4 maps the five objectives from Chapter One against what this implementation and testing phase actually produced as evidence.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600"/>
        <w:gridCol w:w="1900"/>
      </w:tblGrid>
      <w:tr>
        <w:trPr>
          <w:tblHeader/>
        </w:trPr>
        <w:tc>
          <w:tcPr>
            <w:tcW w:type="dxa" w:w="500"/>
            <w:shd w:fill="1F3864" w:val="clear"/>
          </w:tcPr>
          <w:p>
            <w:pPr>
              <w:spacing w:line="260" w:lineRule="auto"/>
            </w:pPr>
            <w:r>
              <w:rPr>
                <w:rFonts w:ascii="Times New Roman" w:cs="Times New Roman" w:eastAsia="Times New Roman" w:hAnsi="Times New Roman"/>
                <w:b/>
                <w:bCs/>
                <w:color w:val="FFFFFF"/>
                <w:sz w:val="20"/>
                <w:szCs w:val="20"/>
              </w:rPr>
              <w:t xml:space="preserve">#</w:t>
            </w:r>
          </w:p>
        </w:tc>
        <w:tc>
          <w:tcPr>
            <w:tcW w:type="dxa" w:w="2400"/>
            <w:shd w:fill="1F3864" w:val="clear"/>
          </w:tcPr>
          <w:p>
            <w:pPr>
              <w:spacing w:line="260" w:lineRule="auto"/>
            </w:pPr>
            <w:r>
              <w:rPr>
                <w:rFonts w:ascii="Times New Roman" w:cs="Times New Roman" w:eastAsia="Times New Roman" w:hAnsi="Times New Roman"/>
                <w:b/>
                <w:bCs/>
                <w:color w:val="FFFFFF"/>
                <w:sz w:val="20"/>
                <w:szCs w:val="20"/>
              </w:rPr>
              <w:t xml:space="preserve">Objective</w:t>
            </w:r>
          </w:p>
        </w:tc>
        <w:tc>
          <w:tcPr>
            <w:tcW w:type="dxa" w:w="3600"/>
            <w:shd w:fill="1F3864" w:val="clear"/>
          </w:tcPr>
          <w:p>
            <w:pPr>
              <w:spacing w:line="260" w:lineRule="auto"/>
            </w:pPr>
            <w:r>
              <w:rPr>
                <w:rFonts w:ascii="Times New Roman" w:cs="Times New Roman" w:eastAsia="Times New Roman" w:hAnsi="Times New Roman"/>
                <w:b/>
                <w:bCs/>
                <w:color w:val="FFFFFF"/>
                <w:sz w:val="20"/>
                <w:szCs w:val="20"/>
              </w:rPr>
              <w:t xml:space="preserve">Evidence</w:t>
            </w:r>
          </w:p>
        </w:tc>
        <w:tc>
          <w:tcPr>
            <w:tcW w:type="dxa" w:w="1900"/>
            <w:shd w:fill="1F3864" w:val="clear"/>
          </w:tcPr>
          <w:p>
            <w:pPr>
              <w:spacing w:line="260" w:lineRule="auto"/>
            </w:pPr>
            <w:r>
              <w:rPr>
                <w:rFonts w:ascii="Times New Roman" w:cs="Times New Roman" w:eastAsia="Times New Roman" w:hAnsi="Times New Roman"/>
                <w:b/>
                <w:bCs/>
                <w:color w:val="FFFFFF"/>
                <w:sz w:val="20"/>
                <w:szCs w:val="20"/>
              </w:rPr>
              <w:t xml:space="preserve">Status</w:t>
            </w:r>
          </w:p>
        </w:tc>
      </w:tr>
      <w:tr>
        <w:tc>
          <w:tcPr>
            <w:tcW w:type="dxa" w:w="500"/>
          </w:tcPr>
          <w:p>
            <w:pPr>
              <w:spacing w:line="260" w:lineRule="auto"/>
            </w:pPr>
            <w:r>
              <w:rPr>
                <w:rFonts w:ascii="Times New Roman" w:cs="Times New Roman" w:eastAsia="Times New Roman" w:hAnsi="Times New Roman"/>
                <w:b w:val="false"/>
                <w:bCs w:val="false"/>
                <w:sz w:val="20"/>
                <w:szCs w:val="20"/>
              </w:rPr>
              <w:t xml:space="preserve">I</w:t>
            </w:r>
          </w:p>
        </w:tc>
        <w:tc>
          <w:tcPr>
            <w:tcW w:type="dxa" w:w="2400"/>
          </w:tcPr>
          <w:p>
            <w:pPr>
              <w:spacing w:line="260" w:lineRule="auto"/>
            </w:pPr>
            <w:r>
              <w:rPr>
                <w:rFonts w:ascii="Times New Roman" w:cs="Times New Roman" w:eastAsia="Times New Roman" w:hAnsi="Times New Roman"/>
                <w:b w:val="false"/>
                <w:bCs w:val="false"/>
                <w:sz w:val="20"/>
                <w:szCs w:val="20"/>
              </w:rPr>
              <w:t xml:space="preserve">Examine XAI methods and their limitations for non-experts</w:t>
            </w:r>
          </w:p>
        </w:tc>
        <w:tc>
          <w:tcPr>
            <w:tcW w:type="dxa" w:w="3600"/>
          </w:tcPr>
          <w:p>
            <w:pPr>
              <w:spacing w:line="260" w:lineRule="auto"/>
            </w:pPr>
            <w:r>
              <w:rPr>
                <w:rFonts w:ascii="Times New Roman" w:cs="Times New Roman" w:eastAsia="Times New Roman" w:hAnsi="Times New Roman"/>
                <w:b w:val="false"/>
                <w:bCs w:val="false"/>
                <w:sz w:val="20"/>
                <w:szCs w:val="20"/>
              </w:rPr>
              <w:t xml:space="preserve">Chapter Two review, confirmed empirically: raw SHAP/LIME text scored −38.9 to +13.9 on Flesch Reading Ease (very difficult to fairly difficult) versus +34.6 to +37.3 for translated sentences</w:t>
            </w:r>
          </w:p>
        </w:tc>
        <w:tc>
          <w:tcPr>
            <w:tcW w:type="dxa" w:w="1900"/>
          </w:tcPr>
          <w:p>
            <w:pPr>
              <w:spacing w:line="260" w:lineRule="auto"/>
            </w:pPr>
            <w:r>
              <w:rPr>
                <w:rFonts w:ascii="Times New Roman" w:cs="Times New Roman" w:eastAsia="Times New Roman" w:hAnsi="Times New Roman"/>
                <w:b w:val="false"/>
                <w:bCs w:val="false"/>
                <w:sz w:val="20"/>
                <w:szCs w:val="20"/>
              </w:rPr>
              <w:t xml:space="preserve">Achieved</w:t>
            </w:r>
          </w:p>
        </w:tc>
      </w:tr>
      <w:tr>
        <w:tc>
          <w:tcPr>
            <w:tcW w:type="dxa" w:w="500"/>
          </w:tcPr>
          <w:p>
            <w:pPr>
              <w:spacing w:line="260" w:lineRule="auto"/>
            </w:pPr>
            <w:r>
              <w:rPr>
                <w:rFonts w:ascii="Times New Roman" w:cs="Times New Roman" w:eastAsia="Times New Roman" w:hAnsi="Times New Roman"/>
                <w:b w:val="false"/>
                <w:bCs w:val="false"/>
                <w:sz w:val="20"/>
                <w:szCs w:val="20"/>
              </w:rPr>
              <w:t xml:space="preserve">II</w:t>
            </w:r>
          </w:p>
        </w:tc>
        <w:tc>
          <w:tcPr>
            <w:tcW w:type="dxa" w:w="2400"/>
          </w:tcPr>
          <w:p>
            <w:pPr>
              <w:spacing w:line="260" w:lineRule="auto"/>
            </w:pPr>
            <w:r>
              <w:rPr>
                <w:rFonts w:ascii="Times New Roman" w:cs="Times New Roman" w:eastAsia="Times New Roman" w:hAnsi="Times New Roman"/>
                <w:b w:val="false"/>
                <w:bCs w:val="false"/>
                <w:sz w:val="20"/>
                <w:szCs w:val="20"/>
              </w:rPr>
              <w:t xml:space="preserve">Build phishing classifiers returning SHAP/LIME values</w:t>
            </w:r>
          </w:p>
        </w:tc>
        <w:tc>
          <w:tcPr>
            <w:tcW w:type="dxa" w:w="3600"/>
          </w:tcPr>
          <w:p>
            <w:pPr>
              <w:spacing w:line="260" w:lineRule="auto"/>
            </w:pPr>
            <w:r>
              <w:rPr>
                <w:rFonts w:ascii="Times New Roman" w:cs="Times New Roman" w:eastAsia="Times New Roman" w:hAnsi="Times New Roman"/>
                <w:b w:val="false"/>
                <w:bCs w:val="false"/>
                <w:sz w:val="20"/>
                <w:szCs w:val="20"/>
              </w:rPr>
              <w:t xml:space="preserve">Two Random Forests (88.1% / 78.8% test accuracy) with working SHAP TreeExplainer and LIME TabularExplainer on every prediction</w:t>
            </w:r>
          </w:p>
        </w:tc>
        <w:tc>
          <w:tcPr>
            <w:tcW w:type="dxa" w:w="1900"/>
          </w:tcPr>
          <w:p>
            <w:pPr>
              <w:spacing w:line="260" w:lineRule="auto"/>
            </w:pPr>
            <w:r>
              <w:rPr>
                <w:rFonts w:ascii="Times New Roman" w:cs="Times New Roman" w:eastAsia="Times New Roman" w:hAnsi="Times New Roman"/>
                <w:b w:val="false"/>
                <w:bCs w:val="false"/>
                <w:sz w:val="20"/>
                <w:szCs w:val="20"/>
              </w:rPr>
              <w:t xml:space="preserve">Achieved</w:t>
            </w:r>
          </w:p>
        </w:tc>
      </w:tr>
      <w:tr>
        <w:tc>
          <w:tcPr>
            <w:tcW w:type="dxa" w:w="500"/>
          </w:tcPr>
          <w:p>
            <w:pPr>
              <w:spacing w:line="260" w:lineRule="auto"/>
            </w:pPr>
            <w:r>
              <w:rPr>
                <w:rFonts w:ascii="Times New Roman" w:cs="Times New Roman" w:eastAsia="Times New Roman" w:hAnsi="Times New Roman"/>
                <w:b w:val="false"/>
                <w:bCs w:val="false"/>
                <w:sz w:val="20"/>
                <w:szCs w:val="20"/>
              </w:rPr>
              <w:t xml:space="preserve">III</w:t>
            </w:r>
          </w:p>
        </w:tc>
        <w:tc>
          <w:tcPr>
            <w:tcW w:type="dxa" w:w="2400"/>
          </w:tcPr>
          <w:p>
            <w:pPr>
              <w:spacing w:line="260" w:lineRule="auto"/>
            </w:pPr>
            <w:r>
              <w:rPr>
                <w:rFonts w:ascii="Times New Roman" w:cs="Times New Roman" w:eastAsia="Times New Roman" w:hAnsi="Times New Roman"/>
                <w:b w:val="false"/>
                <w:bCs w:val="false"/>
                <w:sz w:val="20"/>
                <w:szCs w:val="20"/>
              </w:rPr>
              <w:t xml:space="preserve">Build a translation tool converting SHAP/LIME into one explanation</w:t>
            </w:r>
          </w:p>
        </w:tc>
        <w:tc>
          <w:tcPr>
            <w:tcW w:type="dxa" w:w="3600"/>
          </w:tcPr>
          <w:p>
            <w:pPr>
              <w:spacing w:line="260" w:lineRule="auto"/>
            </w:pPr>
            <w:r>
              <w:rPr>
                <w:rFonts w:ascii="Times New Roman" w:cs="Times New Roman" w:eastAsia="Times New Roman" w:hAnsi="Times New Roman"/>
                <w:b w:val="false"/>
                <w:bCs w:val="false"/>
                <w:sz w:val="20"/>
                <w:szCs w:val="20"/>
              </w:rPr>
              <w:t xml:space="preserve">Prompt-engineered, dual-XAI-reconciling translation layer with a coherence filter; pluggable to a real local LLM</w:t>
            </w:r>
          </w:p>
        </w:tc>
        <w:tc>
          <w:tcPr>
            <w:tcW w:type="dxa" w:w="1900"/>
          </w:tcPr>
          <w:p>
            <w:pPr>
              <w:spacing w:line="260" w:lineRule="auto"/>
            </w:pPr>
            <w:r>
              <w:rPr>
                <w:rFonts w:ascii="Times New Roman" w:cs="Times New Roman" w:eastAsia="Times New Roman" w:hAnsi="Times New Roman"/>
                <w:b w:val="false"/>
                <w:bCs w:val="false"/>
                <w:sz w:val="20"/>
                <w:szCs w:val="20"/>
              </w:rPr>
              <w:t xml:space="preserve">Achieved</w:t>
            </w:r>
          </w:p>
        </w:tc>
      </w:tr>
      <w:tr>
        <w:tc>
          <w:tcPr>
            <w:tcW w:type="dxa" w:w="500"/>
          </w:tcPr>
          <w:p>
            <w:pPr>
              <w:spacing w:line="260" w:lineRule="auto"/>
            </w:pPr>
            <w:r>
              <w:rPr>
                <w:rFonts w:ascii="Times New Roman" w:cs="Times New Roman" w:eastAsia="Times New Roman" w:hAnsi="Times New Roman"/>
                <w:b w:val="false"/>
                <w:bCs w:val="false"/>
                <w:sz w:val="20"/>
                <w:szCs w:val="20"/>
              </w:rPr>
              <w:t xml:space="preserve">IV</w:t>
            </w:r>
          </w:p>
        </w:tc>
        <w:tc>
          <w:tcPr>
            <w:tcW w:type="dxa" w:w="2400"/>
          </w:tcPr>
          <w:p>
            <w:pPr>
              <w:spacing w:line="260" w:lineRule="auto"/>
            </w:pPr>
            <w:r>
              <w:rPr>
                <w:rFonts w:ascii="Times New Roman" w:cs="Times New Roman" w:eastAsia="Times New Roman" w:hAnsi="Times New Roman"/>
                <w:b w:val="false"/>
                <w:bCs w:val="false"/>
                <w:sz w:val="20"/>
                <w:szCs w:val="20"/>
              </w:rPr>
              <w:t xml:space="preserve">Integrate into a working prototype with a UI</w:t>
            </w:r>
          </w:p>
        </w:tc>
        <w:tc>
          <w:tcPr>
            <w:tcW w:type="dxa" w:w="3600"/>
          </w:tcPr>
          <w:p>
            <w:pPr>
              <w:spacing w:line="260" w:lineRule="auto"/>
            </w:pPr>
            <w:r>
              <w:rPr>
                <w:rFonts w:ascii="Times New Roman" w:cs="Times New Roman" w:eastAsia="Times New Roman" w:hAnsi="Times New Roman"/>
                <w:b w:val="false"/>
                <w:bCs w:val="false"/>
                <w:sz w:val="20"/>
                <w:szCs w:val="20"/>
              </w:rPr>
              <w:t xml:space="preserve">Streamlit application (Figures 4.1, 4.2), 50 automated tests passing, verified live in-browser</w:t>
            </w:r>
          </w:p>
        </w:tc>
        <w:tc>
          <w:tcPr>
            <w:tcW w:type="dxa" w:w="1900"/>
          </w:tcPr>
          <w:p>
            <w:pPr>
              <w:spacing w:line="260" w:lineRule="auto"/>
            </w:pPr>
            <w:r>
              <w:rPr>
                <w:rFonts w:ascii="Times New Roman" w:cs="Times New Roman" w:eastAsia="Times New Roman" w:hAnsi="Times New Roman"/>
                <w:b w:val="false"/>
                <w:bCs w:val="false"/>
                <w:sz w:val="20"/>
                <w:szCs w:val="20"/>
              </w:rPr>
              <w:t xml:space="preserve">Achieved</w:t>
            </w:r>
          </w:p>
        </w:tc>
      </w:tr>
      <w:tr>
        <w:tc>
          <w:tcPr>
            <w:tcW w:type="dxa" w:w="500"/>
          </w:tcPr>
          <w:p>
            <w:pPr>
              <w:spacing w:line="260" w:lineRule="auto"/>
            </w:pPr>
            <w:r>
              <w:rPr>
                <w:rFonts w:ascii="Times New Roman" w:cs="Times New Roman" w:eastAsia="Times New Roman" w:hAnsi="Times New Roman"/>
                <w:b w:val="false"/>
                <w:bCs w:val="false"/>
                <w:sz w:val="20"/>
                <w:szCs w:val="20"/>
              </w:rPr>
              <w:t xml:space="preserve">V</w:t>
            </w:r>
          </w:p>
        </w:tc>
        <w:tc>
          <w:tcPr>
            <w:tcW w:type="dxa" w:w="2400"/>
          </w:tcPr>
          <w:p>
            <w:pPr>
              <w:spacing w:line="260" w:lineRule="auto"/>
            </w:pPr>
            <w:r>
              <w:rPr>
                <w:rFonts w:ascii="Times New Roman" w:cs="Times New Roman" w:eastAsia="Times New Roman" w:hAnsi="Times New Roman"/>
                <w:b w:val="false"/>
                <w:bCs w:val="false"/>
                <w:sz w:val="20"/>
                <w:szCs w:val="20"/>
              </w:rPr>
              <w:t xml:space="preserve">Evaluate readability, credibility, and decision-speed vs. raw output</w:t>
            </w:r>
          </w:p>
        </w:tc>
        <w:tc>
          <w:tcPr>
            <w:tcW w:type="dxa" w:w="3600"/>
          </w:tcPr>
          <w:p>
            <w:pPr>
              <w:spacing w:line="260" w:lineRule="auto"/>
            </w:pPr>
            <w:r>
              <w:rPr>
                <w:rFonts w:ascii="Times New Roman" w:cs="Times New Roman" w:eastAsia="Times New Roman" w:hAnsi="Times New Roman"/>
                <w:b w:val="false"/>
                <w:bCs w:val="false"/>
                <w:sz w:val="20"/>
                <w:szCs w:val="20"/>
              </w:rPr>
              <w:t xml:space="preserve">Readability evaluation completed with a consistent measured improvement; a non-expert questionnaire for credibility/decision-speed is designed but not yet administered to live participants</w:t>
            </w:r>
          </w:p>
        </w:tc>
        <w:tc>
          <w:tcPr>
            <w:tcW w:type="dxa" w:w="1900"/>
          </w:tcPr>
          <w:p>
            <w:pPr>
              <w:spacing w:line="260" w:lineRule="auto"/>
            </w:pPr>
            <w:r>
              <w:rPr>
                <w:rFonts w:ascii="Times New Roman" w:cs="Times New Roman" w:eastAsia="Times New Roman" w:hAnsi="Times New Roman"/>
                <w:b w:val="false"/>
                <w:bCs w:val="false"/>
                <w:sz w:val="20"/>
                <w:szCs w:val="20"/>
              </w:rPr>
              <w:t xml:space="preserve">Partially achieved</w:t>
            </w:r>
          </w:p>
        </w:tc>
      </w:tr>
    </w:tbl>
    <w:p>
      <w:pPr>
        <w:spacing w:after="100"/>
      </w:pPr>
    </w:p>
    <w:p>
      <w:pPr>
        <w:spacing w:after="200" w:line="300" w:lineRule="auto"/>
        <w:jc w:val="both"/>
      </w:pPr>
      <w:r>
        <w:rPr>
          <w:rFonts w:ascii="Times New Roman" w:cs="Times New Roman" w:eastAsia="Times New Roman" w:hAnsi="Times New Roman"/>
          <w:sz w:val="24"/>
          <w:szCs w:val="24"/>
        </w:rPr>
        <w:t xml:space="preserve">Table 5.5 gives the readability comparison underlying Objective I/V directly.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900"/>
        <w:gridCol w:w="1600"/>
        <w:gridCol w:w="1650"/>
      </w:tblGrid>
      <w:tr>
        <w:trPr>
          <w:tblHeader/>
        </w:trPr>
        <w:tc>
          <w:tcPr>
            <w:tcW w:type="dxa" w:w="2200"/>
            <w:shd w:fill="1F3864" w:val="clear"/>
          </w:tcPr>
          <w:p>
            <w:pPr>
              <w:spacing w:line="260" w:lineRule="auto"/>
            </w:pPr>
            <w:r>
              <w:rPr>
                <w:rFonts w:ascii="Times New Roman" w:cs="Times New Roman" w:eastAsia="Times New Roman" w:hAnsi="Times New Roman"/>
                <w:b/>
                <w:bCs/>
                <w:color w:val="FFFFFF"/>
                <w:sz w:val="20"/>
                <w:szCs w:val="20"/>
              </w:rPr>
              <w:t xml:space="preserve">Sample (n=30 each)</w:t>
            </w:r>
          </w:p>
        </w:tc>
        <w:tc>
          <w:tcPr>
            <w:tcW w:type="dxa" w:w="1750"/>
            <w:shd w:fill="1F3864" w:val="clear"/>
          </w:tcPr>
          <w:p>
            <w:pPr>
              <w:spacing w:line="260" w:lineRule="auto"/>
            </w:pPr>
            <w:r>
              <w:rPr>
                <w:rFonts w:ascii="Times New Roman" w:cs="Times New Roman" w:eastAsia="Times New Roman" w:hAnsi="Times New Roman"/>
                <w:b/>
                <w:bCs/>
                <w:color w:val="FFFFFF"/>
                <w:sz w:val="20"/>
                <w:szCs w:val="20"/>
              </w:rPr>
              <w:t xml:space="preserve">Raw — Reading Ease</w:t>
            </w:r>
          </w:p>
        </w:tc>
        <w:tc>
          <w:tcPr>
            <w:tcW w:type="dxa" w:w="1900"/>
            <w:shd w:fill="1F3864" w:val="clear"/>
          </w:tcPr>
          <w:p>
            <w:pPr>
              <w:spacing w:line="260" w:lineRule="auto"/>
            </w:pPr>
            <w:r>
              <w:rPr>
                <w:rFonts w:ascii="Times New Roman" w:cs="Times New Roman" w:eastAsia="Times New Roman" w:hAnsi="Times New Roman"/>
                <w:b/>
                <w:bCs/>
                <w:color w:val="FFFFFF"/>
                <w:sz w:val="20"/>
                <w:szCs w:val="20"/>
              </w:rPr>
              <w:t xml:space="preserve">Translated — Reading Ease</w:t>
            </w:r>
          </w:p>
        </w:tc>
        <w:tc>
          <w:tcPr>
            <w:tcW w:type="dxa" w:w="1600"/>
            <w:shd w:fill="1F3864" w:val="clear"/>
          </w:tcPr>
          <w:p>
            <w:pPr>
              <w:spacing w:line="260" w:lineRule="auto"/>
            </w:pPr>
            <w:r>
              <w:rPr>
                <w:rFonts w:ascii="Times New Roman" w:cs="Times New Roman" w:eastAsia="Times New Roman" w:hAnsi="Times New Roman"/>
                <w:b/>
                <w:bCs/>
                <w:color w:val="FFFFFF"/>
                <w:sz w:val="20"/>
                <w:szCs w:val="20"/>
              </w:rPr>
              <w:t xml:space="preserve">Raw — Grade Level</w:t>
            </w:r>
          </w:p>
        </w:tc>
        <w:tc>
          <w:tcPr>
            <w:tcW w:type="dxa" w:w="1650"/>
            <w:shd w:fill="1F3864" w:val="clear"/>
          </w:tcPr>
          <w:p>
            <w:pPr>
              <w:spacing w:line="260" w:lineRule="auto"/>
            </w:pPr>
            <w:r>
              <w:rPr>
                <w:rFonts w:ascii="Times New Roman" w:cs="Times New Roman" w:eastAsia="Times New Roman" w:hAnsi="Times New Roman"/>
                <w:b/>
                <w:bCs/>
                <w:color w:val="FFFFFF"/>
                <w:sz w:val="20"/>
                <w:szCs w:val="20"/>
              </w:rPr>
              <w:t xml:space="preserve">Translated — Grade Level</w:t>
            </w:r>
          </w:p>
        </w:tc>
      </w:tr>
      <w:tr>
        <w:tc>
          <w:tcPr>
            <w:tcW w:type="dxa" w:w="2200"/>
          </w:tcPr>
          <w:p>
            <w:pPr>
              <w:spacing w:line="260" w:lineRule="auto"/>
            </w:pPr>
            <w:r>
              <w:rPr>
                <w:rFonts w:ascii="Times New Roman" w:cs="Times New Roman" w:eastAsia="Times New Roman" w:hAnsi="Times New Roman"/>
                <w:b w:val="false"/>
                <w:bCs w:val="false"/>
                <w:sz w:val="20"/>
                <w:szCs w:val="20"/>
              </w:rPr>
              <w:t xml:space="preserve">URL predictions</w:t>
            </w:r>
          </w:p>
        </w:tc>
        <w:tc>
          <w:tcPr>
            <w:tcW w:type="dxa" w:w="1750"/>
          </w:tcPr>
          <w:p>
            <w:pPr>
              <w:spacing w:line="260" w:lineRule="auto"/>
            </w:pPr>
            <w:r>
              <w:rPr>
                <w:rFonts w:ascii="Times New Roman" w:cs="Times New Roman" w:eastAsia="Times New Roman" w:hAnsi="Times New Roman"/>
                <w:b w:val="false"/>
                <w:bCs w:val="false"/>
                <w:sz w:val="20"/>
                <w:szCs w:val="20"/>
              </w:rPr>
              <w:t xml:space="preserve">13.9</w:t>
            </w:r>
          </w:p>
        </w:tc>
        <w:tc>
          <w:tcPr>
            <w:tcW w:type="dxa" w:w="1900"/>
          </w:tcPr>
          <w:p>
            <w:pPr>
              <w:spacing w:line="260" w:lineRule="auto"/>
            </w:pPr>
            <w:r>
              <w:rPr>
                <w:rFonts w:ascii="Times New Roman" w:cs="Times New Roman" w:eastAsia="Times New Roman" w:hAnsi="Times New Roman"/>
                <w:b w:val="false"/>
                <w:bCs w:val="false"/>
                <w:sz w:val="20"/>
                <w:szCs w:val="20"/>
              </w:rPr>
              <w:t xml:space="preserve">34.6</w:t>
            </w:r>
          </w:p>
        </w:tc>
        <w:tc>
          <w:tcPr>
            <w:tcW w:type="dxa" w:w="1600"/>
          </w:tcPr>
          <w:p>
            <w:pPr>
              <w:spacing w:line="260" w:lineRule="auto"/>
            </w:pPr>
            <w:r>
              <w:rPr>
                <w:rFonts w:ascii="Times New Roman" w:cs="Times New Roman" w:eastAsia="Times New Roman" w:hAnsi="Times New Roman"/>
                <w:b w:val="false"/>
                <w:bCs w:val="false"/>
                <w:sz w:val="20"/>
                <w:szCs w:val="20"/>
              </w:rPr>
              <w:t xml:space="preserve">11.9</w:t>
            </w:r>
          </w:p>
        </w:tc>
        <w:tc>
          <w:tcPr>
            <w:tcW w:type="dxa" w:w="1650"/>
          </w:tcPr>
          <w:p>
            <w:pPr>
              <w:spacing w:line="260" w:lineRule="auto"/>
            </w:pPr>
            <w:r>
              <w:rPr>
                <w:rFonts w:ascii="Times New Roman" w:cs="Times New Roman" w:eastAsia="Times New Roman" w:hAnsi="Times New Roman"/>
                <w:b w:val="false"/>
                <w:bCs w:val="false"/>
                <w:sz w:val="20"/>
                <w:szCs w:val="20"/>
              </w:rPr>
              <w:t xml:space="preserve">16.8</w:t>
            </w:r>
          </w:p>
        </w:tc>
      </w:tr>
      <w:tr>
        <w:tc>
          <w:tcPr>
            <w:tcW w:type="dxa" w:w="2200"/>
          </w:tcPr>
          <w:p>
            <w:pPr>
              <w:spacing w:line="260" w:lineRule="auto"/>
            </w:pPr>
            <w:r>
              <w:rPr>
                <w:rFonts w:ascii="Times New Roman" w:cs="Times New Roman" w:eastAsia="Times New Roman" w:hAnsi="Times New Roman"/>
                <w:b w:val="false"/>
                <w:bCs w:val="false"/>
                <w:sz w:val="20"/>
                <w:szCs w:val="20"/>
              </w:rPr>
              <w:t xml:space="preserve">Email predictions</w:t>
            </w:r>
          </w:p>
        </w:tc>
        <w:tc>
          <w:tcPr>
            <w:tcW w:type="dxa" w:w="1750"/>
          </w:tcPr>
          <w:p>
            <w:pPr>
              <w:spacing w:line="260" w:lineRule="auto"/>
            </w:pPr>
            <w:r>
              <w:rPr>
                <w:rFonts w:ascii="Times New Roman" w:cs="Times New Roman" w:eastAsia="Times New Roman" w:hAnsi="Times New Roman"/>
                <w:b w:val="false"/>
                <w:bCs w:val="false"/>
                <w:sz w:val="20"/>
                <w:szCs w:val="20"/>
              </w:rPr>
              <w:t xml:space="preserve">−38.9</w:t>
            </w:r>
          </w:p>
        </w:tc>
        <w:tc>
          <w:tcPr>
            <w:tcW w:type="dxa" w:w="1900"/>
          </w:tcPr>
          <w:p>
            <w:pPr>
              <w:spacing w:line="260" w:lineRule="auto"/>
            </w:pPr>
            <w:r>
              <w:rPr>
                <w:rFonts w:ascii="Times New Roman" w:cs="Times New Roman" w:eastAsia="Times New Roman" w:hAnsi="Times New Roman"/>
                <w:b w:val="false"/>
                <w:bCs w:val="false"/>
                <w:sz w:val="20"/>
                <w:szCs w:val="20"/>
              </w:rPr>
              <w:t xml:space="preserve">37.3</w:t>
            </w:r>
          </w:p>
        </w:tc>
        <w:tc>
          <w:tcPr>
            <w:tcW w:type="dxa" w:w="1600"/>
          </w:tcPr>
          <w:p>
            <w:pPr>
              <w:spacing w:line="260" w:lineRule="auto"/>
            </w:pPr>
            <w:r>
              <w:rPr>
                <w:rFonts w:ascii="Times New Roman" w:cs="Times New Roman" w:eastAsia="Times New Roman" w:hAnsi="Times New Roman"/>
                <w:b w:val="false"/>
                <w:bCs w:val="false"/>
                <w:sz w:val="20"/>
                <w:szCs w:val="20"/>
              </w:rPr>
              <w:t xml:space="preserve">19.3</w:t>
            </w:r>
          </w:p>
        </w:tc>
        <w:tc>
          <w:tcPr>
            <w:tcW w:type="dxa" w:w="1650"/>
          </w:tcPr>
          <w:p>
            <w:pPr>
              <w:spacing w:line="260" w:lineRule="auto"/>
            </w:pPr>
            <w:r>
              <w:rPr>
                <w:rFonts w:ascii="Times New Roman" w:cs="Times New Roman" w:eastAsia="Times New Roman" w:hAnsi="Times New Roman"/>
                <w:b w:val="false"/>
                <w:bCs w:val="false"/>
                <w:sz w:val="20"/>
                <w:szCs w:val="20"/>
              </w:rPr>
              <w:t xml:space="preserve">14.7</w:t>
            </w:r>
          </w:p>
        </w:tc>
      </w:tr>
    </w:tbl>
    <w:p>
      <w:pPr>
        <w:spacing w:after="100"/>
      </w:pPr>
    </w:p>
    <w:p>
      <w:pPr>
        <w:spacing w:after="200" w:line="300" w:lineRule="auto"/>
        <w:jc w:val="both"/>
      </w:pPr>
      <w:r>
        <w:rPr>
          <w:rFonts w:ascii="Times New Roman" w:cs="Times New Roman" w:eastAsia="Times New Roman" w:hAnsi="Times New Roman"/>
          <w:sz w:val="24"/>
          <w:szCs w:val="24"/>
        </w:rPr>
        <w:t xml:space="preserve">Reading Ease improves substantially either way once translated — up 20.7 points for URL explanations and 76.1 points for email explanations — which is the clearer of the two signals for Objective V's readability question. Grade Level tells a slightly messier story: it improves for email (19.3 down to 14.7) but gets worse for URL explanations (11.9 up to 16.8), a contradiction that Section 5.4 unpacks rather than glosses over.</w:t>
      </w:r>
    </w:p>
    <w:p>
      <w:pPr>
        <w:pStyle w:val="Heading2"/>
        <w:spacing w:after="160" w:before="320" w:line="300" w:lineRule="auto"/>
      </w:pPr>
      <w:r>
        <w:rPr>
          <w:rFonts w:ascii="Times New Roman" w:cs="Times New Roman" w:eastAsia="Times New Roman" w:hAnsi="Times New Roman"/>
          <w:b/>
          <w:bCs/>
          <w:sz w:val="26"/>
          <w:szCs w:val="26"/>
        </w:rPr>
        <w:t xml:space="preserve">5.4 Discussion of Results</w:t>
      </w:r>
    </w:p>
    <w:p>
      <w:pPr>
        <w:pStyle w:val="Heading3"/>
        <w:spacing w:after="120" w:before="240" w:line="300" w:lineRule="auto"/>
      </w:pPr>
      <w:r>
        <w:rPr>
          <w:rFonts w:ascii="Times New Roman" w:cs="Times New Roman" w:eastAsia="Times New Roman" w:hAnsi="Times New Roman"/>
          <w:b/>
          <w:bCs/>
          <w:i/>
          <w:iCs/>
          <w:sz w:val="24"/>
          <w:szCs w:val="24"/>
        </w:rPr>
        <w:t xml:space="preserve">What worked</w:t>
      </w:r>
    </w:p>
    <w:p>
      <w:pPr>
        <w:spacing w:after="200" w:line="300" w:lineRule="auto"/>
        <w:jc w:val="both"/>
      </w:pPr>
      <w:r>
        <w:rPr>
          <w:rFonts w:ascii="Times New Roman" w:cs="Times New Roman" w:eastAsia="Times New Roman" w:hAnsi="Times New Roman"/>
          <w:sz w:val="24"/>
          <w:szCs w:val="24"/>
        </w:rPr>
        <w:t xml:space="preserve">The dual-XAI reconciliation approach held up under testing — the sentences it produced consistently matched the top-ranked SHAP and LIME features for the same prediction, rather than the two methods ever visibly contradicting each other in the generated text. The coherence filter, once added, did its job: no further faithfulness contradictions turned up across the sixty predictions in the evaluation run, and the regression test now guards against the specific failure that prompted it. The system also cleared its performance and privacy targets with room to spare — sub-second per-prediction latency, zero runtime network calls.</w:t>
      </w:r>
    </w:p>
    <w:p>
      <w:pPr>
        <w:pStyle w:val="Heading3"/>
        <w:spacing w:after="120" w:before="240" w:line="300" w:lineRule="auto"/>
      </w:pPr>
      <w:r>
        <w:rPr>
          <w:rFonts w:ascii="Times New Roman" w:cs="Times New Roman" w:eastAsia="Times New Roman" w:hAnsi="Times New Roman"/>
          <w:b/>
          <w:bCs/>
          <w:i/>
          <w:iCs/>
          <w:sz w:val="24"/>
          <w:szCs w:val="24"/>
        </w:rPr>
        <w:t xml:space="preserve">What did not work as well</w:t>
      </w:r>
    </w:p>
    <w:p>
      <w:pPr>
        <w:spacing w:after="200" w:line="300" w:lineRule="auto"/>
        <w:jc w:val="both"/>
      </w:pPr>
      <w:r>
        <w:rPr>
          <w:rFonts w:ascii="Times New Roman" w:cs="Times New Roman" w:eastAsia="Times New Roman" w:hAnsi="Times New Roman"/>
          <w:sz w:val="24"/>
          <w:szCs w:val="24"/>
        </w:rPr>
        <w:t xml:space="preserve">Two results are reported here as limitations rather than smoothed over. The email classifier's 78.8 per cent accuracy sits meaningfully below the above-97-per-cent figures reported for dedicated phishing classifiers in the literature (Sahingoz et al., 2019), and the two compounding reasons are both disclosed already in Chapter Four: the substituted training corpus is general spam/ham rather than phishing-specific, and the feature space is a deliberately compact twenty-one hand-engineered features rather than the dense text embeddings higher-accuracy systems typically rely on. Separately, the URL classifier — even after the "www" fix — can still misclassify legitimate domains with unusually deep, multi-label structures, because the lexical feature set has no concept of domain reputation or age. A domain-reputation feature is accordingly one of the recommendations carried into Chapter Six.</w:t>
      </w:r>
    </w:p>
    <w:p>
      <w:pPr>
        <w:spacing w:after="200" w:line="300" w:lineRule="auto"/>
        <w:jc w:val="both"/>
      </w:pPr>
      <w:r>
        <w:rPr>
          <w:rFonts w:ascii="Times New Roman" w:cs="Times New Roman" w:eastAsia="Times New Roman" w:hAnsi="Times New Roman"/>
          <w:sz w:val="24"/>
          <w:szCs w:val="24"/>
        </w:rPr>
        <w:t xml:space="preserve">The mixed Grade Level result for URL explanations is best explained as a property of the raw baseline rather than a weakness in the translated sentence. Raw SHAP output is not prose — it is a short list of tokens like "num_subdomains: +0.080" — and Flesch-Kincaid Grade Level, tuned for ordinary sentence structure, scores that kind of fragment as deceptively low-grade purely because it is short in words, while Reading Ease (which weights syllable and sentence structure more heavily) correctly scores it as hard to interpret. The translated sentence is, in absolute terms, longer — 33.8 words on average for URL explanations against 14.0 for the raw output — precisely because it is actual prose rather than a token list, which is also why its Reading Ease score comes out so much higher despite a nominally higher grade-level figure. That divergence between the two formulas on non-prose input is a genuine finding worth keeping, not an inconvenient one to explain away, and it is part of why the human-participant questionnaire in the appendices remains necessary to properly close out Objective V.</w:t>
      </w:r>
    </w:p>
    <w:p>
      <w:pPr>
        <w:pStyle w:val="Heading3"/>
        <w:spacing w:after="120" w:before="240" w:line="300" w:lineRule="auto"/>
      </w:pPr>
      <w:r>
        <w:rPr>
          <w:rFonts w:ascii="Times New Roman" w:cs="Times New Roman" w:eastAsia="Times New Roman" w:hAnsi="Times New Roman"/>
          <w:b/>
          <w:bCs/>
          <w:i/>
          <w:iCs/>
          <w:sz w:val="24"/>
          <w:szCs w:val="24"/>
        </w:rPr>
        <w:t xml:space="preserve">Comparison with existing systems</w:t>
      </w:r>
    </w:p>
    <w:p>
      <w:pPr>
        <w:spacing w:after="200" w:line="300" w:lineRule="auto"/>
        <w:jc w:val="both"/>
      </w:pPr>
      <w:r>
        <w:rPr>
          <w:rFonts w:ascii="Times New Roman" w:cs="Times New Roman" w:eastAsia="Times New Roman" w:hAnsi="Times New Roman"/>
          <w:sz w:val="24"/>
          <w:szCs w:val="24"/>
        </w:rPr>
        <w:t xml:space="preserve">Set against EXPLICATE (Lim et al., 2025), the closest published system, the difference that matters most practically is that this system's shipped translation backend needs no model download, no GPU, and no network access at all, while remaining architecturally ready to host a genuine local LLM — directly answering the deployment-constraint gap Chapter Two identifies in EXPLICATE's design. The second difference is in what got evaluated: EXPLICATE's published results are technical-performance-focused, and this project instead pairs an automated, reproducible readability evaluation with a purpose-built non-expert usability instrument, which moves the usability-evaluation gap from "unaddressed" to "automated evidence collected, human-subject instrument ready to run" — the concrete next step Chapter Six recommends.</w:t>
      </w:r>
    </w:p>
    <w:p>
      <w:pPr>
        <w:pStyle w:val="Heading1"/>
        <w:pageBreakBefore/>
        <w:spacing w:after="360" w:before="240" w:line="300" w:lineRule="auto"/>
        <w:jc w:val="center"/>
      </w:pPr>
      <w:r>
        <w:rPr>
          <w:rFonts w:ascii="Times New Roman" w:cs="Times New Roman" w:eastAsia="Times New Roman" w:hAnsi="Times New Roman"/>
          <w:b/>
          <w:bCs/>
          <w:sz w:val="30"/>
          <w:szCs w:val="30"/>
        </w:rPr>
        <w:t xml:space="preserve">CHAPTER SIX: SUMMARY, CONCLUSION AND RECOMMENDATIONS</w:t>
      </w:r>
    </w:p>
    <w:p>
      <w:pPr>
        <w:pStyle w:val="Heading2"/>
        <w:spacing w:after="160" w:before="320" w:line="300" w:lineRule="auto"/>
      </w:pPr>
      <w:r>
        <w:rPr>
          <w:rFonts w:ascii="Times New Roman" w:cs="Times New Roman" w:eastAsia="Times New Roman" w:hAnsi="Times New Roman"/>
          <w:b/>
          <w:bCs/>
          <w:sz w:val="26"/>
          <w:szCs w:val="26"/>
        </w:rPr>
        <w:t xml:space="preserve">6.1 Summary of the Project</w:t>
      </w:r>
    </w:p>
    <w:p>
      <w:pPr>
        <w:spacing w:after="200" w:line="300" w:lineRule="auto"/>
        <w:jc w:val="both"/>
      </w:pPr>
      <w:r>
        <w:rPr>
          <w:rFonts w:ascii="Times New Roman" w:cs="Times New Roman" w:eastAsia="Times New Roman" w:hAnsi="Times New Roman"/>
          <w:sz w:val="24"/>
          <w:szCs w:val="24"/>
        </w:rPr>
        <w:t xml:space="preserve">This project set out to close a specific, narrow gap: SHAP and LIME make phishing classifiers technically transparent, but their output is unreadable to the non-experts who actually have to act on a phishing alert, and the one prior system built to fix that — EXPLICATE — does so through a commercial cloud model that a resource-constrained organisation may not be able to use. Two Random Forest classifiers were built and trained on real, publicly available data; SHAP's TreeExplainer and LIME's tabular explainer were wired into both; a translation layer reconciles their output and converts it into one plain-language sentence through an engineered prompt and a pluggable, offline-capable backend; and the whole pipeline sits behind a Streamlit interface that shows the technical and translated output side by side. Fifty automated tests pass, the URL classifier reaches 88.1 per cent accuracy and the email classifier 78.8 per cent, and readability testing shows a consistent, measurable improvement in the translated explanations over the raw SHAP text they were derived from.</w:t>
      </w:r>
    </w:p>
    <w:p>
      <w:pPr>
        <w:pStyle w:val="Heading2"/>
        <w:spacing w:after="160" w:before="320" w:line="300" w:lineRule="auto"/>
      </w:pPr>
      <w:r>
        <w:rPr>
          <w:rFonts w:ascii="Times New Roman" w:cs="Times New Roman" w:eastAsia="Times New Roman" w:hAnsi="Times New Roman"/>
          <w:b/>
          <w:bCs/>
          <w:sz w:val="26"/>
          <w:szCs w:val="26"/>
        </w:rPr>
        <w:t xml:space="preserve">6.2 Conclusion</w:t>
      </w:r>
    </w:p>
    <w:p>
      <w:pPr>
        <w:spacing w:after="200" w:line="300" w:lineRule="auto"/>
        <w:jc w:val="both"/>
      </w:pPr>
      <w:r>
        <w:rPr>
          <w:rFonts w:ascii="Times New Roman" w:cs="Times New Roman" w:eastAsia="Times New Roman" w:hAnsi="Times New Roman"/>
          <w:sz w:val="24"/>
          <w:szCs w:val="24"/>
        </w:rPr>
        <w:t xml:space="preserve">The central claim this project set out to test — that a lightweight, fully offline translation layer can make SHAP and LIME output genuinely more readable without depending on a commercial LLM — holds up under the evidence gathered here. It holds up with two honest qualifications. The email classifier's accuracy is constrained by a substituted, non-phishing-specific training corpus rather than a flaw in the approach itself, and the credibility and decision-speed dimensions of Objective V still need real non-expert participants to close out properly, which this project prepared for but did not complete within its own timeline. Neither qualification undermines the core result; both simply mark where the next iteration of this work should start.</w:t>
      </w:r>
    </w:p>
    <w:p>
      <w:pPr>
        <w:pStyle w:val="Heading2"/>
        <w:spacing w:after="160" w:before="320" w:line="300" w:lineRule="auto"/>
      </w:pPr>
      <w:r>
        <w:rPr>
          <w:rFonts w:ascii="Times New Roman" w:cs="Times New Roman" w:eastAsia="Times New Roman" w:hAnsi="Times New Roman"/>
          <w:b/>
          <w:bCs/>
          <w:sz w:val="26"/>
          <w:szCs w:val="26"/>
        </w:rPr>
        <w:t xml:space="preserve">6.3 Professional Contributions</w:t>
      </w:r>
    </w:p>
    <w:p>
      <w:pPr>
        <w:spacing w:after="200" w:line="300" w:lineRule="auto"/>
        <w:jc w:val="both"/>
      </w:pPr>
      <w:r>
        <w:rPr>
          <w:rFonts w:ascii="Times New Roman" w:cs="Times New Roman" w:eastAsia="Times New Roman" w:hAnsi="Times New Roman"/>
          <w:sz w:val="24"/>
          <w:szCs w:val="24"/>
        </w:rPr>
        <w:t xml:space="preserve">To industry practice, this project offers a working demonstration that phishing-alert usability does not have to be traded off against deployment cost or data privacy — a translation layer can run on the same modest hardware as the classifier it explains, with no recurring API cost and no security-sensitive text ever leaving the organisation's own machine. To IT implementation more specifically, the pluggable backend pattern used for the translation layer — one interface, a deterministic default, a real-model alternative that activates without touching the rest of the codebase — is a reusable pattern for any team that wants to experiment with local LLMs without committing to one before it is available. And to the broader conversation about explainable AI in cybersecurity, the coherence-filter fix described in Chapter Four is a small but concrete illustration of why explanation faithfulness needs to be checked directly rather than assumed, particularly once a system starts generating natural language rather than just displaying numbers.</w:t>
      </w:r>
    </w:p>
    <w:p>
      <w:pPr>
        <w:pStyle w:val="Heading2"/>
        <w:spacing w:after="160" w:before="320" w:line="300" w:lineRule="auto"/>
      </w:pPr>
      <w:r>
        <w:rPr>
          <w:rFonts w:ascii="Times New Roman" w:cs="Times New Roman" w:eastAsia="Times New Roman" w:hAnsi="Times New Roman"/>
          <w:b/>
          <w:bCs/>
          <w:sz w:val="26"/>
          <w:szCs w:val="26"/>
        </w:rPr>
        <w:t xml:space="preserve">6.4 Recommendations for Future Enhancement</w:t>
      </w:r>
    </w:p>
    <w:p>
      <w:pPr>
        <w:pStyle w:val="Heading3"/>
        <w:spacing w:after="120" w:before="240" w:line="300" w:lineRule="auto"/>
      </w:pPr>
      <w:r>
        <w:rPr>
          <w:rFonts w:ascii="Times New Roman" w:cs="Times New Roman" w:eastAsia="Times New Roman" w:hAnsi="Times New Roman"/>
          <w:b/>
          <w:bCs/>
          <w:i/>
          <w:iCs/>
          <w:sz w:val="24"/>
          <w:szCs w:val="24"/>
        </w:rPr>
        <w:t xml:space="preserve">System enhancement</w:t>
      </w:r>
    </w:p>
    <w:p>
      <w:pPr>
        <w:spacing w:after="200" w:line="300" w:lineRule="auto"/>
        <w:jc w:val="both"/>
      </w:pPr>
      <w:r>
        <w:rPr>
          <w:rFonts w:ascii="Times New Roman" w:cs="Times New Roman" w:eastAsia="Times New Roman" w:hAnsi="Times New Roman"/>
          <w:sz w:val="24"/>
          <w:szCs w:val="24"/>
        </w:rPr>
        <w:t xml:space="preserve">The most immediate improvement is retraining the email classifier on genuinely phishing-specific data — the Nazario corpus or an equivalent — rather than the substituted spam/ham dataset used here, which should close a meaningful share of the accuracy gap against the literature. Adding a lightweight domain-reputation or allow-listing feature to the URL classifier would likely resolve the deep-subdomain false positives discussed in Chapter Five without requiring a live network lookup, if the reputation data can be bundled offline. And activating the LlamaCppBackend against a real quantized model — Phi-3-mini is the most likely candidate given its size — would let a future iteration compare the shipped template generator's fluency and coverage directly against genuine LLM-generated sentences, rather than assuming template output is a reasonable stand-in.</w:t>
      </w:r>
    </w:p>
    <w:p>
      <w:pPr>
        <w:pStyle w:val="Heading3"/>
        <w:spacing w:after="120" w:before="240" w:line="300" w:lineRule="auto"/>
      </w:pPr>
      <w:r>
        <w:rPr>
          <w:rFonts w:ascii="Times New Roman" w:cs="Times New Roman" w:eastAsia="Times New Roman" w:hAnsi="Times New Roman"/>
          <w:b/>
          <w:bCs/>
          <w:i/>
          <w:iCs/>
          <w:sz w:val="24"/>
          <w:szCs w:val="24"/>
        </w:rPr>
        <w:t xml:space="preserve">Further research</w:t>
      </w:r>
    </w:p>
    <w:p>
      <w:pPr>
        <w:spacing w:after="200" w:line="300" w:lineRule="auto"/>
        <w:jc w:val="both"/>
      </w:pPr>
      <w:r>
        <w:rPr>
          <w:rFonts w:ascii="Times New Roman" w:cs="Times New Roman" w:eastAsia="Times New Roman" w:hAnsi="Times New Roman"/>
          <w:sz w:val="24"/>
          <w:szCs w:val="24"/>
        </w:rPr>
        <w:t xml:space="preserve">The unfinished half of Objective V is the clearest next research step: running the questionnaire prepared for this project with a real panel of IT helpdesk staff or SOC analysts, measuring both stated preference and actual time-to-decision between the raw and translated explanation formats. A second, smaller study — how much the coherence filter actually changes user trust when it silently withholds one of the top three statistically-ranked factors — would be a useful methodological contribution in its own right, given how little attention explanation faithfulness gets relative to explanation accuracy in the wider literature.</w:t>
      </w:r>
    </w:p>
    <w:p>
      <w:pPr>
        <w:pStyle w:val="Heading3"/>
        <w:spacing w:after="120" w:before="240" w:line="300" w:lineRule="auto"/>
      </w:pPr>
      <w:r>
        <w:rPr>
          <w:rFonts w:ascii="Times New Roman" w:cs="Times New Roman" w:eastAsia="Times New Roman" w:hAnsi="Times New Roman"/>
          <w:b/>
          <w:bCs/>
          <w:i/>
          <w:iCs/>
          <w:sz w:val="24"/>
          <w:szCs w:val="24"/>
        </w:rPr>
        <w:t xml:space="preserve">Policy and organisational adoption</w:t>
      </w:r>
    </w:p>
    <w:p>
      <w:pPr>
        <w:spacing w:after="200" w:line="300" w:lineRule="auto"/>
        <w:jc w:val="both"/>
      </w:pPr>
      <w:r>
        <w:rPr>
          <w:rFonts w:ascii="Times New Roman" w:cs="Times New Roman" w:eastAsia="Times New Roman" w:hAnsi="Times New Roman"/>
          <w:sz w:val="24"/>
          <w:szCs w:val="24"/>
        </w:rPr>
        <w:t xml:space="preserve">For Nigerian SMEs specifically, where Aladenusi (2026) and Surfshark (2026) both point to a combination of high breach exposure and thin cybersecurity staffing, a system built to run offline on ordinary hardware is a more realistic near-term adoption path than a cloud-dependent alternative, and could reasonably be piloted inside a single organisation's helpdesk workflow before any wider rollout is considered. Longer term, pairing a tool like this with existing digital-literacy or cybersecurity-awareness initiatives — rather than treating it as a stand-alone product — is likely to do more for the alert-fatigue problem than the tool alone ever could.</w:t>
      </w:r>
    </w:p>
    <w:p>
      <w:pPr>
        <w:pStyle w:val="Heading1"/>
        <w:pageBreakBefore/>
        <w:spacing w:after="360" w:before="240" w:line="300" w:lineRule="auto"/>
        <w:jc w:val="center"/>
      </w:pPr>
      <w:r>
        <w:rPr>
          <w:rFonts w:ascii="Times New Roman" w:cs="Times New Roman" w:eastAsia="Times New Roman" w:hAnsi="Times New Roman"/>
          <w:b/>
          <w:bCs/>
          <w:sz w:val="30"/>
          <w:szCs w:val="30"/>
        </w:rPr>
        <w:t xml:space="preserve">REFERENCES</w:t>
      </w:r>
    </w:p>
    <w:p>
      <w:pPr>
        <w:spacing w:after="160" w:line="300" w:lineRule="auto"/>
        <w:ind w:left="360" w:hanging="360"/>
        <w:jc w:val="both"/>
      </w:pPr>
      <w:r>
        <w:rPr>
          <w:rFonts w:ascii="Times New Roman" w:cs="Times New Roman" w:eastAsia="Times New Roman" w:hAnsi="Times New Roman"/>
          <w:sz w:val="24"/>
          <w:szCs w:val="24"/>
        </w:rPr>
        <w:t xml:space="preserve">Abijo, K. (2026, April 24). What Nigeria's cybersecurity crisis actually means for your data privacy obligations. Medium. https://medium.com/@kayode.abijo/what-nigerias-cybersecurity-crisis-actually-means-for-your-data-privacy-obligations-2b6d55aa211e</w:t>
      </w:r>
    </w:p>
    <w:p>
      <w:pPr>
        <w:spacing w:after="160" w:line="300" w:lineRule="auto"/>
        <w:ind w:left="360" w:hanging="360"/>
        <w:jc w:val="both"/>
      </w:pPr>
      <w:r>
        <w:rPr>
          <w:rFonts w:ascii="Times New Roman" w:cs="Times New Roman" w:eastAsia="Times New Roman" w:hAnsi="Times New Roman"/>
          <w:sz w:val="24"/>
          <w:szCs w:val="24"/>
        </w:rPr>
        <w:t xml:space="preserve">Adadi, A., &amp; Berrada, M. (2018). Peeking inside the black-box: A survey on explainable artificial intelligence (XAI). IEEE Access, 6, 52138–52160. https://doi.org/10.1109/ACCESS.2018.2870052</w:t>
      </w:r>
    </w:p>
    <w:p>
      <w:pPr>
        <w:spacing w:after="160" w:line="300" w:lineRule="auto"/>
        <w:ind w:left="360" w:hanging="360"/>
        <w:jc w:val="both"/>
      </w:pPr>
      <w:r>
        <w:rPr>
          <w:rFonts w:ascii="Times New Roman" w:cs="Times New Roman" w:eastAsia="Times New Roman" w:hAnsi="Times New Roman"/>
          <w:sz w:val="24"/>
          <w:szCs w:val="24"/>
        </w:rPr>
        <w:t xml:space="preserve">Aladenusi, T. (2026). Nigeria's cybersecurity outlook 2026: AI threats, zero trust, and regulatory challenges. Deloitte. https://www.deloitte.com/ng/en/services/consulting/perspectives/nigeria-cybersecurity-outlook-2026.html</w:t>
      </w:r>
    </w:p>
    <w:p>
      <w:pPr>
        <w:spacing w:after="160" w:line="300" w:lineRule="auto"/>
        <w:ind w:left="360" w:hanging="360"/>
        <w:jc w:val="both"/>
      </w:pPr>
      <w:r>
        <w:rPr>
          <w:rFonts w:ascii="Times New Roman" w:cs="Times New Roman" w:eastAsia="Times New Roman" w:hAnsi="Times New Roman"/>
          <w:sz w:val="24"/>
          <w:szCs w:val="24"/>
        </w:rPr>
        <w:t xml:space="preserve">Almomani, A., Gupta, B. B., Atawneh, S., Meulenberg, A., &amp; Almomani, E. (2013). A survey of phishing email filtering techniques. IEEE Communications Surveys &amp; Tutorials, 15(4), 2070–2090. https://doi.org/10.1109/SURV.2013.030713.00020</w:t>
      </w:r>
    </w:p>
    <w:p>
      <w:pPr>
        <w:spacing w:after="160" w:line="300" w:lineRule="auto"/>
        <w:ind w:left="360" w:hanging="360"/>
        <w:jc w:val="both"/>
      </w:pPr>
      <w:r>
        <w:rPr>
          <w:rFonts w:ascii="Times New Roman" w:cs="Times New Roman" w:eastAsia="Times New Roman" w:hAnsi="Times New Roman"/>
          <w:sz w:val="24"/>
          <w:szCs w:val="24"/>
        </w:rPr>
        <w:t xml:space="preserve">Basnet, R., Mukkamala, S., &amp; Sung, A. H. (2008). Detection of phishing attacks: A machine learning approach. In B. Prasad &amp; S. Gasperoni (Eds.), Soft computing applications in industry (pp. 373–383). Springer.</w:t>
      </w:r>
    </w:p>
    <w:p>
      <w:pPr>
        <w:spacing w:after="160" w:line="300" w:lineRule="auto"/>
        <w:ind w:left="360" w:hanging="360"/>
        <w:jc w:val="both"/>
      </w:pPr>
      <w:r>
        <w:rPr>
          <w:rFonts w:ascii="Times New Roman" w:cs="Times New Roman" w:eastAsia="Times New Roman" w:hAnsi="Times New Roman"/>
          <w:sz w:val="24"/>
          <w:szCs w:val="24"/>
        </w:rPr>
        <w:t xml:space="preserve">Breiman, L. (2001). Random forests. Machine Learning, 45(1), 5–32. https://doi.org/10.1023/A:1010933404324</w:t>
      </w:r>
    </w:p>
    <w:p>
      <w:pPr>
        <w:spacing w:after="160" w:line="300" w:lineRule="auto"/>
        <w:ind w:left="360" w:hanging="360"/>
        <w:jc w:val="both"/>
      </w:pPr>
      <w:r>
        <w:rPr>
          <w:rFonts w:ascii="Times New Roman" w:cs="Times New Roman" w:eastAsia="Times New Roman" w:hAnsi="Times New Roman"/>
          <w:sz w:val="24"/>
          <w:szCs w:val="24"/>
        </w:rPr>
        <w:t xml:space="preserve">Cambria, E., Malandri, L., Mercorio, F., Mezzanzanica, M., &amp; Nobani, N. (2023). A survey on XAI and natural language explanations. Information Processing &amp; Management, 60(1), Article 103111. https://doi.org/10.1016/j.ipm.2022.103111</w:t>
      </w:r>
    </w:p>
    <w:p>
      <w:pPr>
        <w:spacing w:after="160" w:line="300" w:lineRule="auto"/>
        <w:ind w:left="360" w:hanging="360"/>
        <w:jc w:val="both"/>
      </w:pPr>
      <w:r>
        <w:rPr>
          <w:rFonts w:ascii="Times New Roman" w:cs="Times New Roman" w:eastAsia="Times New Roman" w:hAnsi="Times New Roman"/>
          <w:sz w:val="24"/>
          <w:szCs w:val="24"/>
        </w:rPr>
        <w:t xml:space="preserve">CYFIRMA. (2025, September 30). Cyber threat assessment on Nigeria. CYFIRMA Research. https://www.cyfirma.com/research/cyber-threat-assessment-on-nigeria/</w:t>
      </w:r>
    </w:p>
    <w:p>
      <w:pPr>
        <w:spacing w:after="160" w:line="300" w:lineRule="auto"/>
        <w:ind w:left="360" w:hanging="360"/>
        <w:jc w:val="both"/>
      </w:pPr>
      <w:r>
        <w:rPr>
          <w:rFonts w:ascii="Times New Roman" w:cs="Times New Roman" w:eastAsia="Times New Roman" w:hAnsi="Times New Roman"/>
          <w:sz w:val="24"/>
          <w:szCs w:val="24"/>
        </w:rPr>
        <w:t xml:space="preserve">Dettmers, T., Pagnoni, A., Holtzman, A., &amp; Zettlemoyer, L. (2023). QLoRA: Efficient finetuning of quantized LLMs. arXiv. https://arxiv.org/abs/2305.14314</w:t>
      </w:r>
    </w:p>
    <w:p>
      <w:pPr>
        <w:spacing w:after="160" w:line="300" w:lineRule="auto"/>
        <w:ind w:left="360" w:hanging="360"/>
        <w:jc w:val="both"/>
      </w:pPr>
      <w:r>
        <w:rPr>
          <w:rFonts w:ascii="Times New Roman" w:cs="Times New Roman" w:eastAsia="Times New Roman" w:hAnsi="Times New Roman"/>
          <w:sz w:val="24"/>
          <w:szCs w:val="24"/>
        </w:rPr>
        <w:t xml:space="preserve">Doshi-Velez, F., &amp; Kim, B. (2017). Towards a rigorous science of interpretable machine learning. arXiv. https://arxiv.org/abs/1702.08608</w:t>
      </w:r>
    </w:p>
    <w:p>
      <w:pPr>
        <w:spacing w:after="160" w:line="300" w:lineRule="auto"/>
        <w:ind w:left="360" w:hanging="360"/>
        <w:jc w:val="both"/>
      </w:pPr>
      <w:r>
        <w:rPr>
          <w:rFonts w:ascii="Times New Roman" w:cs="Times New Roman" w:eastAsia="Times New Roman" w:hAnsi="Times New Roman"/>
          <w:sz w:val="24"/>
          <w:szCs w:val="24"/>
        </w:rPr>
        <w:t xml:space="preserve">Fette, I., Sadeh, N., &amp; Tomasic, A. (2007). Learning to detect phishing emails. Proceedings of the 16th International Conference on World Wide Web, 649–656. https://doi.org/10.1145/1242572.1242660</w:t>
      </w:r>
    </w:p>
    <w:p>
      <w:pPr>
        <w:spacing w:after="160" w:line="300" w:lineRule="auto"/>
        <w:ind w:left="360" w:hanging="360"/>
        <w:jc w:val="both"/>
      </w:pPr>
      <w:r>
        <w:rPr>
          <w:rFonts w:ascii="Times New Roman" w:cs="Times New Roman" w:eastAsia="Times New Roman" w:hAnsi="Times New Roman"/>
          <w:sz w:val="24"/>
          <w:szCs w:val="24"/>
        </w:rPr>
        <w:t xml:space="preserve">Frantar, E., Ashkboos, S., Hoefler, T., &amp; Alistarh, D. (2023). GPTQ: Accurate post-training quantization for generative pre-trained transformers. Proceedings of the 11th International Conference on Learning Representations (ICLR).</w:t>
      </w:r>
    </w:p>
    <w:p>
      <w:pPr>
        <w:spacing w:after="160" w:line="300" w:lineRule="auto"/>
        <w:ind w:left="360" w:hanging="360"/>
        <w:jc w:val="both"/>
      </w:pPr>
      <w:r>
        <w:rPr>
          <w:rFonts w:ascii="Times New Roman" w:cs="Times New Roman" w:eastAsia="Times New Roman" w:hAnsi="Times New Roman"/>
          <w:sz w:val="24"/>
          <w:szCs w:val="24"/>
        </w:rPr>
        <w:t xml:space="preserve">Guidotti, R., Monreale, A., Ruggieri, S., Turini, F., Giannotti, F., &amp; Pedreschi, D. (2018). A survey of methods for explaining black box models. ACM Computing Surveys, 51(5), Article 93. https://doi.org/10.1145/3236009</w:t>
      </w:r>
    </w:p>
    <w:p>
      <w:pPr>
        <w:spacing w:after="160" w:line="300" w:lineRule="auto"/>
        <w:ind w:left="360" w:hanging="360"/>
        <w:jc w:val="both"/>
      </w:pPr>
      <w:r>
        <w:rPr>
          <w:rFonts w:ascii="Times New Roman" w:cs="Times New Roman" w:eastAsia="Times New Roman" w:hAnsi="Times New Roman"/>
          <w:sz w:val="24"/>
          <w:szCs w:val="24"/>
        </w:rPr>
        <w:t xml:space="preserve">Kymatio. (2026, February 11). 2026 phishing benchmarks: Analyzing click rates by industry, size, and AI impact for NIS2 compliance. https://kymatio.com/blog/2026-phishing-benchmarks-industry-click-rates</w:t>
      </w:r>
    </w:p>
    <w:p>
      <w:pPr>
        <w:spacing w:after="160" w:line="300" w:lineRule="auto"/>
        <w:ind w:left="360" w:hanging="360"/>
        <w:jc w:val="both"/>
      </w:pPr>
      <w:r>
        <w:rPr>
          <w:rFonts w:ascii="Times New Roman" w:cs="Times New Roman" w:eastAsia="Times New Roman" w:hAnsi="Times New Roman"/>
          <w:sz w:val="24"/>
          <w:szCs w:val="24"/>
        </w:rPr>
        <w:t xml:space="preserve">Lim, B., Huerta, R., Sotelo, A., Quintela, A., &amp; Kumar, P. (2025). EXPLICATE: Enhancing phishing detection through explainable AI and LLM-powered interpretability. arXiv. https://arxiv.org/abs/2503.20796</w:t>
      </w:r>
    </w:p>
    <w:p>
      <w:pPr>
        <w:spacing w:after="160" w:line="300" w:lineRule="auto"/>
        <w:ind w:left="360" w:hanging="360"/>
        <w:jc w:val="both"/>
      </w:pPr>
      <w:r>
        <w:rPr>
          <w:rFonts w:ascii="Times New Roman" w:cs="Times New Roman" w:eastAsia="Times New Roman" w:hAnsi="Times New Roman"/>
          <w:sz w:val="24"/>
          <w:szCs w:val="24"/>
        </w:rPr>
        <w:t xml:space="preserve">Lundberg, S. M., &amp; Lee, S.-I. (2017). A unified approach to interpreting model predictions. Advances in Neural Information Processing Systems, 30, 4765–4774.</w:t>
      </w:r>
    </w:p>
    <w:p>
      <w:pPr>
        <w:spacing w:after="160" w:line="300" w:lineRule="auto"/>
        <w:ind w:left="360" w:hanging="360"/>
        <w:jc w:val="both"/>
      </w:pPr>
      <w:r>
        <w:rPr>
          <w:rFonts w:ascii="Times New Roman" w:cs="Times New Roman" w:eastAsia="Times New Roman" w:hAnsi="Times New Roman"/>
          <w:sz w:val="24"/>
          <w:szCs w:val="24"/>
        </w:rPr>
        <w:t xml:space="preserve">Meta AI. (2024). The Llama 3 herd of models. https://arxiv.org/abs/2407.21783</w:t>
      </w:r>
    </w:p>
    <w:p>
      <w:pPr>
        <w:spacing w:after="160" w:line="300" w:lineRule="auto"/>
        <w:ind w:left="360" w:hanging="360"/>
        <w:jc w:val="both"/>
      </w:pPr>
      <w:r>
        <w:rPr>
          <w:rFonts w:ascii="Times New Roman" w:cs="Times New Roman" w:eastAsia="Times New Roman" w:hAnsi="Times New Roman"/>
          <w:sz w:val="24"/>
          <w:szCs w:val="24"/>
        </w:rPr>
        <w:t xml:space="preserve">Metsis, V., Androutsopoulos, I., &amp; Paliouras, G. (2006). Spam filtering with Naive Bayes — Which Naive Bayes? Proceedings of the 3rd Conference on Email and Anti-Spam (CEAS).</w:t>
      </w:r>
    </w:p>
    <w:p>
      <w:pPr>
        <w:spacing w:after="160" w:line="300" w:lineRule="auto"/>
        <w:ind w:left="360" w:hanging="360"/>
        <w:jc w:val="both"/>
      </w:pPr>
      <w:r>
        <w:rPr>
          <w:rFonts w:ascii="Times New Roman" w:cs="Times New Roman" w:eastAsia="Times New Roman" w:hAnsi="Times New Roman"/>
          <w:sz w:val="24"/>
          <w:szCs w:val="24"/>
        </w:rPr>
        <w:t xml:space="preserve">Microsoft. (2024). Phi-3 technical report: A highly capable language model locally on your phone. https://arxiv.org/abs/2404.14219</w:t>
      </w:r>
    </w:p>
    <w:p>
      <w:pPr>
        <w:spacing w:after="160" w:line="300" w:lineRule="auto"/>
        <w:ind w:left="360" w:hanging="360"/>
        <w:jc w:val="both"/>
      </w:pPr>
      <w:r>
        <w:rPr>
          <w:rFonts w:ascii="Times New Roman" w:cs="Times New Roman" w:eastAsia="Times New Roman" w:hAnsi="Times New Roman"/>
          <w:sz w:val="24"/>
          <w:szCs w:val="24"/>
        </w:rPr>
        <w:t xml:space="preserve">Miller, T. (2019). Explanation in artificial intelligence: Insights from the social sciences. Artificial Intelligence, 267, 1–38. https://doi.org/10.1016/j.artint.2018.07.007</w:t>
      </w:r>
    </w:p>
    <w:p>
      <w:pPr>
        <w:spacing w:after="160" w:line="300" w:lineRule="auto"/>
        <w:ind w:left="360" w:hanging="360"/>
        <w:jc w:val="both"/>
      </w:pPr>
      <w:r>
        <w:rPr>
          <w:rFonts w:ascii="Times New Roman" w:cs="Times New Roman" w:eastAsia="Times New Roman" w:hAnsi="Times New Roman"/>
          <w:sz w:val="24"/>
          <w:szCs w:val="24"/>
        </w:rPr>
        <w:t xml:space="preserve">Mistral AI. (2023). Mistral 7B. https://arxiv.org/abs/2310.06825</w:t>
      </w:r>
    </w:p>
    <w:p>
      <w:pPr>
        <w:spacing w:after="160" w:line="300" w:lineRule="auto"/>
        <w:ind w:left="360" w:hanging="360"/>
        <w:jc w:val="both"/>
      </w:pPr>
      <w:r>
        <w:rPr>
          <w:rFonts w:ascii="Times New Roman" w:cs="Times New Roman" w:eastAsia="Times New Roman" w:hAnsi="Times New Roman"/>
          <w:sz w:val="24"/>
          <w:szCs w:val="24"/>
        </w:rPr>
        <w:t xml:space="preserve">Mohammad, R. M., Thabtah, F., &amp; McCluskey, L. (2016). Predicting phishing websites based on self-structuring neural network. Neural Computing and Applications, 25(2), 443–458. https://doi.org/10.1007/s00521-013-1490-z</w:t>
      </w:r>
    </w:p>
    <w:p>
      <w:pPr>
        <w:spacing w:after="160" w:line="300" w:lineRule="auto"/>
        <w:ind w:left="360" w:hanging="360"/>
        <w:jc w:val="both"/>
      </w:pPr>
      <w:r>
        <w:rPr>
          <w:rFonts w:ascii="Times New Roman" w:cs="Times New Roman" w:eastAsia="Times New Roman" w:hAnsi="Times New Roman"/>
          <w:sz w:val="24"/>
          <w:szCs w:val="24"/>
        </w:rPr>
        <w:t xml:space="preserve">Molnar, C. (2020). Interpretable machine learning: A guide for making black box models explainable. https://christophm.github.io/interpretable-ml-book/</w:t>
      </w:r>
    </w:p>
    <w:p>
      <w:pPr>
        <w:spacing w:after="160" w:line="300" w:lineRule="auto"/>
        <w:ind w:left="360" w:hanging="360"/>
        <w:jc w:val="both"/>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160" w:line="300" w:lineRule="auto"/>
        <w:ind w:left="360" w:hanging="360"/>
        <w:jc w:val="both"/>
      </w:pPr>
      <w:r>
        <w:rPr>
          <w:rFonts w:ascii="Times New Roman" w:cs="Times New Roman" w:eastAsia="Times New Roman" w:hAnsi="Times New Roman"/>
          <w:sz w:val="24"/>
          <w:szCs w:val="24"/>
        </w:rPr>
        <w:t xml:space="preserve">Peffers, K., Tuunanen, T., Rothenberger, M. A., &amp; Chatterjee, S. (2007). A design science research methodology for information systems research. Journal of Management Information Systems, 24(3), 45–77. https://doi.org/10.2753/MIS0742-1222240302</w:t>
      </w:r>
    </w:p>
    <w:p>
      <w:pPr>
        <w:spacing w:after="160" w:line="300" w:lineRule="auto"/>
        <w:ind w:left="360" w:hanging="360"/>
        <w:jc w:val="both"/>
      </w:pPr>
      <w:r>
        <w:rPr>
          <w:rFonts w:ascii="Times New Roman" w:cs="Times New Roman" w:eastAsia="Times New Roman" w:hAnsi="Times New Roman"/>
          <w:sz w:val="24"/>
          <w:szCs w:val="24"/>
        </w:rPr>
        <w:t xml:space="preserve">Ribeiro, M. T., Singh, S., &amp; Guestrin, C. (2016). "Why should I trust you?": Explaining the predictions of any classifier. Proceedings of the 22nd ACM SIGKDD International Conference on Knowledge Discovery and Data Mining, 1135–1144. https://doi.org/10.1145/2939672.2939778</w:t>
      </w:r>
    </w:p>
    <w:p>
      <w:pPr>
        <w:spacing w:after="160" w:line="300" w:lineRule="auto"/>
        <w:ind w:left="360" w:hanging="360"/>
        <w:jc w:val="both"/>
      </w:pPr>
      <w:r>
        <w:rPr>
          <w:rFonts w:ascii="Times New Roman" w:cs="Times New Roman" w:eastAsia="Times New Roman" w:hAnsi="Times New Roman"/>
          <w:sz w:val="24"/>
          <w:szCs w:val="24"/>
        </w:rPr>
        <w:t xml:space="preserve">Ribeiro, M. T., Singh, S., &amp; Guestrin, C. (2018). Anchors: High-precision model-agnostic explanations. Proceedings of the AAAI Conference on Artificial Intelligence, 32(1), 1527–1535. https://doi.org/10.1609/aaai.v32i1.11491</w:t>
      </w:r>
    </w:p>
    <w:p>
      <w:pPr>
        <w:spacing w:after="160" w:line="300" w:lineRule="auto"/>
        <w:ind w:left="360" w:hanging="360"/>
        <w:jc w:val="both"/>
      </w:pPr>
      <w:r>
        <w:rPr>
          <w:rFonts w:ascii="Times New Roman" w:cs="Times New Roman" w:eastAsia="Times New Roman" w:hAnsi="Times New Roman"/>
          <w:sz w:val="24"/>
          <w:szCs w:val="24"/>
        </w:rPr>
        <w:t xml:space="preserve">Sahingoz, O. K., Buber, E., Demir, O., &amp; Diri, B. (2019). Machine learning based phishing detection from URLs. Expert Systems with Applications, 117, 345–357. https://doi.org/10.1016/j.eswa.2018.09.029</w:t>
      </w:r>
    </w:p>
    <w:p>
      <w:pPr>
        <w:spacing w:after="160" w:line="300" w:lineRule="auto"/>
        <w:ind w:left="360" w:hanging="360"/>
        <w:jc w:val="both"/>
      </w:pPr>
      <w:r>
        <w:rPr>
          <w:rFonts w:ascii="Times New Roman" w:cs="Times New Roman" w:eastAsia="Times New Roman" w:hAnsi="Times New Roman"/>
          <w:sz w:val="24"/>
          <w:szCs w:val="24"/>
        </w:rPr>
        <w:t xml:space="preserve">Salih, A. M., Raisi-Estabragh, Z., Boscolo Galazzo, I., Radeva, P., Petersen, S. E., Lekadir, K., &amp; Menegaz, G. (2024). A perspective on explainable artificial intelligence methods: SHAP and LIME. Advanced Intelligent Systems, 7(1), Article 2400304. https://doi.org/10.1002/aisy.202400304</w:t>
      </w:r>
    </w:p>
    <w:p>
      <w:pPr>
        <w:spacing w:after="160" w:line="300" w:lineRule="auto"/>
        <w:ind w:left="360" w:hanging="360"/>
        <w:jc w:val="both"/>
      </w:pPr>
      <w:r>
        <w:rPr>
          <w:rFonts w:ascii="Times New Roman" w:cs="Times New Roman" w:eastAsia="Times New Roman" w:hAnsi="Times New Roman"/>
          <w:sz w:val="24"/>
          <w:szCs w:val="24"/>
        </w:rPr>
        <w:t xml:space="preserve">Surfshark. (2026). Data breach statistics by quarter: Q1 2026 regional analysis. Surfshark Research. https://surfshark.com/research/data-breach-monitoring/quarterly-analysis</w:t>
      </w:r>
    </w:p>
    <w:p>
      <w:pPr>
        <w:spacing w:after="160" w:line="300" w:lineRule="auto"/>
        <w:ind w:left="360" w:hanging="360"/>
        <w:jc w:val="both"/>
      </w:pPr>
      <w:r>
        <w:rPr>
          <w:rFonts w:ascii="Times New Roman" w:cs="Times New Roman" w:eastAsia="Times New Roman" w:hAnsi="Times New Roman"/>
          <w:sz w:val="24"/>
          <w:szCs w:val="24"/>
        </w:rPr>
        <w:t xml:space="preserve">Touvron, H., Lavril, T., Izacard, G., Martinet, X., Lachaux, M.-A., Lacroix, T., Rozière, B., Goyal, N., Hambro, E., Azhar, F., Rodriguez, A., Joulin, A., Grave, E., &amp; Lample, G. (2023). LLaMA: Open and efficient foundation language models. arXiv. https://arxiv.org/abs/2302.13971</w:t>
      </w:r>
    </w:p>
    <w:p>
      <w:pPr>
        <w:spacing w:after="160" w:line="300" w:lineRule="auto"/>
        <w:ind w:left="360" w:hanging="360"/>
        <w:jc w:val="both"/>
      </w:pPr>
      <w:r>
        <w:rPr>
          <w:rFonts w:ascii="Times New Roman" w:cs="Times New Roman" w:eastAsia="Times New Roman" w:hAnsi="Times New Roman"/>
          <w:sz w:val="24"/>
          <w:szCs w:val="24"/>
        </w:rPr>
        <w:t xml:space="preserve">Vaswani, A., Shazeer, N., Parmar, N., Uszkoreit, J., Jones, L., Gomez, A. N., Kaiser, Ł., &amp; Polosukhin, I. (2017). Attention is all you need. Advances in Neural Information Processing Systems, 30, 5998–6008.</w:t>
      </w:r>
    </w:p>
    <w:p>
      <w:pPr>
        <w:spacing w:after="160" w:line="300" w:lineRule="auto"/>
        <w:ind w:left="360" w:hanging="360"/>
        <w:jc w:val="both"/>
      </w:pPr>
      <w:r>
        <w:rPr>
          <w:rFonts w:ascii="Times New Roman" w:cs="Times New Roman" w:eastAsia="Times New Roman" w:hAnsi="Times New Roman"/>
          <w:sz w:val="24"/>
          <w:szCs w:val="24"/>
        </w:rPr>
        <w:t xml:space="preserve">Verizon. (2025). 2025 data breach investigations report. https://www.verizon.com/business/resources/reports/2025-dbir-data-breach-investigations-report.pdf</w:t>
      </w:r>
    </w:p>
    <w:p>
      <w:pPr>
        <w:spacing w:after="160" w:line="300" w:lineRule="auto"/>
        <w:ind w:left="360" w:hanging="360"/>
        <w:jc w:val="both"/>
      </w:pPr>
      <w:r>
        <w:rPr>
          <w:rFonts w:ascii="Times New Roman" w:cs="Times New Roman" w:eastAsia="Times New Roman" w:hAnsi="Times New Roman"/>
          <w:sz w:val="24"/>
          <w:szCs w:val="24"/>
        </w:rPr>
        <w:t xml:space="preserve">Vyme, D. (2026, February 2). AI impact on phishing in 2025 &amp; 2026: How speed became the attacker's greatest weapon. LinkedIn. https://www.linkedin.com/pulse/ai-impact-phishing-2025-2026-how-speed-became-attackers-greatest-wsouf/</w:t>
      </w:r>
    </w:p>
    <w:p>
      <w:pPr>
        <w:spacing w:after="160" w:line="300" w:lineRule="auto"/>
        <w:ind w:left="360" w:hanging="360"/>
        <w:jc w:val="both"/>
      </w:pPr>
      <w:r>
        <w:rPr>
          <w:rFonts w:ascii="Times New Roman" w:cs="Times New Roman" w:eastAsia="Times New Roman" w:hAnsi="Times New Roman"/>
          <w:sz w:val="24"/>
          <w:szCs w:val="24"/>
        </w:rPr>
        <w:t xml:space="preserve">Whittaker, C., Ryner, B., &amp; Nazif, M. (2010). Large-scale automatic classification of phishing pages. Proceedings of the 17th Network and Distributed System Security Symposium (NDSS).</w:t>
      </w:r>
    </w:p>
    <w:p>
      <w:pPr>
        <w:spacing w:after="160" w:line="300" w:lineRule="auto"/>
        <w:ind w:left="360" w:hanging="360"/>
        <w:jc w:val="both"/>
      </w:pPr>
      <w:r>
        <w:rPr>
          <w:rFonts w:ascii="Times New Roman" w:cs="Times New Roman" w:eastAsia="Times New Roman" w:hAnsi="Times New Roman"/>
          <w:sz w:val="24"/>
          <w:szCs w:val="24"/>
        </w:rPr>
        <w:t xml:space="preserve">Zhang, Y., Hong, J. I., &amp; Cranor, L. F. (2007). Cantina: A content-based approach to detecting phishing web sites. Proceedings of the 16th International Conference on World Wide Web, 639–648. https://doi.org/10.1145/1242572.1242659</w:t>
      </w:r>
    </w:p>
    <w:p>
      <w:pPr>
        <w:pStyle w:val="Heading1"/>
        <w:pageBreakBefore/>
        <w:spacing w:after="360" w:before="240" w:line="300" w:lineRule="auto"/>
        <w:jc w:val="center"/>
      </w:pPr>
      <w:r>
        <w:rPr>
          <w:rFonts w:ascii="Times New Roman" w:cs="Times New Roman" w:eastAsia="Times New Roman" w:hAnsi="Times New Roman"/>
          <w:b/>
          <w:bCs/>
          <w:sz w:val="30"/>
          <w:szCs w:val="30"/>
        </w:rPr>
        <w:t xml:space="preserve">APPENDICES (NOTE)</w:t>
      </w:r>
    </w:p>
    <w:p>
      <w:pPr>
        <w:spacing w:after="200" w:line="300" w:lineRule="auto"/>
        <w:jc w:val="both"/>
      </w:pPr>
      <w:r>
        <w:rPr>
          <w:rFonts w:ascii="Times New Roman" w:cs="Times New Roman" w:eastAsia="Times New Roman" w:hAnsi="Times New Roman"/>
          <w:sz w:val="24"/>
          <w:szCs w:val="24"/>
        </w:rPr>
        <w:t xml:space="preserve">This draft omits the appendix contents themselves — the non-expert evaluation questionnaire, full source-code listings, and additional screenshots — since they are already assembled separately in the project repository (docs/user_evaluation_questionnaire.md and the docs/figures directory) and should be inserted directly rather than retyped. The certification, approval, dedication, and acknowledgement pages required by the department's format have also been left out of this draft deliberately: they are personal statements the department expects in the student's own words and signature, not content a draft should pre-write.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2026-07-27T21:41:29.863Z</dcterms:created>
  <dcterms:modified xsi:type="dcterms:W3CDTF">2026-07-27T21:41:29.864Z</dcterms:modified>
</cp:coreProperties>
</file>

<file path=docProps/custom.xml><?xml version="1.0" encoding="utf-8"?>
<Properties xmlns="http://schemas.openxmlformats.org/officeDocument/2006/custom-properties" xmlns:vt="http://schemas.openxmlformats.org/officeDocument/2006/docPropsVTypes"/>
</file>