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1868D"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 w:val="0"/>
        <w:autoSpaceDN w:val="0"/>
        <w:jc w:val="center"/>
        <w:rPr>
          <w:rFonts w:hint="eastAsia" w:eastAsia="宋体"/>
          <w:lang w:val="en-US" w:eastAsia="zh-CN"/>
        </w:rPr>
      </w:pPr>
      <w:r>
        <w:rPr>
          <w:rFonts w:hint="default" w:ascii="Times New Roman" w:hAnsi="Times New Roman" w:cs="Times New Roman"/>
        </w:rPr>
        <w:t>Lab 01</w:t>
      </w:r>
      <w:r>
        <w:rPr>
          <w:rFonts w:hint="eastAsia" w:ascii="宋体" w:hAnsi="宋体" w:eastAsia="宋体" w:cs="宋体"/>
        </w:rPr>
        <w:t xml:space="preserve">实验报</w:t>
      </w:r>
      <w:r>
        <w:rPr>
          <w:rFonts w:hint="eastAsia" w:ascii="宋体" w:hAnsi="宋体" w:eastAsia="宋体" w:cs="宋体"/>
          <w:lang w:val="en-US" w:eastAsia="zh-CN"/>
        </w:rPr>
        <w:t>告</w:t>
      </w:r>
    </w:p>
    <w:p w14:paraId="4FA13470">
      <w:pPr>
        <w:pStyle w:val="3"/>
        <w:autoSpaceDE w:val="0"/>
        <w:autoSpaceDN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1实验</w:t>
      </w:r>
      <w:r>
        <w:rPr>
          <w:rFonts w:hint="eastAsia" w:ascii="宋体" w:hAnsi="宋体" w:eastAsia="宋体" w:cs="宋体"/>
          <w:lang w:val="en-US" w:eastAsia="zh-CN"/>
        </w:rPr>
        <w:t>目的</w:t>
      </w:r>
    </w:p>
    <w:p w14:paraId="68DFDAA2">
      <w:pPr>
        <w:widowControl/>
        <w:autoSpaceDE w:val="0"/>
        <w:autoSpaceDN w:val="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本实验根据课程给出的网络结构推导权重</w:t>
      </w:r>
      <m:oMath>
        <m:sSub>
          <m:sSubPr/>
          <m:e>
            <m:r>
              <m:rPr/>
              <w:rPr>
                <w:rFonts w:ascii="Cambria Math" w:hAnsi="Cambria Math"/>
                <w:sz w:val="22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>3</m:t>
            </m:r>
          </m:sub>
        </m:sSub>
      </m:oMath>
      <w:r>
        <w:rPr>
          <w:rFonts w:ascii="Times New Roman" w:hAnsi="Times New Roman" w:eastAsia="宋体"/>
          <w:b w:val="0"/>
          <w:color w:val="000000"/>
          <w:sz w:val="22"/>
        </w:rPr>
        <w:t xml:space="preserve">的反向传播公式，并使用PyTorch实现包含三个线性层的全连接神经网络，在MNIST数据集上完成手写数字分类。</w:t>
      </w:r>
    </w:p>
    <w:p w14:paraId="4E032159">
      <w:pPr>
        <w:pStyle w:val="3"/>
        <w:autoSpaceDE w:val="0"/>
        <w:autoSpaceDN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2 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W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</w:rPr>
        <w:t xml:space="preserve">的反向</w:t>
      </w:r>
      <w:r>
        <w:rPr>
          <w:rFonts w:hint="eastAsia" w:ascii="宋体" w:hAnsi="宋体" w:eastAsia="宋体" w:cs="宋体"/>
          <w:lang w:val="en-US" w:eastAsia="zh-CN"/>
        </w:rPr>
        <w:t>传播推导</w:t>
      </w:r>
    </w:p>
    <w:p w14:paraId="0B8F0E1D">
      <w:pPr>
        <w:pStyle w:val="4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2.1前向传播与损失函数</w:t>
      </w:r>
    </w:p>
    <w:p w14:paraId="126F1868">
      <w:pPr>
        <w:widowControl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沿用课件中的节点命名：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H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H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表示隐藏节点的加权输入，</w:t>
      </w:r>
      <m:oMath>
        <m:r>
          <m:rPr/>
          <w:rPr>
            <w:rFonts w:hint="eastAsia" w:ascii="Cambria Math" w:hAnsi="Cambria Math" w:eastAsia="宋体" w:cs="宋体"/>
            <w:sz w:val="22"/>
          </w:rPr>
          <m:t>H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、</w:t>
      </w:r>
      <m:oMath>
        <m:r>
          <m:rPr/>
          <w:rPr>
            <w:rFonts w:hint="eastAsia" w:ascii="Cambria Math" w:hAnsi="Cambria Math" w:eastAsia="宋体" w:cs="宋体"/>
            <w:sz w:val="22"/>
          </w:rPr>
          <m:t>H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表示激活后的输出；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O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O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为输出节点的加权输入，</w:t>
      </w:r>
      <m:oMath>
        <m:r>
          <m:rPr/>
          <w:rPr>
            <w:rFonts w:hint="eastAsia" w:ascii="Cambria Math" w:hAnsi="Cambria Math" w:eastAsia="宋体" w:cs="宋体"/>
            <w:sz w:val="22"/>
          </w:rPr>
          <m:t>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、</w:t>
      </w:r>
      <m:oMath>
        <m:r>
          <m:rPr/>
          <w:rPr>
            <w:rFonts w:hint="eastAsia" w:ascii="Cambria Math" w:hAnsi="Cambria Math" w:eastAsia="宋体" w:cs="宋体"/>
            <w:sz w:val="22"/>
          </w:rPr>
          <m:t>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为最终预测值。设偏置节点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B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2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B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2"/>
          </w:rPr>
          <m:t>=1</m:t>
        </m:r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，隐藏层激活函数为</w:t>
      </w:r>
      <m:oMath>
        <m:r>
          <m:rPr/>
          <w:rPr>
            <w:rFonts w:hint="eastAsia" w:ascii="Cambria Math" w:hAnsi="Cambria Math" w:eastAsia="宋体" w:cs="宋体"/>
            <w:sz w:val="22"/>
          </w:rPr>
          <m:t>f</m:t>
        </m:r>
      </m:oMath>
      <w:r>
        <w:rPr>
          <w:rFonts w:hint="eastAsia" w:ascii="宋体" w:hAnsi="宋体" w:eastAsia="宋体" w:cs="宋体"/>
          <w:b w:val="0"/>
          <w:color w:val="000000"/>
          <w:sz w:val="22"/>
        </w:rPr>
        <w:t>。</w:t>
      </w:r>
    </w:p>
    <w:p w14:paraId="4B85C6EA">
      <w:pPr>
        <w:widowControl/>
        <w:autoSpaceDE w:val="0"/>
        <w:autoSpaceDN w:val="0"/>
        <w:rPr>
          <w:rFonts w:hint="eastAsia" w:ascii="宋体" w:hAnsi="宋体" w:eastAsia="宋体" w:cs="宋体"/>
        </w:rPr>
      </w:pP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W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连接输入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I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与隐藏节点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H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，因此：</w:t>
      </w:r>
    </w:p>
    <w:p w14:paraId="73EBA038">
      <w:pPr>
        <w:keepNext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H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I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3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I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5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B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,</m:t>
          </m:r>
        </m:oMath>
      </m:oMathPara>
    </w:p>
    <w:p w14:paraId="5AE99883">
      <w:pPr>
        <w:keepNext w:val="0"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2"/>
            </w:rPr>
            <m:t>H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A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r>
            <m:rPr/>
            <w:rPr>
              <w:rFonts w:hint="eastAsia" w:ascii="Cambria Math" w:hAnsi="Cambria Math" w:eastAsia="宋体" w:cs="宋体"/>
              <w:sz w:val="22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H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).</m:t>
          </m:r>
        </m:oMath>
      </m:oMathPara>
    </w:p>
    <w:p w14:paraId="5DFD5531">
      <w:pPr>
        <w:widowControl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第二个隐藏节点满足：</w:t>
      </w:r>
    </w:p>
    <w:p w14:paraId="43D4B75D">
      <w:pPr>
        <w:keepNext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H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I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4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I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6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B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,</m:t>
          </m:r>
        </m:oMath>
      </m:oMathPara>
    </w:p>
    <w:p w14:paraId="5583C9F3">
      <w:pPr>
        <w:keepNext w:val="0"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2"/>
            </w:rPr>
            <m:t>H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A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r>
            <m:rPr/>
            <w:rPr>
              <w:rFonts w:hint="eastAsia" w:ascii="Cambria Math" w:hAnsi="Cambria Math" w:eastAsia="宋体" w:cs="宋体"/>
              <w:sz w:val="22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H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).</m:t>
          </m:r>
        </m:oMath>
      </m:oMathPara>
    </w:p>
    <w:p w14:paraId="63B51A5E">
      <w:pPr>
        <w:widowControl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输出层的前向计算为：</w:t>
      </w:r>
    </w:p>
    <w:p w14:paraId="7C7096A9">
      <w:pPr>
        <w:keepNext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O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7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2"/>
            </w:rPr>
            <m:t>H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A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9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2"/>
            </w:rPr>
            <m:t>H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A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B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,</m:t>
          </m:r>
        </m:oMath>
      </m:oMathPara>
    </w:p>
    <w:p w14:paraId="2BB077C8">
      <w:pPr>
        <w:keepNext w:val="0"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O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8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2"/>
            </w:rPr>
            <m:t>H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A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10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2"/>
            </w:rPr>
            <m:t>H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A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W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宋体" w:cs="宋体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B</m:t>
              </m:r>
              <m:ctrlPr>
                <w:rPr>
                  <w:rFonts w:hint="eastAsia" w:ascii="Cambria Math" w:hAnsi="Cambria Math" w:eastAsia="宋体" w:cs="宋体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2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.</m:t>
          </m:r>
        </m:oMath>
      </m:oMathPara>
    </w:p>
    <w:p w14:paraId="3324F487">
      <w:pPr>
        <w:widowControl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按照课件中的设定，输出层不使用激活函数，即</w:t>
      </w:r>
      <m:oMath>
        <m:r>
          <m:rPr/>
          <w:rPr>
            <w:rFonts w:hint="eastAsia" w:ascii="Cambria Math" w:hAnsi="Cambria Math" w:eastAsia="宋体" w:cs="宋体"/>
            <w:sz w:val="22"/>
          </w:rPr>
          <m:t>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2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O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、</w:t>
      </w:r>
      <m:oMath>
        <m:r>
          <m:rPr/>
          <w:rPr>
            <w:rFonts w:hint="eastAsia" w:ascii="Cambria Math" w:hAnsi="Cambria Math" w:eastAsia="宋体" w:cs="宋体"/>
            <w:sz w:val="22"/>
          </w:rPr>
          <m:t>O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2"/>
          </w:rPr>
          <m:t>=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O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。设目标值为</w:t>
      </w: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y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2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y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2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>，采用课件给出的均方误差：</w:t>
      </w:r>
    </w:p>
    <w:p w14:paraId="5289AE11">
      <w:pPr>
        <w:keepNext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2"/>
            </w:rPr>
            <m:t>E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1</m:t>
              </m:r>
              <m:ctrlPr>
                <w:rPr>
                  <w:rFonts w:hint="eastAsia" w:ascii="Cambria Math" w:hAnsi="Cambria Math" w:eastAsia="宋体" w:cs="宋体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n</m:t>
              </m:r>
              <m:ctrlPr>
                <w:rPr>
                  <w:rFonts w:hint="eastAsia" w:ascii="Cambria Math" w:hAnsi="Cambria Math" w:eastAsia="宋体" w:cs="宋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宋体" w:cs="宋体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=1</m:t>
              </m:r>
              <m:ctrlPr>
                <w:rPr>
                  <w:rFonts w:hint="eastAsia" w:ascii="Cambria Math" w:hAnsi="Cambria Math" w:eastAsia="宋体" w:cs="宋体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n</m:t>
              </m:r>
              <m:ctrlPr>
                <w:rPr>
                  <w:rFonts w:hint="eastAsia" w:ascii="Cambria Math" w:hAnsi="Cambria Math" w:eastAsia="宋体" w:cs="宋体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2"/>
                    </w:rPr>
                    <m:t>y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2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2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2"/>
                </w:rPr>
                <m:t>O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2"/>
                    </w:rPr>
                    <m:t>A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2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宋体" w:cs="宋体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2"/>
                    </w:rPr>
                    <m:t>)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2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,</m:t>
          </m:r>
        </m:oMath>
      </m:oMathPara>
    </w:p>
    <w:p w14:paraId="3C6F45F0">
      <w:pPr>
        <w:keepNext w:val="0"/>
        <w:autoSpaceDE w:val="0"/>
        <w:autoSpaceDN w:val="0"/>
        <w:spacing w:before="120" w:after="120" w:line="240" w:lineRule="auto"/>
        <w:jc w:val="center"/>
        <w:rPr>
          <w:rFonts w:hint="eastAsia" w:ascii="宋体" w:hAnsi="宋体" w:eastAsia="宋体" w:cs="宋体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2"/>
            </w:rPr>
            <m:t>n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2"/>
            </w:rPr>
            <m:t>=2.</m:t>
          </m:r>
        </m:oMath>
      </m:oMathPara>
    </w:p>
    <w:p w14:paraId="79A7440C">
      <w:pPr>
        <w:pStyle w:val="4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2.2应用链式法则</w:t>
      </w:r>
    </w:p>
    <w:p w14:paraId="466F082D">
      <w:pPr>
        <w:widowControl/>
        <w:autoSpaceDE w:val="0"/>
        <w:autoSpaceDN w:val="0"/>
        <w:rPr>
          <w:rFonts w:hint="eastAsia" w:ascii="宋体" w:hAnsi="宋体" w:eastAsia="宋体" w:cs="宋体"/>
        </w:rPr>
      </w:pPr>
      <m:oMath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W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3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通过</w:t>
      </w:r>
      <m:oMath>
        <m:r>
          <m:rPr/>
          <w:rPr>
            <w:rFonts w:hint="eastAsia" w:ascii="Cambria Math" w:hAnsi="Cambria Math" w:eastAsia="宋体" w:cs="宋体"/>
            <w:sz w:val="22"/>
          </w:rPr>
          <m:t>H</m:t>
        </m:r>
        <m:sSub>
          <m:sSubPr>
            <m:ctrlPr>
              <w:rPr>
                <w:rFonts w:hint="eastAsia" w:ascii="Cambria Math" w:hAnsi="Cambria Math" w:eastAsia="宋体" w:cs="宋体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2"/>
              </w:rPr>
              <m:t>A</m:t>
            </m:r>
            <m:ctrlPr>
              <w:rPr>
                <w:rFonts w:hint="eastAsia" w:ascii="Cambria Math" w:hAnsi="Cambria Math" w:eastAsia="宋体" w:cs="宋体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2"/>
              </w:rPr>
              <m:t>1</m:t>
            </m:r>
            <m:ctrlPr>
              <w:rPr>
                <w:rFonts w:hint="eastAsia" w:ascii="Cambria Math" w:hAnsi="Cambria Math" w:eastAsia="宋体" w:cs="宋体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color w:val="000000"/>
          <w:sz w:val="22"/>
        </w:rPr>
        <w:t xml:space="preserve">影响两个输出节点，所以总梯度由两条路径的贡献相加得到：</w:t>
      </w:r>
    </w:p>
    <w:p w14:paraId="603E9F9F">
      <w:pPr>
        <w:keepNext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=1</m:t>
              </m:r>
              <m:ctrlPr>
                <w:rPr>
                  <w:rFonts w:hint="default" w:ascii="Cambria Math" w:hAnsi="Cambria Math" w:cs="Times New Roma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O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O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O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O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H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H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W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.</m:t>
          </m:r>
        </m:oMath>
      </m:oMathPara>
    </w:p>
    <w:p w14:paraId="724C09C2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各局部导数分别为：</w:t>
      </w:r>
    </w:p>
    <w:p w14:paraId="5BC86F5E">
      <w:pPr>
        <w:keepNext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O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2"/>
                </w:rPr>
                <m:t>n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(</m:t>
          </m:r>
          <m:r>
            <m:rPr/>
            <w:rPr>
              <w:rFonts w:hint="default" w:ascii="Cambria Math" w:hAnsi="Cambria Math" w:cs="Times New Roman"/>
              <w:sz w:val="22"/>
            </w:rPr>
            <m:t>O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A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y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2"/>
                </w:rPr>
                <m:t>k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),</m:t>
          </m:r>
        </m:oMath>
      </m:oMathPara>
    </w:p>
    <w:p w14:paraId="486C7EB3">
      <w:pPr>
        <w:keepNext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O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=1,</m:t>
          </m:r>
        </m:oMath>
      </m:oMathPara>
    </w:p>
    <w:p w14:paraId="036BF543">
      <w:pPr>
        <w:keepNext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H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7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,</m:t>
          </m:r>
        </m:oMath>
      </m:oMathPara>
    </w:p>
    <w:p w14:paraId="5ED8D57F">
      <w:pPr>
        <w:keepNext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O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H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8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,</m:t>
          </m:r>
        </m:oMath>
      </m:oMathPara>
    </w:p>
    <w:p w14:paraId="2A3CE4F8">
      <w:pPr>
        <w:keepNext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H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r>
            <m:rPr/>
            <w:rPr>
              <w:rFonts w:hint="default"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'(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H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1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),</m:t>
          </m:r>
        </m:oMath>
      </m:oMathPara>
    </w:p>
    <w:p w14:paraId="6129C946">
      <w:pPr>
        <w:keepNext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I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2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.</m:t>
          </m:r>
        </m:oMath>
      </m:oMathPara>
    </w:p>
    <w:p w14:paraId="3357C4B5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代入并整理，得到：</w:t>
      </w:r>
    </w:p>
    <w:p w14:paraId="55FC71C7">
      <w:pPr>
        <w:keepNext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borderBox>
            <m:borderBoxPr>
              <m:ctrlPr>
                <w:rPr>
                  <w:rFonts w:hint="default" w:ascii="Cambria Math" w:hAnsi="Cambria Math" w:cs="Times New Roman"/>
                </w:rPr>
              </m:ctrlPr>
            </m:borderBoxPr>
            <m:e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2"/>
                        </w:rPr>
                        <m:t>W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=</m:t>
              </m:r>
              <m:f>
                <m:fPr>
                  <m:ctrlPr>
                    <w:rPr>
                      <w:rFonts w:hint="default"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[(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O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7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+(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O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8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]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f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'(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)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e>
          </m:borderBox>
        </m:oMath>
      </m:oMathPara>
    </w:p>
    <w:p w14:paraId="7E450120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本题</w:t>
      </w:r>
      <m:oMath>
        <m:r>
          <m:rPr/>
          <w:rPr>
            <w:rFonts w:hint="default" w:ascii="Cambria Math" w:hAnsi="Cambria Math" w:cs="Times New Roman"/>
            <w:sz w:val="22"/>
          </w:rPr>
          <m:t>n</m:t>
        </m:r>
        <m:r>
          <m:rPr>
            <m:sty m:val="p"/>
          </m:rPr>
          <w:rPr>
            <w:rFonts w:hint="default" w:ascii="Cambria Math" w:hAnsi="Cambria Math" w:cs="Times New Roman"/>
            <w:sz w:val="22"/>
          </w:rPr>
          <m:t>=2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，因此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2/</m:t>
        </m:r>
        <m:r>
          <m:rPr/>
          <w:rPr>
            <w:rFonts w:hint="default" w:ascii="Cambria Math" w:hAnsi="Cambria Math" w:cs="Times New Roman"/>
            <w:sz w:val="22"/>
          </w:rPr>
          <m:t>n</m:t>
        </m:r>
        <m:r>
          <m:rPr>
            <m:sty m:val="p"/>
          </m:rPr>
          <w:rPr>
            <w:rFonts w:hint="default" w:ascii="Cambria Math" w:hAnsi="Cambria Math" w:cs="Times New Roman"/>
            <w:sz w:val="22"/>
          </w:rPr>
          <m:t>=1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。与课件中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的推导相比，两个权重具有相同的下游传播路径，而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∂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/∂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∂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/∂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5DF7D67D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课件未明确指定隐藏层激活函数，因此推导保留</w:t>
      </w:r>
      <m:oMath>
        <m:r>
          <m:rPr/>
          <w:rPr>
            <w:rFonts w:hint="default" w:ascii="Cambria Math" w:hAnsi="Cambria Math" w:cs="Times New Roman"/>
            <w:sz w:val="22"/>
          </w:rPr>
          <m:t>f</m:t>
        </m:r>
        <m:r>
          <m:rPr>
            <m:sty m:val="p"/>
          </m:rPr>
          <w:rPr>
            <w:rFonts w:hint="default" w:ascii="Cambria Math" w:hAnsi="Cambria Math" w:cs="Times New Roman"/>
            <w:sz w:val="22"/>
          </w:rPr>
          <m:t>'(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。若使用Sigmoid，则</w:t>
      </w:r>
      <m:oMath>
        <m:r>
          <m:rPr/>
          <w:rPr>
            <w:rFonts w:hint="default" w:ascii="Cambria Math" w:hAnsi="Cambria Math" w:cs="Times New Roman"/>
            <w:sz w:val="22"/>
          </w:rPr>
          <m:t>f</m:t>
        </m:r>
        <m:r>
          <m:rPr>
            <m:sty m:val="p"/>
          </m:rPr>
          <w:rPr>
            <w:rFonts w:hint="default" w:ascii="Cambria Math" w:hAnsi="Cambria Math" w:cs="Times New Roman"/>
            <w:sz w:val="22"/>
          </w:rPr>
          <m:t>'(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)=</m:t>
        </m:r>
        <m:r>
          <m:rPr/>
          <w:rPr>
            <w:rFonts w:hint="default" w:ascii="Cambria Math" w:hAnsi="Cambria Math" w:cs="Times New Roman"/>
            <w:sz w:val="22"/>
          </w:rPr>
          <m:t>H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(1−</m:t>
        </m:r>
        <m:r>
          <m:rPr/>
          <w:rPr>
            <w:rFonts w:hint="default" w:ascii="Cambria Math" w:hAnsi="Cambria Math" w:cs="Times New Roman"/>
            <w:sz w:val="22"/>
          </w:rPr>
          <m:t>H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)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；若使用ReLU，则在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&gt;0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时导数为1，在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2"/>
          </w:rPr>
          <m:t>&lt;0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时为0，在0处按实现约定处理。</w:t>
      </w:r>
    </w:p>
    <w:p w14:paraId="53A913DD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采用梯度下降时，权重更新为：</w:t>
      </w:r>
    </w:p>
    <w:p w14:paraId="1E250A68">
      <w:pPr>
        <w:keepNext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3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←</m:t>
          </m:r>
          <m:sSub>
            <m:sSubPr>
              <m:ctrlPr>
                <w:rPr>
                  <w:rFonts w:hint="default" w:ascii="Cambria Math" w:hAnsi="Cambria Math" w:cs="Times New Roma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2"/>
                </w:rPr>
                <m:t>W</m:t>
              </m:r>
              <m:ctrlPr>
                <w:rPr>
                  <w:rFonts w:hint="default" w:ascii="Cambria Math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3</m:t>
              </m:r>
              <m:ctrlPr>
                <w:rPr>
                  <w:rFonts w:hint="default" w:ascii="Cambria Math" w:hAnsi="Cambria Math" w:cs="Times New Roma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−</m:t>
          </m:r>
          <m:r>
            <m:rPr/>
            <w:rPr>
              <w:rFonts w:hint="default" w:ascii="Cambria Math" w:hAnsi="Cambria Math" w:cs="Times New Roman"/>
              <w:sz w:val="22"/>
            </w:rPr>
            <m:t>η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sz w:val="22"/>
                </w:rPr>
                <m:t>E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2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,</m:t>
          </m:r>
        </m:oMath>
      </m:oMathPara>
    </w:p>
    <w:p w14:paraId="3478AC33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其中</w:t>
      </w:r>
      <m:oMath>
        <m:r>
          <m:rPr/>
          <w:rPr>
            <w:rFonts w:hint="default" w:ascii="Cambria Math" w:hAnsi="Cambria Math" w:cs="Times New Roman"/>
            <w:sz w:val="22"/>
          </w:rPr>
          <m:t>η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为学习率。</w:t>
      </w:r>
    </w:p>
    <w:p w14:paraId="3A6B085E">
      <w:pPr>
        <w:pStyle w:val="3"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MNIST</w:t>
      </w:r>
      <w:r>
        <w:rPr>
          <w:rFonts w:hint="eastAsia" w:ascii="宋体" w:hAnsi="宋体" w:eastAsia="宋体" w:cs="宋体"/>
        </w:rPr>
        <w:t xml:space="preserve">分类实验</w:t>
      </w:r>
    </w:p>
    <w:p w14:paraId="4D7FBFA4">
      <w:pPr>
        <w:pStyle w:val="4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3.1数据与网络结构</w:t>
      </w:r>
    </w:p>
    <w:p w14:paraId="78E4DA67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MNIST包含60,000张训练图像和10,000张测试图像，图像为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28×28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灰度图，标签为数字0～9。本实验固定随机种子为42，从原始训练集中随机划分55,000张作为训练集、5,000张作为验证集。测试集用于选模完成后的最终评估。</w:t>
      </w:r>
    </w:p>
    <w:p w14:paraId="2F65BAE9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图像像素缩放至</w:t>
      </w:r>
      <m:oMath>
        <m:r>
          <m:rPr>
            <m:sty m:val="p"/>
          </m:rPr>
          <w:rPr>
            <w:rFonts w:hint="default" w:ascii="Cambria Math" w:hAnsi="Cambria Math" w:cs="Times New Roman"/>
            <w:sz w:val="22"/>
          </w:rPr>
          <m:t>[0,1]</m:t>
        </m:r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，展平后得到784维输入。网络包含两个隐藏层和一个输出层，共三个</w:t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nn.Linear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层：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D861D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0019C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层</w:t>
            </w:r>
          </w:p>
        </w:tc>
        <w:tc>
          <w:tcPr>
            <w:tcW w:w="226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61148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输入维度</w:t>
            </w:r>
          </w:p>
        </w:tc>
        <w:tc>
          <w:tcPr>
            <w:tcW w:w="226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9453D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输出维度</w:t>
            </w:r>
          </w:p>
        </w:tc>
        <w:tc>
          <w:tcPr>
            <w:tcW w:w="2268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EAF0A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激活函数</w:t>
            </w:r>
          </w:p>
        </w:tc>
      </w:tr>
      <w:tr w14:paraId="7E339A2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945F0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第一个线性层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B5814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784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6A2A0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256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E3B95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ReLU</w:t>
            </w:r>
          </w:p>
        </w:tc>
      </w:tr>
      <w:tr w14:paraId="6A3336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287F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第二个线性层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657E9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256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E3978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128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CCEB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ReLU</w:t>
            </w:r>
          </w:p>
        </w:tc>
      </w:tr>
      <w:tr w14:paraId="3A02A6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B638E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第三个线性层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5E3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128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56169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947A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无</w:t>
            </w:r>
          </w:p>
        </w:tc>
      </w:tr>
    </w:tbl>
    <w:p w14:paraId="2CD3537D">
      <w:pPr>
        <w:autoSpaceDE w:val="0"/>
        <w:autoSpaceDN w:val="0"/>
        <w:spacing w:after="0" w:line="60" w:lineRule="exact"/>
        <w:rPr>
          <w:rFonts w:hint="default" w:ascii="Times New Roman" w:hAnsi="Times New Roman" w:cs="Times New Roman"/>
        </w:rPr>
      </w:pPr>
    </w:p>
    <w:p w14:paraId="154F8CC7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每个线性层均包含偏置，网络共有235,146个可训练参数。输出为10个类别的logits，预测类别由最大分数对应的索引确定。模型参数和图像张量均采用</w:t>
      </w:r>
      <w:r>
        <w:rPr>
          <w:rFonts w:hint="default" w:ascii="Times New Roman" w:hAnsi="Times New Roman" w:eastAsia="宋体" w:cs="Times New Roman"/>
          <w:b w:val="0"/>
          <w:color w:val="000000"/>
          <w:sz w:val="20"/>
        </w:rPr>
        <w:t>torch.float32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510681A9">
      <w:pPr>
        <w:pStyle w:val="4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3.2训练设置</w:t>
      </w:r>
    </w:p>
    <w:p w14:paraId="5DB13C9F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分类实验采用交叉熵损失，使用PyTorch自动微分计算参数梯度；第2节的手工推导采用课件给定的均方误差。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5386"/>
      </w:tblGrid>
      <w:tr w14:paraId="45906A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02854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设置</w:t>
            </w:r>
          </w:p>
        </w:tc>
        <w:tc>
          <w:tcPr>
            <w:tcW w:w="538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EF605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取值</w:t>
            </w:r>
          </w:p>
        </w:tc>
      </w:tr>
      <w:tr w14:paraId="40D8F8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7D1C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优化器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63174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Adam</w:t>
            </w:r>
          </w:p>
        </w:tc>
      </w:tr>
      <w:tr w14:paraId="17CF65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FF2CA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批大小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5B19D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256</w:t>
            </w:r>
          </w:p>
        </w:tc>
      </w:tr>
      <w:tr w14:paraId="75B4F9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BD4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训练轮数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03D88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15</w:t>
            </w:r>
          </w:p>
        </w:tc>
      </w:tr>
      <w:tr w14:paraId="39C80C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595B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随机种子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DB336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42</w:t>
            </w:r>
          </w:p>
        </w:tc>
      </w:tr>
      <w:tr w14:paraId="5E2E28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265F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第1～5轮学习率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3E21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0.001</w:t>
            </w:r>
          </w:p>
        </w:tc>
      </w:tr>
      <w:tr w14:paraId="1A94C0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34AA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第6～10轮学习率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E9EA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0.0005</w:t>
            </w:r>
          </w:p>
        </w:tc>
      </w:tr>
      <w:tr w14:paraId="4A1F27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7015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第11～15轮学习率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709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0.00025</w:t>
            </w:r>
          </w:p>
        </w:tc>
      </w:tr>
    </w:tbl>
    <w:p w14:paraId="3F9AE008">
      <w:pPr>
        <w:autoSpaceDE w:val="0"/>
        <w:autoSpaceDN w:val="0"/>
        <w:spacing w:after="0" w:line="60" w:lineRule="exact"/>
        <w:rPr>
          <w:rFonts w:hint="default" w:ascii="Times New Roman" w:hAnsi="Times New Roman" w:cs="Times New Roman"/>
        </w:rPr>
      </w:pPr>
    </w:p>
    <w:p w14:paraId="345B5AE3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每轮训练结束后保存模型权重并评估验证集。以验证准确率最高作为模型选择标准；准确率相同时，选择验证交叉熵更低的权重。完成15轮训练后，加载选出的模型进行最终测试。</w:t>
      </w:r>
    </w:p>
    <w:p w14:paraId="3DE69EE8">
      <w:pPr>
        <w:widowControl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实验环境为Python 3.12.14、PyTorch 2.6.0+cu126、torchvision 0.21.0+cu126、NumPy 2.5.2，使用CUDA运行。</w:t>
      </w:r>
    </w:p>
    <w:p w14:paraId="1A22D1B3">
      <w:pPr>
        <w:pStyle w:val="3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4实验结果与分析</w:t>
      </w:r>
    </w:p>
    <w:p w14:paraId="05583C26">
      <w:pPr>
        <w:pStyle w:val="4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4.1训练过程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3CA787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9DAE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轮次</w:t>
            </w:r>
          </w:p>
        </w:tc>
        <w:tc>
          <w:tcPr>
            <w:tcW w:w="181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54CB8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学习率</w:t>
            </w:r>
          </w:p>
        </w:tc>
        <w:tc>
          <w:tcPr>
            <w:tcW w:w="181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DE8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训练损失</w:t>
            </w:r>
          </w:p>
        </w:tc>
        <w:tc>
          <w:tcPr>
            <w:tcW w:w="181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F0D7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验证损失</w:t>
            </w:r>
          </w:p>
        </w:tc>
        <w:tc>
          <w:tcPr>
            <w:tcW w:w="1814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8170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验证准确率</w:t>
            </w:r>
          </w:p>
        </w:tc>
      </w:tr>
      <w:tr w14:paraId="52BEF4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DFBBB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8305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BF3C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0.4676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1308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0.2416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821F6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93.18%</w:t>
            </w:r>
          </w:p>
        </w:tc>
      </w:tr>
      <w:tr w14:paraId="73AB88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193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4E273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CBB1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0.1785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4B18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0.1653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77B14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95.08%</w:t>
            </w:r>
          </w:p>
        </w:tc>
      </w:tr>
      <w:tr w14:paraId="7C7B7C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E37B8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7C6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60A7C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0.1221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FF516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0.1346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1B76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95.90%</w:t>
            </w:r>
          </w:p>
        </w:tc>
      </w:tr>
      <w:tr w14:paraId="307367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BD1CC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A61B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D2209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0.0912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A4A54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0.1156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A81C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96.50%</w:t>
            </w:r>
          </w:p>
        </w:tc>
      </w:tr>
      <w:tr w14:paraId="21FDCC2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E980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5E4D4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28A0F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0.0711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8BC0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0.1021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068D6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96.90%</w:t>
            </w:r>
          </w:p>
        </w:tc>
      </w:tr>
      <w:tr w14:paraId="489693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C7F6E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4DE38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1A7F9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0.0491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82C7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0.0876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F363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97.16%</w:t>
            </w:r>
          </w:p>
        </w:tc>
      </w:tr>
      <w:tr w14:paraId="549901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798B3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B3B8C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173B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0.0422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0CCD8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0.0860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55665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97.22%</w:t>
            </w:r>
          </w:p>
        </w:tc>
      </w:tr>
      <w:tr w14:paraId="13BBE0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C87F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8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C94E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B545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0.0360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5E2E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0.0877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82AEB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97.32%</w:t>
            </w:r>
          </w:p>
        </w:tc>
      </w:tr>
      <w:tr w14:paraId="6577B5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F5F15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D704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9935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0.0316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6821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0.0823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EC644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97.42%</w:t>
            </w:r>
          </w:p>
        </w:tc>
      </w:tr>
      <w:tr w14:paraId="5B4D58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7DF5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2B9C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122A9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0.0275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6C4D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0.0855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D636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97.34%</w:t>
            </w:r>
          </w:p>
        </w:tc>
      </w:tr>
      <w:tr w14:paraId="66EF58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95DF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11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DFC5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0.00025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FD7A9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0.0203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A089F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0.0796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E1968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97.68%</w:t>
            </w:r>
          </w:p>
        </w:tc>
      </w:tr>
      <w:tr w14:paraId="520EA8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9878E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5D5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0.00025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8692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0.0183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71AD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0.0786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76DB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97.60%</w:t>
            </w:r>
          </w:p>
        </w:tc>
      </w:tr>
      <w:tr w14:paraId="6F282D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E1E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13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9DA0C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0.00025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C67EE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0.0166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AB6F4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0.0822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ADF16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97.46%</w:t>
            </w:r>
          </w:p>
        </w:tc>
      </w:tr>
      <w:tr w14:paraId="6A307D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F1EB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14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1ED87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0.00025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B2562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0.0149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B2345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0.0800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777E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97.72%</w:t>
            </w:r>
          </w:p>
        </w:tc>
      </w:tr>
      <w:tr w14:paraId="5291D0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BC4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15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B66DB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0.00025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BA37D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0.0135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77B8A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0.0796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92A5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97.66%</w:t>
            </w:r>
          </w:p>
        </w:tc>
      </w:tr>
    </w:tbl>
    <w:p w14:paraId="4D6B3C58">
      <w:pPr>
        <w:autoSpaceDE w:val="0"/>
        <w:autoSpaceDN w:val="0"/>
        <w:spacing w:after="0" w:line="60" w:lineRule="exact"/>
        <w:rPr>
          <w:rFonts w:hint="default" w:ascii="Times New Roman" w:hAnsi="Times New Roman" w:cs="Times New Roman"/>
        </w:rPr>
      </w:pPr>
    </w:p>
    <w:p w14:paraId="4417CAEC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训练损失随轮次持续下降，验证准确率在后期出现小幅波动。第14轮的验证准确率最高，因此选取该轮权重。第15轮训练损失进一步下降，但验证准确率略低，说明最终一轮权重不一定具有最高验证准确率。</w:t>
      </w:r>
    </w:p>
    <w:p w14:paraId="7CDF88DA">
      <w:pPr>
        <w:pStyle w:val="4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4.2测试结果</w:t>
      </w:r>
    </w:p>
    <w:p w14:paraId="3EF1310A">
      <w:pPr>
        <w:widowControl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2"/>
        </w:rPr>
        <w:t>使用第14轮权重得到以下结果：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5"/>
        <w:gridCol w:w="5386"/>
      </w:tblGrid>
      <w:tr w14:paraId="35AE05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FAF9D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指标</w:t>
            </w:r>
          </w:p>
        </w:tc>
        <w:tc>
          <w:tcPr>
            <w:tcW w:w="5386" w:type="dxa"/>
            <w:shd w:val="clear" w:color="auto" w:fill="EDEDE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89CDD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结果</w:t>
            </w:r>
          </w:p>
        </w:tc>
      </w:tr>
      <w:tr w14:paraId="1F3433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09D47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验证集正确数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AB275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4,886 / 5,000</w:t>
            </w:r>
          </w:p>
        </w:tc>
      </w:tr>
      <w:tr w14:paraId="2F3F33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EA90D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验证准确率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0ECFA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97.72%</w:t>
            </w:r>
          </w:p>
        </w:tc>
      </w:tr>
      <w:tr w14:paraId="168841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9D83E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测试集正确数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FFC82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9,776 / 10,000</w:t>
            </w:r>
          </w:p>
        </w:tc>
      </w:tr>
      <w:tr w14:paraId="1C6487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C317A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测试准确率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03D3A">
            <w:pPr>
              <w:keepNext/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97.76%</w:t>
            </w:r>
          </w:p>
        </w:tc>
      </w:tr>
      <w:tr w14:paraId="586EC8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40E00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测试交叉熵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778D1">
            <w:pPr>
              <w:autoSpaceDE w:val="0"/>
              <w:autoSpaceDN w:val="0"/>
              <w:spacing w:before="0" w:after="0" w:line="320" w:lineRule="exac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0.0738</w:t>
            </w:r>
          </w:p>
        </w:tc>
      </w:tr>
    </w:tbl>
    <w:p w14:paraId="09E49802">
      <w:pPr>
        <w:autoSpaceDE w:val="0"/>
        <w:autoSpaceDN w:val="0"/>
        <w:spacing w:after="0" w:line="60" w:lineRule="exact"/>
        <w:rPr>
          <w:rFonts w:hint="default" w:ascii="Times New Roman" w:hAnsi="Times New Roman" w:cs="Times New Roman"/>
        </w:rPr>
      </w:pPr>
    </w:p>
    <w:p w14:paraId="0B48B280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准确率按以下公式计算：</w:t>
      </w:r>
    </w:p>
    <w:p w14:paraId="629BC84B">
      <w:pPr>
        <w:keepNext w:val="0"/>
        <w:autoSpaceDE w:val="0"/>
        <w:autoSpaceDN w:val="0"/>
        <w:spacing w:before="120" w:after="120" w:line="240" w:lineRule="auto"/>
        <w:jc w:val="center"/>
        <w:rPr>
          <w:rFonts w:hint="default" w:ascii="Times New Roman" w:hAnsi="Times New Roman" w:cs="Times New Roman"/>
        </w:rPr>
      </w:pPr>
      <m:oMathPara>
        <m:oMath>
          <m:box>
            <m:boxPr>
              <m:ctrlPr>
                <w:rPr>
                  <w:rFonts w:hint="default" w:ascii="Cambria Math" w:hAnsi="Cambria Math" w:cs="Times New Roman"/>
                </w:rPr>
              </m:ctrlPr>
            </m:box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Accuracy</m:t>
              </m:r>
              <m:ctrlPr>
                <w:rPr>
                  <w:rFonts w:hint="default" w:ascii="Cambria Math" w:hAnsi="Cambria Math" w:cs="Times New Roman"/>
                </w:rPr>
              </m:ctrlPr>
            </m:e>
          </m:box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box>
                    <m:box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correct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box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2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box>
                    <m:box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2"/>
                        </w:rPr>
                        <m:t>total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</m:box>
                  <m:ctrlPr>
                    <w:rPr>
                      <w:rFonts w:hint="default" w:ascii="Cambria Math" w:hAnsi="Cambria Math" w:cs="Times New Roma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×100%=</m:t>
          </m:r>
          <m:f>
            <m:fPr>
              <m:ctrlPr>
                <w:rPr>
                  <w:rFonts w:hint="default"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9776</m:t>
              </m:r>
              <m:ctrlPr>
                <w:rPr>
                  <w:rFonts w:hint="default" w:ascii="Cambria Math" w:hAnsi="Cambria Math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sz w:val="22"/>
                </w:rPr>
                <m:t>10000</m:t>
              </m:r>
              <m:ctrlPr>
                <w:rPr>
                  <w:rFonts w:hint="default" w:ascii="Cambria Math" w:hAnsi="Cambria Math" w:cs="Times New Roman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sz w:val="22"/>
            </w:rPr>
            <m:t>×100%=97.76%.</m:t>
          </m:r>
        </m:oMath>
      </m:oMathPara>
    </w:p>
    <w:p w14:paraId="7062C84E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初步实验使用全部60,000张训练图像，固定学习率训练5轮，测试准确率为97.42%。</w:t>
      </w:r>
    </w:p>
    <w:p w14:paraId="5BDEDDDC">
      <w:pPr>
        <w:pStyle w:val="3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5结论</w:t>
      </w:r>
    </w:p>
    <w:p w14:paraId="46A41D43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本实验通过链式法则得到了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2"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的梯度，其结果包含两个输出节点的误差贡献。三层全连接网络在MNIST测试集上取得97.76%的准确率。逐轮验证结果表明，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模型选择应结合验证指标；本实验按验证准确率选择了第14轮模型。</w:t>
      </w:r>
    </w:p>
    <w:p w14:paraId="654F1DC6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完整训练代码为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"mnist_three_linear.py"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mnist_three_linear.py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，逐轮数据见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"runs/mnist_15epochs/history.csv"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history.csv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，最终结果见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"runs/mnist_15epochs/summary.json"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summary.json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，所选权重为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"runs/mnist_15epochs/best_weights.pt"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best_weights.pt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p w14:paraId="2460E80C">
      <w:pPr>
        <w:pStyle w:val="3"/>
        <w:autoSpaceDE w:val="0"/>
        <w:autoSpaceDN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参考资料</w:t>
      </w:r>
    </w:p>
    <w:p w14:paraId="24F60FBF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[1] 课程Lab 01作业幻灯片及反向传播示例。</w:t>
      </w:r>
    </w:p>
    <w:p w14:paraId="2DA1BD1A">
      <w:pPr>
        <w:widowControl/>
        <w:autoSpaceDE w:val="0"/>
        <w:autoSpaceDN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 xml:space="preserve">[2]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"https://docs.pytorch.org/tutorials/beginner/blitz/cifar10_tutorial.html"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PyTorch官方分类训练教程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fldChar w:fldCharType="end"/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。</w:t>
      </w:r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autoSpaceDE w:val="0"/>
        <w:autoSpaceDN w:val="0"/>
        <w:spacing w:line="240" w:lineRule="auto"/>
      </w:pPr>
      <w:r>
        <w:separator/>
      </w:r>
    </w:p>
  </w:endnote>
  <w:endnote w:type="continuationSeparator" w:id="1">
    <w:p>
      <w:pPr>
        <w:autoSpaceDE w:val="0"/>
        <w:autoSpaceDN w:val="0"/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autoSpaceDE w:val="0"/>
        <w:autoSpaceDN w:val="0"/>
        <w:spacing w:before="0" w:after="0" w:line="240" w:lineRule="auto"/>
      </w:pPr>
      <w:r>
        <w:separator/>
      </w:r>
    </w:p>
  </w:footnote>
  <w:footnote w:type="continuationSeparator" w:id="1">
    <w:p>
      <w:pPr>
        <w:autoSpaceDE w:val="0"/>
        <w:autoSpaceDN w:val="0"/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61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exact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36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36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120" w:line="360" w:lineRule="exact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1410</Words>
  <Characters>2054</Characters>
  <Lines>0</Lines>
  <Paragraphs>0</Paragraphs>
  <TotalTime>6</TotalTime>
  <ScaleCrop>false</ScaleCrop>
  <LinksUpToDate>false</LinksUpToDate>
  <CharactersWithSpaces>2160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2026-10-07T07:24:38Z</dcterms:modified>
  <dc:subject>W3 反向传播推导与 MNIST 分类实验</dc:subject>
  <dc:title>Lab 01 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