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br/>
      </w:r>
      <w:r>
        <w:t xml:space="preserve">Biological</w:t>
      </w:r>
      <w:r>
        <w:t xml:space="preserve"> </w:t>
      </w:r>
      <w:r>
        <w:t xml:space="preserve">and</w:t>
      </w:r>
      <w:r>
        <w:t xml:space="preserve"> </w:t>
      </w:r>
      <w:r>
        <w:t xml:space="preserve">Behavioural</w:t>
      </w:r>
      <w:r>
        <w:t xml:space="preserve"> </w:t>
      </w:r>
      <w:r>
        <w:t xml:space="preserve">Determinants</w:t>
      </w:r>
      <w:r>
        <w:t xml:space="preserve"> </w:t>
      </w:r>
      <w:r>
        <w:t xml:space="preserve">of</w:t>
      </w:r>
      <w:r>
        <w:t xml:space="preserve"> </w:t>
      </w:r>
      <w:r>
        <w:t xml:space="preserve">Fertility</w:t>
      </w:r>
      <w:r>
        <w:t xml:space="preserve"> </w:t>
      </w:r>
      <w:r>
        <w:t xml:space="preserve">in</w:t>
      </w:r>
      <w:r>
        <w:t xml:space="preserve"> </w:t>
      </w:r>
      <w:r>
        <w:t xml:space="preserve">Nigeria</w:t>
      </w:r>
    </w:p>
    <w:p>
      <w:pPr>
        <w:pStyle w:val="Subtitle"/>
      </w:pPr>
      <w:r>
        <w:t xml:space="preserve">Working</w:t>
      </w:r>
      <w:r>
        <w:t xml:space="preserve"> </w:t>
      </w:r>
      <w:r>
        <w:t xml:space="preserve">Paper</w:t>
      </w:r>
    </w:p>
    <w:p>
      <w:pPr>
        <w:pStyle w:val="Author"/>
      </w:pPr>
      <w:r>
        <w:t xml:space="preserve">Edifofon</w:t>
      </w:r>
      <w:r>
        <w:t xml:space="preserve"> </w:t>
      </w:r>
      <w:r>
        <w:t xml:space="preserve">Akpan</w:t>
      </w:r>
    </w:p>
    <w:p>
      <w:pPr>
        <w:pStyle w:val="Author"/>
      </w:pPr>
      <w:r>
        <w:t xml:space="preserve">Olumide</w:t>
      </w:r>
      <w:r>
        <w:t xml:space="preserve"> </w:t>
      </w:r>
      <w:r>
        <w:t xml:space="preserve">Taiwo</w:t>
      </w:r>
    </w:p>
    <w:p>
      <w:pPr>
        <w:pStyle w:val="Author"/>
      </w:pPr>
      <w:r>
        <w:t xml:space="preserve">Chidinma</w:t>
      </w:r>
      <w:r>
        <w:t xml:space="preserve"> </w:t>
      </w:r>
      <w:r>
        <w:t xml:space="preserve">Oli</w:t>
      </w:r>
    </w:p>
    <w:p>
      <w:pPr>
        <w:pStyle w:val="Author"/>
      </w:pPr>
      <w:r>
        <w:t xml:space="preserve">Abdulafeez</w:t>
      </w:r>
      <w:r>
        <w:t xml:space="preserve"> </w:t>
      </w:r>
      <w:r>
        <w:t xml:space="preserve">Adefabi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t xml:space="preserve">It is projected that the global population will grow from 7.7 billion in 2019 to 8.5 billion in 2030, reaching 11 billion by the middle of the 21st century. This rise is a result of three processes, the key determinants of population growth: births (fertility), deaths (mortality), and movement (migration). Although women have had fewer kids in many parts of the world over the past few decades, amid numerous interventions, high fertility rates persist in sub-Saharan Africa. In these countries with lifetime fertility, up to half of the overall population growth worldwide is expected to remain well above two births per woman by 2050, although many countries will remain well above two births per woman. The primary fertility level measure is the total fertility rate (TFR), which shows the average number of children a woman can bear in her lifetime, based on current age-specific fertility rates. Data from the</w:t>
      </w:r>
      <w:r>
        <w:t xml:space="preserve"> </w:t>
      </w:r>
      <w:r>
        <w:t xml:space="preserve">[</w:t>
      </w:r>
      <w:hyperlink w:anchor="ref-nationalpopulationcommission2004">
        <w:r>
          <w:rPr>
            <w:rStyle w:val="Hyperlink"/>
          </w:rPr>
          <w:t xml:space="preserve">1</w:t>
        </w:r>
      </w:hyperlink>
      <w:r>
        <w:t xml:space="preserve">–</w:t>
      </w:r>
      <w:hyperlink w:anchor="ref-nationalpopulationcommission2019">
        <w:r>
          <w:rPr>
            <w:rStyle w:val="Hyperlink"/>
          </w:rPr>
          <w:t xml:space="preserve">4</w:t>
        </w:r>
      </w:hyperlink>
      <w:r>
        <w:t xml:space="preserve">]</w:t>
      </w:r>
      <w:r>
        <w:t xml:space="preserve"> </w:t>
      </w:r>
      <w:r>
        <w:t xml:space="preserve">were used for this study while a revised version of Bongaarts’ proximate determinants model to was used to assess the relationship between projected potential fertility (PF) and behavioural and biological factors. Findings from the study showed that postpartum infecundability remained the strongest influential factor in reducing fertility while sexual exposure and contraception have an inverse relationship with educational attainment levels in all years of the survey. However, if was found that contraception use had a more impact among women with higher education who lived in urban regions and belonged to the highest wealth quintile. The study, therefore suggested that the Government of Nigeria and developing partners need to design effective strategies to increase contraceptive use across the country.</w:t>
      </w:r>
    </w:p>
    <w:p>
      <w:pPr>
        <w:pStyle w:val="BodyText"/>
      </w:pPr>
      <w:r>
        <w:rPr>
          <w:bCs/>
          <w:b/>
        </w:rPr>
        <w:t xml:space="preserve">Keywords:</w:t>
      </w:r>
      <w:r>
        <w:t xml:space="preserve"> </w:t>
      </w:r>
      <w:r>
        <w:t xml:space="preserve">fertility, determinants.</w:t>
      </w:r>
    </w:p>
    <w:p>
      <w:r>
        <w:br w:type="page"/>
      </w:r>
    </w:p>
    <w:bookmarkStart w:id="23" w:name="sec-introduction"/>
    <w:p>
      <w:pPr>
        <w:pStyle w:val="Heading1"/>
      </w:pPr>
      <w:r>
        <w:t xml:space="preserve">1. Introduction</w:t>
      </w:r>
    </w:p>
    <w:p>
      <w:pPr>
        <w:pStyle w:val="FirstParagraph"/>
      </w:pPr>
      <w:r>
        <w:t xml:space="preserve">Since 1990, fertility levels in Nigeria as measured by total fertility rates (TFRs) have gradually declined, from 6.0 children per woman to 5.3 children per woman in 2018</w:t>
      </w:r>
      <w:r>
        <w:t xml:space="preserve"> </w:t>
      </w:r>
      <w:r>
        <w:t xml:space="preserve">[</w:t>
      </w:r>
      <w:hyperlink w:anchor="ref-nationalpopulationcommission2004">
        <w:r>
          <w:rPr>
            <w:rStyle w:val="Hyperlink"/>
          </w:rPr>
          <w:t xml:space="preserve">1</w:t>
        </w:r>
      </w:hyperlink>
      <w:r>
        <w:t xml:space="preserve">,</w:t>
      </w:r>
      <w:hyperlink w:anchor="ref-nationalpopulationcommission2014">
        <w:r>
          <w:rPr>
            <w:rStyle w:val="Hyperlink"/>
          </w:rPr>
          <w:t xml:space="preserve">3</w:t>
        </w:r>
      </w:hyperlink>
      <w:r>
        <w:t xml:space="preserve">,</w:t>
      </w:r>
      <w:hyperlink w:anchor="ref-nationalpopulationcommission2019">
        <w:r>
          <w:rPr>
            <w:rStyle w:val="Hyperlink"/>
          </w:rPr>
          <w:t xml:space="preserve">4</w:t>
        </w:r>
      </w:hyperlink>
      <w:r>
        <w:t xml:space="preserve">]</w:t>
      </w:r>
      <w:r>
        <w:t xml:space="preserve">. Irrespective of this decline, Nigeria’s fertility levels remain notably high compared to observed fertility levels in developed countries such as the United States and the United Kingdom, which have TFRs of 1.6. However, high fertility rates are not exclusive to Nigeria. Other sub-Saharan African countries such as Mali and Burundi, have TFRs of 6.0 and 5.2 respectively. There are also regional differences in fertility rates within Nigeria. In general, fertility rates are highest in the Northwest (6.6 children per woman) and lowest in the Southwest (3.9 children per woman). Similar regional variations in fertility rates are found in other sub-Saharan African countries.</w:t>
      </w:r>
    </w:p>
    <w:p>
      <w:pPr>
        <w:pStyle w:val="BodyText"/>
      </w:pPr>
      <w:r>
        <w:t xml:space="preserve">Demographically observed fertility is the result of proximate (biological and determinants) of fertility</w:t>
      </w:r>
      <w:r>
        <w:t xml:space="preserve"> </w:t>
      </w:r>
      <w:r>
        <w:t xml:space="preserve">[</w:t>
      </w:r>
      <w:hyperlink w:anchor="ref-laelago2019">
        <w:r>
          <w:rPr>
            <w:rStyle w:val="Hyperlink"/>
          </w:rPr>
          <w:t xml:space="preserve">5</w:t>
        </w:r>
      </w:hyperlink>
      <w:r>
        <w:t xml:space="preserve">]</w:t>
      </w:r>
      <w:r>
        <w:t xml:space="preserve">. These proximate determinants serve to mediate the influence of culture, socio-economic conditions, and related background determinants on reproductive behaviour. The key characteristic of these proximate determinants is their direct effect on fertility, which improves our understanding of the operation of the socio-economic determinants. In 1978, Bongaarts designed a quantitative framework for analysis which indicated that variations in four major proximate determinants of fertility – marriage, contraception, breastfeeding practice, and induced abortion were the primary proximate causes of differences among populations</w:t>
      </w:r>
      <w:r>
        <w:t xml:space="preserve"> </w:t>
      </w:r>
      <w:r>
        <w:t xml:space="preserve">[</w:t>
      </w:r>
      <w:hyperlink w:anchor="ref-bongaarts1978">
        <w:r>
          <w:rPr>
            <w:rStyle w:val="Hyperlink"/>
          </w:rPr>
          <w:t xml:space="preserve">6</w:t>
        </w:r>
      </w:hyperlink>
      <w:r>
        <w:t xml:space="preserve">]</w:t>
      </w:r>
      <w:r>
        <w:t xml:space="preserve">. This framework has since been revised</w:t>
      </w:r>
      <w:r>
        <w:t xml:space="preserve"> </w:t>
      </w:r>
      <w:r>
        <w:t xml:space="preserve">[</w:t>
      </w:r>
      <w:hyperlink w:anchor="ref-stover1998">
        <w:r>
          <w:rPr>
            <w:rStyle w:val="Hyperlink"/>
          </w:rPr>
          <w:t xml:space="preserve">7</w:t>
        </w:r>
      </w:hyperlink>
      <w:r>
        <w:t xml:space="preserve">,</w:t>
      </w:r>
      <w:hyperlink w:anchor="ref-bongaarts2015">
        <w:r>
          <w:rPr>
            <w:rStyle w:val="Hyperlink"/>
          </w:rPr>
          <w:t xml:space="preserve">8</w:t>
        </w:r>
      </w:hyperlink>
      <w:r>
        <w:t xml:space="preserve">]</w:t>
      </w:r>
      <w:r>
        <w:t xml:space="preserve">, and used in modified forms in various studies to analyse the proximate determinants</w:t>
      </w:r>
      <w:r>
        <w:t xml:space="preserve"> </w:t>
      </w:r>
      <w:r>
        <w:t xml:space="preserve">[</w:t>
      </w:r>
      <w:hyperlink w:anchor="ref-laelago2019">
        <w:r>
          <w:rPr>
            <w:rStyle w:val="Hyperlink"/>
          </w:rPr>
          <w:t xml:space="preserve">5</w:t>
        </w:r>
      </w:hyperlink>
      <w:r>
        <w:t xml:space="preserve">,</w:t>
      </w:r>
      <w:hyperlink w:anchor="ref-palamuleni2017">
        <w:r>
          <w:rPr>
            <w:rStyle w:val="Hyperlink"/>
          </w:rPr>
          <w:t xml:space="preserve">9</w:t>
        </w:r>
      </w:hyperlink>
      <w:r>
        <w:t xml:space="preserve">,</w:t>
      </w:r>
      <w:hyperlink w:anchor="ref-chola2016">
        <w:r>
          <w:rPr>
            <w:rStyle w:val="Hyperlink"/>
          </w:rPr>
          <w:t xml:space="preserve">10</w:t>
        </w:r>
      </w:hyperlink>
      <w:r>
        <w:t xml:space="preserve">]</w:t>
      </w:r>
      <w:r>
        <w:t xml:space="preserve">.</w:t>
      </w:r>
    </w:p>
    <w:p>
      <w:pPr>
        <w:pStyle w:val="BodyText"/>
      </w:pPr>
      <w:r>
        <w:t xml:space="preserve">Early studies on fertility using the old Bongaarts model in Nigeria have estimated exposure to the risk of childbearing through first marriage to be the most important proximate determinant followed closely by breastfeeding and postpartum sexual abstinence</w:t>
      </w:r>
      <w:r>
        <w:t xml:space="preserve"> </w:t>
      </w:r>
      <w:r>
        <w:t xml:space="preserve">[</w:t>
      </w:r>
      <w:hyperlink w:anchor="ref-odimegwu1996">
        <w:r>
          <w:rPr>
            <w:rStyle w:val="Hyperlink"/>
          </w:rPr>
          <w:t xml:space="preserve">11</w:t>
        </w:r>
      </w:hyperlink>
      <w:r>
        <w:t xml:space="preserve">–</w:t>
      </w:r>
      <w:hyperlink w:anchor="ref-jolly1993">
        <w:r>
          <w:rPr>
            <w:rStyle w:val="Hyperlink"/>
          </w:rPr>
          <w:t xml:space="preserve">13</w:t>
        </w:r>
      </w:hyperlink>
      <w:r>
        <w:t xml:space="preserve">]</w:t>
      </w:r>
      <w:r>
        <w:t xml:space="preserve">. Socio-economic and cultural characteristics that have been proven to explain fertility differentials are education, female labour force participation, residence, household wealth, caesarean birth, cultural norms often measured by religion or ethnicity</w:t>
      </w:r>
      <w:r>
        <w:t xml:space="preserve"> </w:t>
      </w:r>
      <w:r>
        <w:t xml:space="preserve">[</w:t>
      </w:r>
      <w:hyperlink w:anchor="ref-wusu2019">
        <w:r>
          <w:rPr>
            <w:rStyle w:val="Hyperlink"/>
          </w:rPr>
          <w:t xml:space="preserve">14</w:t>
        </w:r>
      </w:hyperlink>
      <w:r>
        <w:t xml:space="preserve">–</w:t>
      </w:r>
      <w:hyperlink w:anchor="ref-akpa2012">
        <w:r>
          <w:rPr>
            <w:rStyle w:val="Hyperlink"/>
          </w:rPr>
          <w:t xml:space="preserve">16</w:t>
        </w:r>
      </w:hyperlink>
      <w:r>
        <w:t xml:space="preserve">]</w:t>
      </w:r>
      <w:r>
        <w:t xml:space="preserve">.</w:t>
      </w:r>
    </w:p>
    <w:p>
      <w:pPr>
        <w:pStyle w:val="BodyText"/>
      </w:pPr>
      <w:r>
        <w:t xml:space="preserve">In this study, we examine trends in the determinants of fertility along with trends in geographical and socio-economic correlates using a revised Bongaarts model. We also assess how changes in these factors over time may have influenced changes in the effects of proximate determinants on fertility. Finally, we reflect on the key outcome indicators by examining women’s reproductive options alongside maternal and child health policy priorities. By providing insights into fertility dynamics and possible points of programmatic intervention, we hope to inform fertility-related population policy priorities.</w:t>
      </w:r>
    </w:p>
    <w:bookmarkEnd w:id="23"/>
    <w:bookmarkStart w:id="39" w:name="sec-methods"/>
    <w:p>
      <w:pPr>
        <w:pStyle w:val="Heading1"/>
      </w:pPr>
      <w:r>
        <w:t xml:space="preserve">2. Methods</w:t>
      </w:r>
    </w:p>
    <w:bookmarkStart w:id="24" w:name="data-sources"/>
    <w:p>
      <w:pPr>
        <w:pStyle w:val="Heading2"/>
      </w:pPr>
      <w:r>
        <w:t xml:space="preserve">2.1 Data Sources</w:t>
      </w:r>
    </w:p>
    <w:p>
      <w:pPr>
        <w:pStyle w:val="FirstParagraph"/>
      </w:pPr>
      <w:r>
        <w:t xml:space="preserve">We used data from the Nigeria Demographic and Health Survey of 2003, 2008, 2013 and 2018 for this study</w:t>
      </w:r>
      <w:r>
        <w:t xml:space="preserve"> </w:t>
      </w:r>
      <w:r>
        <w:t xml:space="preserve">[</w:t>
      </w:r>
      <w:hyperlink w:anchor="ref-nationalpopulationcommission2004">
        <w:r>
          <w:rPr>
            <w:rStyle w:val="Hyperlink"/>
          </w:rPr>
          <w:t xml:space="preserve">1</w:t>
        </w:r>
      </w:hyperlink>
      <w:r>
        <w:t xml:space="preserve">–</w:t>
      </w:r>
      <w:hyperlink w:anchor="ref-nationalpopulationcommission2019">
        <w:r>
          <w:rPr>
            <w:rStyle w:val="Hyperlink"/>
          </w:rPr>
          <w:t xml:space="preserve">4</w:t>
        </w:r>
      </w:hyperlink>
      <w:r>
        <w:t xml:space="preserve">]</w:t>
      </w:r>
      <w:r>
        <w:t xml:space="preserve">. The survey is a nationally representative survey of Nigerian households. Women aged 15-49 were eligible to be interviewed if they were either permanent residents or visitors who spent the previous night in the household. A total of 7,620; 33,385; 38,948 and 41,821 women aged 15-49 were interviewed in 2003, 2008, 2013 and 2018 surveys. The survey collected various information from women including fertility preference, sexual activity, and reproductive history, alongside background characteristics.</w:t>
      </w:r>
    </w:p>
    <w:p>
      <w:pPr>
        <w:pStyle w:val="BodyText"/>
      </w:pPr>
      <w:r>
        <w:t xml:space="preserve">The key background variables considered in this study were percentage of women with secondary education or above, percentage of women working in the labour force, percentage of women living in urban residence, percentage of women in different geographical zones. The TFR was calculated from births and exposure during the three years (36 months) prior to each woman’s month of interview. The nominal date of a TFR is the year of the survey, but the reference period is prior to that. The reference period for the proximate determinants is also prior to the date of interview except for contraception, which is based on current contraceptive use. In terms of synchronization, the link between fertility and contraception is problematic. For individual women, contraception affects subsequent fertility, but in the data, fertility s measured for an earlier date than contraception.</w:t>
      </w:r>
    </w:p>
    <w:p>
      <w:pPr>
        <w:pStyle w:val="BodyText"/>
      </w:pPr>
      <w:r>
        <w:t xml:space="preserve">For the estimation of index of abortion, we used the total abortion rate (TAR) reported in a survey by Guttmacher Institute</w:t>
      </w:r>
      <w:r>
        <w:t xml:space="preserve"> </w:t>
      </w:r>
      <w:r>
        <w:t xml:space="preserve">[</w:t>
      </w:r>
      <w:hyperlink w:anchor="ref-bankole2015">
        <w:r>
          <w:rPr>
            <w:rStyle w:val="Hyperlink"/>
          </w:rPr>
          <w:t xml:space="preserve">17</w:t>
        </w:r>
      </w:hyperlink>
      <w:r>
        <w:t xml:space="preserve">]</w:t>
      </w:r>
      <w:r>
        <w:t xml:space="preserve">. The survey estimated the TAR using data on delivery of abortion and post-abortion care services from a nationally representative sample of 772 health facilities in 2012. The TAR obtained from his study was kept constant for all years of the analysis – 2003, 2008, 2013 and 2018.</w:t>
      </w:r>
    </w:p>
    <w:bookmarkEnd w:id="24"/>
    <w:bookmarkStart w:id="31" w:name="data-analysis"/>
    <w:p>
      <w:pPr>
        <w:pStyle w:val="Heading2"/>
      </w:pPr>
      <w:r>
        <w:t xml:space="preserve">2.2 Data analysis</w:t>
      </w:r>
    </w:p>
    <w:p>
      <w:pPr>
        <w:pStyle w:val="FirstParagraph"/>
      </w:pPr>
      <w:r>
        <w:t xml:space="preserve">This study examines the contributions of biological and behavioural determinants to fertility change, as well as the effects of the socio-economic and geographic factors through which the determinants exert their influence. Statistical analyses for inputs in the model were performed using Stata 16.0 (StataCorp) and confirmed with published DHS reports for inputs available in the reports. The proximate determinants of fertility, potential fertility and background variables were calculated using Microsoft Excel 2019 software. In the following section we present detailed analysis of fertility differentials that quantifies the negative and positive effects of each of the socio-economic and geographic factors on fertility through various intermediate fertility variables.</w:t>
      </w:r>
    </w:p>
    <w:bookmarkStart w:id="25" w:name="Xa835f82e4f0cc6b13aafc42f7e4454455e140b9"/>
    <w:p>
      <w:pPr>
        <w:pStyle w:val="Heading3"/>
      </w:pPr>
      <w:r>
        <w:t xml:space="preserve">2.2.1</w:t>
      </w:r>
      <w:r>
        <w:t xml:space="preserve"> </w:t>
      </w:r>
      <w:r>
        <w:rPr>
          <w:iCs/>
          <w:i/>
        </w:rPr>
        <w:t xml:space="preserve">Proximate determinants: The Bongaart’s Model</w:t>
      </w:r>
    </w:p>
    <w:p>
      <w:pPr>
        <w:pStyle w:val="FirstParagraph"/>
      </w:pPr>
      <w:r>
        <w:t xml:space="preserve">We used a revised version of Bongaarts’ proximate determinants model to assess the relationship between projected potential fertility (PF) and behavioural and biological factors. Each of the determinants is assumed to independently inhibit fertility. In the original model, Bongarts identified the following: an index for marriage, contraception, abortion and post-partum infecundity and expressed TFR as the product of the four indices together with total fecundity (TF) - the average number of live births expected among women during their entire lifetime,</w:t>
      </w:r>
      <w:r>
        <w:t xml:space="preserve"> </w:t>
      </w:r>
      <w:r>
        <w:t xml:space="preserve">[</w:t>
      </w:r>
      <w:hyperlink w:anchor="ref-bongaarts1978">
        <w:r>
          <w:rPr>
            <w:rStyle w:val="Hyperlink"/>
          </w:rPr>
          <w:t xml:space="preserve">6</w:t>
        </w:r>
      </w:hyperlink>
      <w:r>
        <w:t xml:space="preserve">]</w:t>
      </w:r>
      <w:r>
        <w:t xml:space="preserve">.</w:t>
      </w:r>
    </w:p>
    <w:p>
      <w:pPr>
        <w:pStyle w:val="BodyText"/>
      </w:pPr>
      <m:oMathPara>
        <m:oMathParaPr>
          <m:jc m:val="center"/>
        </m:oMathParaPr>
        <m:oMath>
          <m:r>
            <m:t>T</m:t>
          </m:r>
          <m:r>
            <m:t>F</m:t>
          </m:r>
          <m:r>
            <m:t>R</m:t>
          </m:r>
          <m:r>
            <m:rPr>
              <m:sty m:val="p"/>
            </m:rPr>
            <m:t>=</m:t>
          </m:r>
          <m:sSub>
            <m:e>
              <m:r>
                <m:t>C</m:t>
              </m:r>
            </m:e>
            <m:sub>
              <m:r>
                <m:t>m</m:t>
              </m:r>
            </m:sub>
          </m:sSub>
          <m:r>
            <m:t> </m:t>
          </m:r>
          <m:r>
            <m:rPr>
              <m:sty m:val="p"/>
            </m:rPr>
            <m:t>*</m:t>
          </m:r>
          <m:r>
            <m:t> </m:t>
          </m:r>
          <m:sSub>
            <m:e>
              <m:r>
                <m:t>C</m:t>
              </m:r>
            </m:e>
            <m:sub>
              <m:r>
                <m:t>i</m:t>
              </m:r>
            </m:sub>
          </m:sSub>
          <m:r>
            <m:t> </m:t>
          </m:r>
          <m:r>
            <m:rPr>
              <m:sty m:val="p"/>
            </m:rPr>
            <m:t>*</m:t>
          </m:r>
          <m:r>
            <m:t> </m:t>
          </m:r>
          <m:sSub>
            <m:e>
              <m:r>
                <m:t>C</m:t>
              </m:r>
            </m:e>
            <m:sub>
              <m:r>
                <m:t>c</m:t>
              </m:r>
            </m:sub>
          </m:sSub>
          <m:r>
            <m:t> </m:t>
          </m:r>
          <m:r>
            <m:rPr>
              <m:sty m:val="p"/>
            </m:rPr>
            <m:t>*</m:t>
          </m:r>
          <m:r>
            <m:t> </m:t>
          </m:r>
          <m:sSub>
            <m:e>
              <m:r>
                <m:t>C</m:t>
              </m:r>
            </m:e>
            <m:sub>
              <m:r>
                <m:t>a</m:t>
              </m:r>
            </m:sub>
          </m:sSub>
          <m:r>
            <m:t> </m:t>
          </m:r>
          <m:r>
            <m:rPr>
              <m:sty m:val="p"/>
            </m:rPr>
            <m:t>*</m:t>
          </m:r>
          <m:r>
            <m:t> </m:t>
          </m:r>
          <m:r>
            <m:t>T</m:t>
          </m:r>
          <m:r>
            <m:t>F</m:t>
          </m:r>
        </m:oMath>
      </m:oMathPara>
    </w:p>
    <w:p>
      <w:pPr>
        <w:pStyle w:val="FirstParagraph"/>
      </w:pPr>
      <w:r>
        <w:t xml:space="preserve">where, TFR is the total fertility rate, C</w:t>
      </w:r>
      <w:r>
        <w:rPr>
          <w:vertAlign w:val="subscript"/>
        </w:rPr>
        <w:t xml:space="preserve">m</w:t>
      </w:r>
      <w:r>
        <w:t xml:space="preserve"> </w:t>
      </w:r>
      <w:r>
        <w:t xml:space="preserve">is the index of proportion married, C</w:t>
      </w:r>
      <w:r>
        <w:rPr>
          <w:vertAlign w:val="subscript"/>
        </w:rPr>
        <w:t xml:space="preserve">i</w:t>
      </w:r>
      <w:r>
        <w:t xml:space="preserve"> </w:t>
      </w:r>
      <w:r>
        <w:t xml:space="preserve">is the index of post-partum infecundability, C</w:t>
      </w:r>
      <w:r>
        <w:rPr>
          <w:vertAlign w:val="subscript"/>
        </w:rPr>
        <w:t xml:space="preserve">a</w:t>
      </w:r>
      <w:r>
        <w:t xml:space="preserve"> </w:t>
      </w:r>
      <w:r>
        <w:t xml:space="preserve">is the index of induced abortion, C</w:t>
      </w:r>
      <w:r>
        <w:rPr>
          <w:vertAlign w:val="subscript"/>
        </w:rPr>
        <w:t xml:space="preserve">c</w:t>
      </w:r>
      <w:r>
        <w:t xml:space="preserve"> </w:t>
      </w:r>
      <w:r>
        <w:t xml:space="preserve">is the index of contraception. The indices only take values between 0 and 1. If the corresponding index is of no fertility inhibition effect, the index equals 1; an index of 0 which is not empirically proven, indicates total inhibition effect</w:t>
      </w:r>
      <w:r>
        <w:t xml:space="preserve"> </w:t>
      </w:r>
      <w:r>
        <w:t xml:space="preserve">[</w:t>
      </w:r>
      <w:hyperlink w:anchor="ref-bongaarts1978">
        <w:r>
          <w:rPr>
            <w:rStyle w:val="Hyperlink"/>
          </w:rPr>
          <w:t xml:space="preserve">6</w:t>
        </w:r>
      </w:hyperlink>
      <w:r>
        <w:t xml:space="preserve">]</w:t>
      </w:r>
      <w:r>
        <w:t xml:space="preserve">.</w:t>
      </w:r>
    </w:p>
    <w:p>
      <w:pPr>
        <w:pStyle w:val="BodyText"/>
      </w:pPr>
      <w:r>
        <w:t xml:space="preserve">A revision of this model attempted to account for overlaps between the determinants, specifically between postpartum amenorrhea and contraceptive use</w:t>
      </w:r>
      <w:r>
        <w:t xml:space="preserve"> </w:t>
      </w:r>
      <w:r>
        <w:t xml:space="preserve">[</w:t>
      </w:r>
      <w:hyperlink w:anchor="ref-stover1998">
        <w:r>
          <w:rPr>
            <w:rStyle w:val="Hyperlink"/>
          </w:rPr>
          <w:t xml:space="preserve">7</w:t>
        </w:r>
      </w:hyperlink>
      <w:r>
        <w:t xml:space="preserve">]</w:t>
      </w:r>
      <w:r>
        <w:t xml:space="preserve">. The revised framework used for this study includes five intermediate fertility variables; proportion sexually exposed, postpartum infecundability, contraception, induced abortion, and sterility which are key direct determinants of fertility. From the original model, the index of marriage was revised to include women who have been in a sexual union in the last month, use contraceptives, are pregnant or post-partum infecundable. This index was renamed index of sexual exposure</w:t>
      </w:r>
      <w:r>
        <w:t xml:space="preserve"> </w:t>
      </w:r>
      <w:r>
        <w:t xml:space="preserve">[</w:t>
      </w:r>
      <w:hyperlink w:anchor="ref-stover1998">
        <w:r>
          <w:rPr>
            <w:rStyle w:val="Hyperlink"/>
          </w:rPr>
          <w:t xml:space="preserve">7</w:t>
        </w:r>
      </w:hyperlink>
      <w:r>
        <w:t xml:space="preserve">]</w:t>
      </w:r>
      <w:r>
        <w:t xml:space="preserve">. The index of post-partum infecundability was modified to post-partum insusceptibility including both median duration of post-partum amenorrhea and post-partum abstinence. The index of abortion was revised by multiplying contraceptive prevalence with average use effectiveness of contraception</w:t>
      </w:r>
      <w:r>
        <w:t xml:space="preserve"> </w:t>
      </w:r>
      <w:r>
        <w:t xml:space="preserve">[</w:t>
      </w:r>
      <w:hyperlink w:anchor="ref-stover1998">
        <w:r>
          <w:rPr>
            <w:rStyle w:val="Hyperlink"/>
          </w:rPr>
          <w:t xml:space="preserve">7</w:t>
        </w:r>
      </w:hyperlink>
      <w:r>
        <w:t xml:space="preserve">]</w:t>
      </w:r>
      <w:r>
        <w:t xml:space="preserve">.</w:t>
      </w:r>
    </w:p>
    <w:p>
      <w:pPr>
        <w:pStyle w:val="BodyText"/>
      </w:pPr>
      <w:r>
        <w:t xml:space="preserve">The index of sterility was modified from proportion of women 45-49 years old who had no live births to the proportion of sexually active women who are infecund. Index of contraception was revised to the proportion of sexually active fecund women using contraceptives that do not overlap with those experiencing postpartum amenorrhea and the average effectiveness of contraception</w:t>
      </w:r>
      <w:r>
        <w:t xml:space="preserve"> </w:t>
      </w:r>
      <w:r>
        <w:t xml:space="preserve">[</w:t>
      </w:r>
      <w:hyperlink w:anchor="ref-stover1998">
        <w:r>
          <w:rPr>
            <w:rStyle w:val="Hyperlink"/>
          </w:rPr>
          <w:t xml:space="preserve">7</w:t>
        </w:r>
      </w:hyperlink>
      <w:r>
        <w:t xml:space="preserve">]</w:t>
      </w:r>
      <w:r>
        <w:t xml:space="preserve">. The revised equation relating the total fertility rate to the proximate determinants used in this study is expressed as:</w:t>
      </w:r>
    </w:p>
    <w:p>
      <w:pPr>
        <w:pStyle w:val="BodyText"/>
      </w:pPr>
      <m:oMathPara>
        <m:oMathParaPr>
          <m:jc m:val="center"/>
        </m:oMathParaPr>
        <m:oMath>
          <m:r>
            <m:t>T</m:t>
          </m:r>
          <m:r>
            <m:t>F</m:t>
          </m:r>
          <m:r>
            <m:t>R</m:t>
          </m:r>
          <m:r>
            <m:rPr>
              <m:sty m:val="p"/>
            </m:rPr>
            <m:t>=</m:t>
          </m:r>
          <m:r>
            <m:t>P</m:t>
          </m:r>
          <m:r>
            <m:t>F</m:t>
          </m:r>
          <m:r>
            <m:t> </m:t>
          </m:r>
          <m:r>
            <m:rPr>
              <m:sty m:val="p"/>
            </m:rPr>
            <m:t>*</m:t>
          </m:r>
          <m:r>
            <m:t> </m:t>
          </m:r>
          <m:sSub>
            <m:e>
              <m:r>
                <m:t>C</m:t>
              </m:r>
            </m:e>
            <m:sub>
              <m:r>
                <m:t>x</m:t>
              </m:r>
            </m:sub>
          </m:sSub>
          <m:r>
            <m:t> </m:t>
          </m:r>
          <m:r>
            <m:rPr>
              <m:sty m:val="p"/>
            </m:rPr>
            <m:t>*</m:t>
          </m:r>
          <m:r>
            <m:t> </m:t>
          </m:r>
          <m:sSub>
            <m:e>
              <m:r>
                <m:t>C</m:t>
              </m:r>
            </m:e>
            <m:sub>
              <m:r>
                <m:t>u</m:t>
              </m:r>
            </m:sub>
          </m:sSub>
          <m:r>
            <m:t> </m:t>
          </m:r>
          <m:r>
            <m:rPr>
              <m:sty m:val="p"/>
            </m:rPr>
            <m:t>*</m:t>
          </m:r>
          <m:sSub>
            <m:e>
              <m:r>
                <m:t>C</m:t>
              </m:r>
            </m:e>
            <m:sub>
              <m:r>
                <m:t>a</m:t>
              </m:r>
            </m:sub>
          </m:sSub>
          <m:r>
            <m:t> </m:t>
          </m:r>
          <m:r>
            <m:rPr>
              <m:sty m:val="p"/>
            </m:rPr>
            <m:t>*</m:t>
          </m:r>
          <m:sSub>
            <m:e>
              <m:r>
                <m:t>C</m:t>
              </m:r>
            </m:e>
            <m:sub>
              <m:r>
                <m:t>i</m:t>
              </m:r>
            </m:sub>
          </m:sSub>
          <m:r>
            <m:t> </m:t>
          </m:r>
          <m:r>
            <m:rPr>
              <m:sty m:val="p"/>
            </m:rPr>
            <m:t>*</m:t>
          </m:r>
          <m:sSub>
            <m:e>
              <m:r>
                <m:t>C</m:t>
              </m:r>
            </m:e>
            <m:sub>
              <m:r>
                <m:t>f</m:t>
              </m:r>
            </m:sub>
          </m:sSub>
          <m:r>
            <m:t> </m:t>
          </m:r>
        </m:oMath>
      </m:oMathPara>
    </w:p>
    <w:p>
      <w:pPr>
        <w:pStyle w:val="FirstParagraph"/>
      </w:pPr>
      <w:r>
        <w:t xml:space="preserve">Where TFR is the total fertility rate, PF is the potential fertility, C</w:t>
      </w:r>
      <w:r>
        <w:rPr>
          <w:vertAlign w:val="subscript"/>
        </w:rPr>
        <w:t xml:space="preserve">x</w:t>
      </w:r>
      <w:r>
        <w:t xml:space="preserve"> </w:t>
      </w:r>
      <w:r>
        <w:t xml:space="preserve">represents the index of sexual exposure, C</w:t>
      </w:r>
      <w:r>
        <w:rPr>
          <w:vertAlign w:val="subscript"/>
        </w:rPr>
        <w:t xml:space="preserve">u</w:t>
      </w:r>
      <w:r>
        <w:t xml:space="preserve"> </w:t>
      </w:r>
      <w:r>
        <w:t xml:space="preserve">is the index of contraception, C</w:t>
      </w:r>
      <w:r>
        <w:rPr>
          <w:vertAlign w:val="subscript"/>
        </w:rPr>
        <w:t xml:space="preserve">a</w:t>
      </w:r>
      <w:r>
        <w:t xml:space="preserve"> </w:t>
      </w:r>
      <w:r>
        <w:t xml:space="preserve">is the index of induced abortion, C</w:t>
      </w:r>
      <w:r>
        <w:rPr>
          <w:vertAlign w:val="subscript"/>
        </w:rPr>
        <w:t xml:space="preserve">i</w:t>
      </w:r>
      <w:r>
        <w:t xml:space="preserve"> </w:t>
      </w:r>
      <w:r>
        <w:t xml:space="preserve">is the index of postpartum insusceptibility and C</w:t>
      </w:r>
      <w:r>
        <w:rPr>
          <w:vertAlign w:val="subscript"/>
        </w:rPr>
        <w:t xml:space="preserve">f</w:t>
      </w:r>
      <w:r>
        <w:t xml:space="preserve"> </w:t>
      </w:r>
      <w:r>
        <w:t xml:space="preserve">represents the index of sterility. Estimates from empirical data showed an average potential fertility of 21 (18-24) births per woman for the 35-year reproductive period from age 15 to 49 years</w:t>
      </w:r>
      <w:r>
        <w:t xml:space="preserve"> </w:t>
      </w:r>
      <w:r>
        <w:t xml:space="preserve">[</w:t>
      </w:r>
      <w:hyperlink w:anchor="ref-stover1998">
        <w:r>
          <w:rPr>
            <w:rStyle w:val="Hyperlink"/>
          </w:rPr>
          <w:t xml:space="preserve">7</w:t>
        </w:r>
      </w:hyperlink>
      <w:r>
        <w:t xml:space="preserve">]</w:t>
      </w:r>
      <w:r>
        <w:t xml:space="preserve">. Nonetheless, estimates of PF may exceed its theoretical limits because of a large error term in the proximate determinants’ framework, attributed in a large part to the effects of unmeasured factors exogenous to the framework</w:t>
      </w:r>
      <w:r>
        <w:t xml:space="preserve"> </w:t>
      </w:r>
      <w:r>
        <w:t xml:space="preserve">[</w:t>
      </w:r>
      <w:hyperlink w:anchor="ref-unpopulationdivision2014">
        <w:r>
          <w:rPr>
            <w:rStyle w:val="Hyperlink"/>
          </w:rPr>
          <w:t xml:space="preserve">18</w:t>
        </w:r>
      </w:hyperlink>
      <w:r>
        <w:t xml:space="preserve">]</w:t>
      </w:r>
      <w:r>
        <w:t xml:space="preserve">.</w:t>
      </w:r>
    </w:p>
    <w:bookmarkEnd w:id="25"/>
    <w:bookmarkStart w:id="26" w:name="the-index-of-sexual-exposure-cx"/>
    <w:p>
      <w:pPr>
        <w:pStyle w:val="Heading3"/>
      </w:pPr>
      <w:r>
        <w:t xml:space="preserve">2.2.2</w:t>
      </w:r>
      <w:r>
        <w:t xml:space="preserve"> </w:t>
      </w:r>
      <w:r>
        <w:rPr>
          <w:iCs/>
          <w:i/>
        </w:rPr>
        <w:t xml:space="preserve">The index of sexual exposure (C</w:t>
      </w:r>
      <w:r>
        <w:rPr>
          <w:vertAlign w:val="subscript"/>
          <w:iCs/>
          <w:i/>
        </w:rPr>
        <w:t xml:space="preserve">x</w:t>
      </w:r>
      <w:r>
        <w:rPr>
          <w:iCs/>
          <w:i/>
        </w:rPr>
        <w:t xml:space="preserve">)</w:t>
      </w:r>
    </w:p>
    <w:p>
      <w:pPr>
        <w:pStyle w:val="FirstParagraph"/>
      </w:pPr>
      <w:r>
        <w:t xml:space="preserve">The index of sexual exposure expresses the reduction in fertility caused by women’s not being sexually active throughout their entire reproductive period. The index is calculated as:</w:t>
      </w:r>
    </w:p>
    <w:p>
      <w:pPr>
        <w:pStyle w:val="BodyText"/>
      </w:pPr>
      <m:oMathPara>
        <m:oMathParaPr>
          <m:jc m:val="center"/>
        </m:oMathParaPr>
        <m:oMath>
          <m:sSub>
            <m:e>
              <m:r>
                <m:t>C</m:t>
              </m:r>
            </m:e>
            <m:sub>
              <m:r>
                <m:t>x</m:t>
              </m:r>
            </m:sub>
          </m:sSub>
          <m:r>
            <m:rPr>
              <m:sty m:val="p"/>
            </m:rPr>
            <m:t>=</m:t>
          </m:r>
          <m:r>
            <m:t> </m:t>
          </m:r>
          <m:r>
            <m:t>s</m:t>
          </m:r>
        </m:oMath>
      </m:oMathPara>
    </w:p>
    <w:p>
      <w:pPr>
        <w:pStyle w:val="FirstParagraph"/>
      </w:pPr>
      <w:r>
        <w:t xml:space="preserve">where s is the proportion of women aged 15-49 who are sexually active (women who either are pregnant, report sex in the last month, use contraception, or are postpartum infecundable). The index of sexual exposure, C</w:t>
      </w:r>
      <w:r>
        <w:rPr>
          <w:vertAlign w:val="subscript"/>
        </w:rPr>
        <w:t xml:space="preserve">x</w:t>
      </w:r>
      <w:r>
        <w:t xml:space="preserve">, equals 1 if all women of reproductive age are sexually active during the entire reproductive period and 0 in the absence of such.</w:t>
      </w:r>
    </w:p>
    <w:bookmarkEnd w:id="26"/>
    <w:bookmarkStart w:id="27" w:name="the-index-of-contraception-cc"/>
    <w:p>
      <w:pPr>
        <w:pStyle w:val="Heading3"/>
      </w:pPr>
      <w:r>
        <w:t xml:space="preserve">2.2.3</w:t>
      </w:r>
      <w:r>
        <w:t xml:space="preserve"> </w:t>
      </w:r>
      <w:r>
        <w:rPr>
          <w:iCs/>
          <w:i/>
        </w:rPr>
        <w:t xml:space="preserve">The index of contraception (C</w:t>
      </w:r>
      <w:r>
        <w:rPr>
          <w:vertAlign w:val="subscript"/>
          <w:iCs/>
          <w:i/>
        </w:rPr>
        <w:t xml:space="preserve">c</w:t>
      </w:r>
      <w:r>
        <w:rPr>
          <w:iCs/>
          <w:i/>
        </w:rPr>
        <w:t xml:space="preserve">)</w:t>
      </w:r>
    </w:p>
    <w:p>
      <w:pPr>
        <w:pStyle w:val="FirstParagraph"/>
      </w:pPr>
      <w:r>
        <w:t xml:space="preserve">This considers both the level of contraceptive prevalence and the average effectiveness of contraceptive methods used. It is estimated as:</w:t>
      </w:r>
    </w:p>
    <w:p>
      <w:pPr>
        <w:pStyle w:val="BodyText"/>
      </w:pPr>
      <m:oMathPara>
        <m:oMathParaPr>
          <m:jc m:val="center"/>
        </m:oMathParaPr>
        <m:oMath>
          <m:sSub>
            <m:e>
              <m:r>
                <m:t>C</m:t>
              </m:r>
            </m:e>
            <m:sub>
              <m:r>
                <m:t>c</m:t>
              </m:r>
            </m:sub>
          </m:sSub>
          <m:r>
            <m:rPr>
              <m:sty m:val="p"/>
            </m:rPr>
            <m:t>=</m:t>
          </m:r>
          <m:r>
            <m:t> </m:t>
          </m:r>
          <m:r>
            <m:t>1</m:t>
          </m:r>
          <m:r>
            <m:t> </m:t>
          </m:r>
          <m:r>
            <m:rPr>
              <m:sty m:val="p"/>
            </m:rPr>
            <m:t>−</m:t>
          </m:r>
          <m:r>
            <m:t> </m:t>
          </m:r>
          <m:r>
            <m:t>1.08</m:t>
          </m:r>
          <m:r>
            <m:t>u</m:t>
          </m:r>
          <m:r>
            <m:t>e</m:t>
          </m:r>
        </m:oMath>
      </m:oMathPara>
    </w:p>
    <w:p>
      <w:pPr>
        <w:pStyle w:val="FirstParagraph"/>
      </w:pPr>
      <w:r>
        <w:t xml:space="preserve">where u is the proportion of women in the reproductive ages who are currently using contraception among those sexually active, excluding exclude those infecund and postpartum amenorrhic within 6 months after birth; and e is the average of use-effectiveness of contraception as practiced in the population. Estimates of the method-specific effectiveness are: sterilization (0.995), pill (0.930), injectable (0.970), implant (0.999), intra-uterine device (0.993), male condom (0.870), and other modern methods (0.800)</w:t>
      </w:r>
      <w:r>
        <w:t xml:space="preserve"> </w:t>
      </w:r>
      <w:r>
        <w:t xml:space="preserve">[</w:t>
      </w:r>
      <w:hyperlink w:anchor="ref-worldhealthorganization2017">
        <w:r>
          <w:rPr>
            <w:rStyle w:val="Hyperlink"/>
          </w:rPr>
          <w:t xml:space="preserve">19</w:t>
        </w:r>
      </w:hyperlink>
      <w:r>
        <w:t xml:space="preserve">]</w:t>
      </w:r>
      <w:r>
        <w:t xml:space="preserve">.</w:t>
      </w:r>
    </w:p>
    <w:bookmarkEnd w:id="27"/>
    <w:bookmarkStart w:id="28" w:name="the-index-of-sexual-abortion-ca"/>
    <w:p>
      <w:pPr>
        <w:pStyle w:val="Heading3"/>
      </w:pPr>
      <w:r>
        <w:t xml:space="preserve">2.2.4</w:t>
      </w:r>
      <w:r>
        <w:t xml:space="preserve"> </w:t>
      </w:r>
      <w:r>
        <w:rPr>
          <w:iCs/>
          <w:i/>
        </w:rPr>
        <w:t xml:space="preserve">The index of sexual abortion (C</w:t>
      </w:r>
      <w:r>
        <w:rPr>
          <w:vertAlign w:val="subscript"/>
          <w:iCs/>
          <w:i/>
        </w:rPr>
        <w:t xml:space="preserve">a</w:t>
      </w:r>
      <w:r>
        <w:rPr>
          <w:iCs/>
          <w:i/>
        </w:rPr>
        <w:t xml:space="preserve">)</w:t>
      </w:r>
    </w:p>
    <w:p>
      <w:pPr>
        <w:pStyle w:val="FirstParagraph"/>
      </w:pPr>
      <w:r>
        <w:t xml:space="preserve">The index of abortion is the proportion by which the PF is reduced due to induced abortion. Births averted per induced abortion are related to contraceptive use</w:t>
      </w:r>
      <w:r>
        <w:t xml:space="preserve"> </w:t>
      </w:r>
      <w:r>
        <w:t xml:space="preserve">[</w:t>
      </w:r>
      <w:hyperlink w:anchor="ref-unpopulationdivision2014">
        <w:r>
          <w:rPr>
            <w:rStyle w:val="Hyperlink"/>
          </w:rPr>
          <w:t xml:space="preserve">18</w:t>
        </w:r>
      </w:hyperlink>
      <w:r>
        <w:t xml:space="preserve">]</w:t>
      </w:r>
      <w:r>
        <w:t xml:space="preserve">. The index of abortion is defined as the ratio of the observed TFR to the estimated TFR without induced abortion, and declines with increasing incidence of induced abortion</w:t>
      </w:r>
      <w:r>
        <w:t xml:space="preserve"> </w:t>
      </w:r>
      <w:r>
        <w:t xml:space="preserve">[</w:t>
      </w:r>
      <w:hyperlink w:anchor="ref-stover1998">
        <w:r>
          <w:rPr>
            <w:rStyle w:val="Hyperlink"/>
          </w:rPr>
          <w:t xml:space="preserve">7</w:t>
        </w:r>
      </w:hyperlink>
      <w:r>
        <w:t xml:space="preserve">]</w:t>
      </w:r>
      <w:r>
        <w:t xml:space="preserve">. This index is calculated as follows:</w:t>
      </w:r>
    </w:p>
    <w:p>
      <w:pPr>
        <w:pStyle w:val="BodyText"/>
      </w:pPr>
      <m:oMathPara>
        <m:oMathParaPr>
          <m:jc m:val="center"/>
        </m:oMathParaPr>
        <m:oMath>
          <m:sSub>
            <m:e>
              <m:r>
                <m:t>C</m:t>
              </m:r>
            </m:e>
            <m:sub>
              <m:r>
                <m:t>a</m:t>
              </m:r>
            </m:sub>
          </m:sSub>
          <m:r>
            <m:rPr>
              <m:sty m:val="p"/>
            </m:rPr>
            <m:t>=</m:t>
          </m:r>
          <m:f>
            <m:fPr>
              <m:type m:val="bar"/>
            </m:fPr>
            <m:num>
              <m:r>
                <m:t>T</m:t>
              </m:r>
              <m:r>
                <m:t>F</m:t>
              </m:r>
              <m:r>
                <m:t>R</m:t>
              </m:r>
            </m:num>
            <m:den>
              <m:r>
                <m:t>T</m:t>
              </m:r>
              <m:r>
                <m:t>F</m:t>
              </m:r>
              <m:r>
                <m:t>R</m:t>
              </m:r>
              <m:r>
                <m:t> </m:t>
              </m:r>
              <m:r>
                <m:rPr>
                  <m:sty m:val="p"/>
                </m:rPr>
                <m:t>+</m:t>
              </m:r>
              <m:r>
                <m:t> </m:t>
              </m:r>
              <m:r>
                <m:t>0.4</m:t>
              </m:r>
              <m:r>
                <m:t> </m:t>
              </m:r>
              <m:r>
                <m:rPr>
                  <m:sty m:val="p"/>
                </m:rPr>
                <m:t>*</m:t>
              </m:r>
              <m:r>
                <m:t> </m:t>
              </m:r>
              <m:d>
                <m:dPr>
                  <m:begChr m:val="("/>
                  <m:endChr m:val=")"/>
                  <m:sepChr m:val=""/>
                  <m:grow/>
                </m:dPr>
                <m:e>
                  <m:r>
                    <m:t>1</m:t>
                  </m:r>
                  <m:r>
                    <m:t> </m:t>
                  </m:r>
                  <m:r>
                    <m:rPr>
                      <m:sty m:val="p"/>
                    </m:rPr>
                    <m:t>+</m:t>
                  </m:r>
                  <m:r>
                    <m:t> </m:t>
                  </m:r>
                  <m:r>
                    <m:t>u</m:t>
                  </m:r>
                </m:e>
              </m:d>
              <m:r>
                <m:t> </m:t>
              </m:r>
              <m:r>
                <m:rPr>
                  <m:sty m:val="p"/>
                </m:rPr>
                <m:t>*</m:t>
              </m:r>
              <m:r>
                <m:t> </m:t>
              </m:r>
              <m:r>
                <m:t>T</m:t>
              </m:r>
              <m:r>
                <m:t>A</m:t>
              </m:r>
              <m:r>
                <m:t>R</m:t>
              </m:r>
            </m:den>
          </m:f>
        </m:oMath>
      </m:oMathPara>
    </w:p>
    <w:p>
      <w:pPr>
        <w:pStyle w:val="FirstParagraph"/>
      </w:pPr>
      <w:r>
        <w:t xml:space="preserve">where TFR is the total fertility rate, u represents the proportion protected by contraception among women who have an induced abortion and TAR is the total abortion rate which is the average number of induced abortions per married or in-union woman at the end of the reproductive period if induced abortions remain at prevailing levels. The index of induced abortion equals 1 in the absence of induced abortion and 0 if all pregnancies are aborted. Reliable data on the total abortion rate for all years is not available. We assumed abortion rates prevailing in 2012</w:t>
      </w:r>
      <w:r>
        <w:t xml:space="preserve"> </w:t>
      </w:r>
      <w:r>
        <w:t xml:space="preserve">[</w:t>
      </w:r>
      <w:hyperlink w:anchor="ref-bankole2015">
        <w:r>
          <w:rPr>
            <w:rStyle w:val="Hyperlink"/>
          </w:rPr>
          <w:t xml:space="preserve">17</w:t>
        </w:r>
      </w:hyperlink>
      <w:r>
        <w:t xml:space="preserve">]</w:t>
      </w:r>
      <w:r>
        <w:t xml:space="preserve">, will remain constant throughout 2018.</w:t>
      </w:r>
    </w:p>
    <w:bookmarkEnd w:id="28"/>
    <w:bookmarkStart w:id="29" w:name="X050224ec705f8a7b6b767669918cf649ef6bb7c"/>
    <w:p>
      <w:pPr>
        <w:pStyle w:val="Heading3"/>
      </w:pPr>
      <w:r>
        <w:t xml:space="preserve">2.2.5</w:t>
      </w:r>
      <w:r>
        <w:t xml:space="preserve"> </w:t>
      </w:r>
      <w:r>
        <w:rPr>
          <w:iCs/>
          <w:i/>
        </w:rPr>
        <w:t xml:space="preserve">The index of postpartum infecundability (C</w:t>
      </w:r>
      <w:r>
        <w:rPr>
          <w:vertAlign w:val="subscript"/>
          <w:iCs/>
          <w:i/>
        </w:rPr>
        <w:t xml:space="preserve">i</w:t>
      </w:r>
      <w:r>
        <w:rPr>
          <w:iCs/>
          <w:i/>
        </w:rPr>
        <w:t xml:space="preserve">)</w:t>
      </w:r>
    </w:p>
    <w:p>
      <w:pPr>
        <w:pStyle w:val="FirstParagraph"/>
      </w:pPr>
      <w:r>
        <w:t xml:space="preserve">The index of postpartum infecundability represents the reduced risk of exposure to conception immediately following a birth</w:t>
      </w:r>
      <w:r>
        <w:t xml:space="preserve"> </w:t>
      </w:r>
      <w:r>
        <w:t xml:space="preserve">[</w:t>
      </w:r>
      <w:hyperlink w:anchor="ref-bongaarts1983">
        <w:r>
          <w:rPr>
            <w:rStyle w:val="Hyperlink"/>
          </w:rPr>
          <w:t xml:space="preserve">20</w:t>
        </w:r>
      </w:hyperlink>
      <w:r>
        <w:t xml:space="preserve">]</w:t>
      </w:r>
      <w:r>
        <w:t xml:space="preserve">. In the absence of any breastfeeding (and postpartum abstinence), the average birth interval is around 20 months, which includes four segments: a period of postpartum amenorrhea (1.5 months), the average waiting time to conception (7.5 months), time added by spontaneous intrauterine mortality (2 months) and 9 months of a full term pregnancy. The last three segments are assumed constant and sum up to 18.5 months. Postpartum amenorrhea is extended by breastfeeding and abstinence. The index of postpartum infecundability is estimated by the ratio of the average birth interval where breastfeeding and abstinence are absent, and the length of a birth interval where the period of postpartum infecundability is extended by breastfeeding and abstinence. It is estimated using the formula:</w:t>
      </w:r>
    </w:p>
    <w:p>
      <w:pPr>
        <w:pStyle w:val="BodyText"/>
      </w:pPr>
      <m:oMathPara>
        <m:oMathParaPr>
          <m:jc m:val="center"/>
        </m:oMathParaPr>
        <m:oMath>
          <m:sSub>
            <m:e>
              <m:r>
                <m:t>C</m:t>
              </m:r>
            </m:e>
            <m:sub>
              <m:r>
                <m:t>i</m:t>
              </m:r>
            </m:sub>
          </m:sSub>
          <m:r>
            <m:t> </m:t>
          </m:r>
          <m:r>
            <m:rPr>
              <m:sty m:val="p"/>
            </m:rPr>
            <m:t>=</m:t>
          </m:r>
          <m:r>
            <m:t> </m:t>
          </m:r>
          <m:f>
            <m:fPr>
              <m:type m:val="bar"/>
            </m:fPr>
            <m:num>
              <m:r>
                <m:t>20</m:t>
              </m:r>
            </m:num>
            <m:den>
              <m:r>
                <m:t>18.5</m:t>
              </m:r>
              <m:r>
                <m:t> </m:t>
              </m:r>
              <m:r>
                <m:rPr>
                  <m:sty m:val="p"/>
                </m:rPr>
                <m:t>+</m:t>
              </m:r>
              <m:r>
                <m:t> </m:t>
              </m:r>
              <m:r>
                <m:t>i</m:t>
              </m:r>
            </m:den>
          </m:f>
        </m:oMath>
      </m:oMathPara>
    </w:p>
    <w:p>
      <w:pPr>
        <w:pStyle w:val="FirstParagraph"/>
      </w:pPr>
      <w:r>
        <w:t xml:space="preserve">where C</w:t>
      </w:r>
      <w:r>
        <w:rPr>
          <w:vertAlign w:val="subscript"/>
        </w:rPr>
        <w:t xml:space="preserve">i</w:t>
      </w:r>
      <w:r>
        <w:t xml:space="preserve"> </w:t>
      </w:r>
      <w:r>
        <w:t xml:space="preserve">= index of postpartum infecundability; and i = average duration of postpartum infecundability due to breastfeeding and postpartum abstinence. In the absence of breastfeeding and abstinence, i would be equal to 1.5, its minimum possible value, and C</w:t>
      </w:r>
      <w:r>
        <w:rPr>
          <w:vertAlign w:val="subscript"/>
        </w:rPr>
        <w:t xml:space="preserve">i</w:t>
      </w:r>
      <w:r>
        <w:t xml:space="preserve"> </w:t>
      </w:r>
      <w:r>
        <w:t xml:space="preserve">would equal 1. As the duration of postpartum infecundability increases, C</w:t>
      </w:r>
      <w:r>
        <w:rPr>
          <w:vertAlign w:val="subscript"/>
        </w:rPr>
        <w:t xml:space="preserve">i</w:t>
      </w:r>
      <w:r>
        <w:t xml:space="preserve"> </w:t>
      </w:r>
      <w:r>
        <w:t xml:space="preserve">declines and it would tend towards 0 if the duration of postpartum infecundability were to continue indefinitely.</w:t>
      </w:r>
    </w:p>
    <w:bookmarkEnd w:id="29"/>
    <w:bookmarkStart w:id="30" w:name="the-index-of-sterility-cs"/>
    <w:p>
      <w:pPr>
        <w:pStyle w:val="Heading3"/>
      </w:pPr>
      <w:r>
        <w:t xml:space="preserve">2.2.6</w:t>
      </w:r>
      <w:r>
        <w:t xml:space="preserve"> </w:t>
      </w:r>
      <w:r>
        <w:rPr>
          <w:iCs/>
          <w:i/>
        </w:rPr>
        <w:t xml:space="preserve">The index of sterility (C</w:t>
      </w:r>
      <w:r>
        <w:rPr>
          <w:vertAlign w:val="subscript"/>
          <w:iCs/>
          <w:i/>
        </w:rPr>
        <w:t xml:space="preserve">s</w:t>
      </w:r>
      <w:r>
        <w:rPr>
          <w:iCs/>
          <w:i/>
        </w:rPr>
        <w:t xml:space="preserve">)</w:t>
      </w:r>
    </w:p>
    <w:p>
      <w:pPr>
        <w:pStyle w:val="FirstParagraph"/>
      </w:pPr>
      <w:r>
        <w:t xml:space="preserve">C</w:t>
      </w:r>
      <w:r>
        <w:rPr>
          <w:vertAlign w:val="subscript"/>
        </w:rPr>
        <w:t xml:space="preserve">s</w:t>
      </w:r>
      <w:r>
        <w:t xml:space="preserve"> </w:t>
      </w:r>
      <w:r>
        <w:t xml:space="preserve">measures the incidence of natural infertility and pathological sterility. This index expresses the total effect of infecundity because of a pathological condition. The net effect of pathological sterility would be the difference between the actual index and some base value that represents natural infecundity. The formula for measuring the index of sterility is represented as:</w:t>
      </w:r>
    </w:p>
    <w:p>
      <w:pPr>
        <w:pStyle w:val="BodyText"/>
      </w:pPr>
      <m:oMathPara>
        <m:oMathParaPr>
          <m:jc m:val="center"/>
        </m:oMathParaPr>
        <m:oMath>
          <m:sSub>
            <m:e>
              <m:r>
                <m:t>C</m:t>
              </m:r>
            </m:e>
            <m:sub>
              <m:r>
                <m:t>f</m:t>
              </m:r>
            </m:sub>
          </m:sSub>
          <m:r>
            <m:t> </m:t>
          </m:r>
          <m:r>
            <m:rPr>
              <m:sty m:val="p"/>
            </m:rPr>
            <m:t>=</m:t>
          </m:r>
          <m:r>
            <m:t> </m:t>
          </m:r>
          <m:r>
            <m:t>1</m:t>
          </m:r>
          <m:r>
            <m:t> </m:t>
          </m:r>
          <m:r>
            <m:rPr>
              <m:sty m:val="p"/>
            </m:rPr>
            <m:t>−</m:t>
          </m:r>
          <m:r>
            <m:t> </m:t>
          </m:r>
          <m:r>
            <m:t>f</m:t>
          </m:r>
        </m:oMath>
      </m:oMathPara>
    </w:p>
    <w:p>
      <w:pPr>
        <w:pStyle w:val="FirstParagraph"/>
      </w:pPr>
      <w:r>
        <w:t xml:space="preserve">where</w:t>
      </w:r>
      <w:r>
        <w:t xml:space="preserve"> </w:t>
      </w:r>
      <w:r>
        <w:rPr>
          <w:iCs/>
          <w:i/>
        </w:rPr>
        <w:t xml:space="preserve">f</w:t>
      </w:r>
      <w:r>
        <w:t xml:space="preserve"> </w:t>
      </w:r>
      <w:r>
        <w:t xml:space="preserve">is defined as the proportion of sexually active women who are infecund.</w:t>
      </w:r>
    </w:p>
    <w:bookmarkEnd w:id="30"/>
    <w:bookmarkEnd w:id="31"/>
    <w:bookmarkStart w:id="32" w:name="background-and-institutional-factors"/>
    <w:p>
      <w:pPr>
        <w:pStyle w:val="Heading2"/>
      </w:pPr>
      <w:r>
        <w:t xml:space="preserve">2.3 Background and institutional factors</w:t>
      </w:r>
    </w:p>
    <w:p>
      <w:pPr>
        <w:pStyle w:val="FirstParagraph"/>
      </w:pPr>
      <w:r>
        <w:t xml:space="preserve">In this study, we assessed the socio-economic or contextual characteristics that influence fertility through changes in the proximate determinants. These were the level of education, female participation in the workforce, wealth quintile, geopolitical regions and type of residence. Each of these factors has well established associations with fertility</w:t>
      </w:r>
      <w:r>
        <w:t xml:space="preserve"> </w:t>
      </w:r>
      <w:r>
        <w:t xml:space="preserve">[</w:t>
      </w:r>
      <w:hyperlink w:anchor="ref-johnson2011">
        <w:r>
          <w:rPr>
            <w:rStyle w:val="Hyperlink"/>
          </w:rPr>
          <w:t xml:space="preserve">21</w:t>
        </w:r>
      </w:hyperlink>
      <w:r>
        <w:t xml:space="preserve">]</w:t>
      </w:r>
      <w:r>
        <w:t xml:space="preserve">. We examined fertility preferences through the ideal number of children and desire for more children. The DHS asks women with living children,</w:t>
      </w:r>
      <w:r>
        <w:t xml:space="preserve"> </w:t>
      </w:r>
      <w:r>
        <w:rPr>
          <w:iCs/>
          <w:i/>
        </w:rPr>
        <w:t xml:space="preserve">“</w:t>
      </w:r>
      <w:r>
        <w:rPr>
          <w:iCs/>
          <w:i/>
        </w:rPr>
        <w:t xml:space="preserve">If you could go back to the time [when] you did not have any children and could choose exactly the number of children to have in your whole life, how many would that be?</w:t>
      </w:r>
      <w:r>
        <w:rPr>
          <w:iCs/>
          <w:i/>
        </w:rPr>
        <w:t xml:space="preserve">”</w:t>
      </w:r>
      <w:r>
        <w:t xml:space="preserve"> </w:t>
      </w:r>
      <w:r>
        <w:t xml:space="preserve">For women who are yet to give birth, the question is framed as</w:t>
      </w:r>
      <w:r>
        <w:t xml:space="preserve"> </w:t>
      </w:r>
      <w:r>
        <w:rPr>
          <w:iCs/>
          <w:i/>
        </w:rPr>
        <w:t xml:space="preserve">“</w:t>
      </w:r>
      <w:r>
        <w:rPr>
          <w:iCs/>
          <w:i/>
        </w:rPr>
        <w:t xml:space="preserve">If you could choose exactly the number of children to have in your whole life, how many would that be?</w:t>
      </w:r>
      <w:r>
        <w:rPr>
          <w:iCs/>
          <w:i/>
        </w:rPr>
        <w:t xml:space="preserve">”</w:t>
      </w:r>
      <w:r>
        <w:t xml:space="preserve"> </w:t>
      </w:r>
      <w:r>
        <w:t xml:space="preserve">(National Population Commission and ICF International 2019). We considered only numeric responses. The survey also asked women whether they wanted more children in addition to those they have, thus reflecting desire for further reproduction.</w:t>
      </w:r>
    </w:p>
    <w:p>
      <w:pPr>
        <w:pStyle w:val="BodyText"/>
      </w:pPr>
      <w:r>
        <w:t xml:space="preserve">The study also tracked four indicators of women’s fertility preferences. The key indicators that reflect fertility-related international policy and program priorities include planning status for most recent birth in the past five years, percent of children born to mothers under age 18, percent of children born to mothers over age 34, and the median length of the birth interval (in months). We assessed the strength of Nigeria’s Family planning programs using the Family Planning Effort Index (FPEI) and National Composite Index on Family Planning (NCIFP). The FPE has been collected periodically since 1972, and provides results across four key components: policies, services, evaluation, and access</w:t>
      </w:r>
      <w:r>
        <w:t xml:space="preserve"> </w:t>
      </w:r>
      <w:r>
        <w:t xml:space="preserve">[</w:t>
      </w:r>
      <w:hyperlink w:anchor="ref-avenirhealth2017a">
        <w:r>
          <w:rPr>
            <w:rStyle w:val="Hyperlink"/>
          </w:rPr>
          <w:t xml:space="preserve">22</w:t>
        </w:r>
      </w:hyperlink>
      <w:r>
        <w:t xml:space="preserve">]</w:t>
      </w:r>
      <w:r>
        <w:t xml:space="preserve">. The index was developed to measure the level of effort that goes into FP programs, and to track how these changes over time. The NCIPF measures the existence and implementation of family planning policies and program under five components: strategy, data, quality, equity, and accountability. It is built on the FPEIS framework</w:t>
      </w:r>
      <w:r>
        <w:t xml:space="preserve"> </w:t>
      </w:r>
      <w:r>
        <w:t xml:space="preserve">[</w:t>
      </w:r>
      <w:hyperlink w:anchor="ref-avenirhealth2017">
        <w:r>
          <w:rPr>
            <w:rStyle w:val="Hyperlink"/>
          </w:rPr>
          <w:t xml:space="preserve">23</w:t>
        </w:r>
      </w:hyperlink>
      <w:r>
        <w:t xml:space="preserve">]</w:t>
      </w:r>
      <w:r>
        <w:t xml:space="preserve">.</w:t>
      </w:r>
    </w:p>
    <w:bookmarkEnd w:id="32"/>
    <w:bookmarkStart w:id="36" w:name="results"/>
    <w:p>
      <w:pPr>
        <w:pStyle w:val="Heading2"/>
      </w:pPr>
      <w:r>
        <w:t xml:space="preserve">2.4 Results</w:t>
      </w:r>
    </w:p>
    <w:p>
      <w:pPr>
        <w:pStyle w:val="FirstParagraph"/>
      </w:pPr>
      <w:r>
        <w:t xml:space="preserve">The indices of direct biological and behavioural determinants of fertility from Bongaarts models is shown in Table 1. The behavioural indices include index of sexual exposure (C</w:t>
      </w:r>
      <w:r>
        <w:rPr>
          <w:vertAlign w:val="subscript"/>
        </w:rPr>
        <w:t xml:space="preserve">x</w:t>
      </w:r>
      <w:r>
        <w:t xml:space="preserve">), index of contraception (C</w:t>
      </w:r>
      <w:r>
        <w:rPr>
          <w:vertAlign w:val="subscript"/>
        </w:rPr>
        <w:t xml:space="preserve">c</w:t>
      </w:r>
      <w:r>
        <w:t xml:space="preserve">)and index of abortion (C</w:t>
      </w:r>
      <w:r>
        <w:rPr>
          <w:vertAlign w:val="subscript"/>
        </w:rPr>
        <w:t xml:space="preserve">a</w:t>
      </w:r>
      <w:r>
        <w:t xml:space="preserve">) while the index of sterility (C</w:t>
      </w:r>
      <w:r>
        <w:rPr>
          <w:vertAlign w:val="subscript"/>
        </w:rPr>
        <w:t xml:space="preserve">s</w:t>
      </w:r>
      <w:r>
        <w:t xml:space="preserve">) is a biological determinant. Postpartum infecundability (C</w:t>
      </w:r>
      <w:r>
        <w:rPr>
          <w:vertAlign w:val="subscript"/>
        </w:rPr>
        <w:t xml:space="preserve">i</w:t>
      </w:r>
      <w:r>
        <w:t xml:space="preserve">) is a function of the duration of postpartum amenorrhea and postpartum abstinence. The duration of amenorrhea is a function of the normal length of amenorrhea after childbirth women which is due to breastfeeding practices. The duration of abstinence is entirely behavioural.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9cd31fd6-8705-4dad-9f74-00f4033eb0ec" w:name="tfrAl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cd31fd6-8705-4dad-9f74-00f4033eb0ec"/>
      <w:r>
        <w:rPr/>
        <w:t xml:space="preserve">: </w:t>
      </w:r>
      <w:r>
        <w:t xml:space="preserve">Estimated Indices for Proximate Determinants of Fertility, DHS 2003-2018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Cu</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Survey TFR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Model TFR</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5.65</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5.93</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5.67</w:t>
            </w:r>
          </w:p>
        </w:tc>
      </w:tr>
      <w:tr>
        <w:trPr>
          <w:trHeight w:val="360" w:hRule="auto"/>
        </w:trPr>
        footer1
        <w:tc>
          <w:tcPr>
            <w:gridSpan w:val="9"/>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 from Nigeria Demographic and Health Survey 2003-2018</w:t>
            </w:r>
          </w:p>
        </w:tc>
      </w:tr>
    </w:tbl>
    <w:p>
      <w:pPr>
        <w:pStyle w:val="BodyText"/>
      </w:pPr>
      <w:r>
        <w:t xml:space="preserve">C</w:t>
      </w:r>
      <w:r>
        <w:rPr>
          <w:vertAlign w:val="subscript"/>
        </w:rPr>
        <w:t xml:space="preserve">i</w:t>
      </w:r>
      <w:r>
        <w:t xml:space="preserve"> </w:t>
      </w:r>
      <w:r>
        <w:t xml:space="preserve">was the lowest among the indices in our study at 0.64 in the 2018 survey. This implies that postpartum infecundability is associated with reduction of potential fertility by 36% from its biological maximum. Delayed sexual exposure (C</w:t>
      </w:r>
      <w:r>
        <w:rPr>
          <w:vertAlign w:val="subscript"/>
        </w:rPr>
        <w:t xml:space="preserve">x</w:t>
      </w:r>
      <w:r>
        <w:t xml:space="preserve">) inhibited fertility by 32% being the second most effective ferility reducing factor. The index of abortion was high at 0.94. Hence, abortion</w:t>
      </w:r>
      <w:r>
        <w:t xml:space="preserve"> </w:t>
      </w:r>
      <w:r>
        <w:t xml:space="preserve">[</w:t>
      </w:r>
      <w:hyperlink w:anchor="ref-awoyemi2014">
        <w:r>
          <w:rPr>
            <w:rStyle w:val="Hyperlink"/>
          </w:rPr>
          <w:t xml:space="preserve">24</w:t>
        </w:r>
      </w:hyperlink>
      <w:r>
        <w:t xml:space="preserve">–</w:t>
      </w:r>
      <w:hyperlink w:anchor="ref-lamina2015">
        <w:r>
          <w:rPr>
            <w:rStyle w:val="Hyperlink"/>
          </w:rPr>
          <w:t xml:space="preserve">26</w:t>
        </w:r>
      </w:hyperlink>
      <w:r>
        <w:t xml:space="preserve">]</w:t>
      </w:r>
      <w:r>
        <w:t xml:space="preserve">. This index is therefore excluded from the discussions. The other reductions in PF occurred because of inability to bear children (C</w:t>
      </w:r>
      <w:r>
        <w:rPr>
          <w:vertAlign w:val="subscript"/>
        </w:rPr>
        <w:t xml:space="preserve">f</w:t>
      </w:r>
      <w:r>
        <w:t xml:space="preserve">, 0.80) and effects from the use of contraceptive technologies (C</w:t>
      </w:r>
      <w:r>
        <w:rPr>
          <w:vertAlign w:val="subscript"/>
        </w:rPr>
        <w:t xml:space="preserve">u</w:t>
      </w:r>
      <w:r>
        <w:t xml:space="preserve">, 0.82). The lowest contributor is the index of contraception, contributing to 18% reduction in PF. There were little changes during the period of the survey in the 5 indices.</w:t>
      </w:r>
    </w:p>
    <w:p>
      <w:pPr>
        <w:pStyle w:val="BodyText"/>
      </w:pPr>
      <w:r>
        <w:t xml:space="preserve">The revised Bongaart’s model gave an estimated TFR of 5.67, which is 0.38 children higher than TFR measured by DHS survey in 2018 (5.29). The analysis arrived at similar values for 2003 (5.65 each). Any difference between these sets of TFRs may be due to underestimation in DHS samples, inaccuracies in the data, inexactitude in our estimation of the indices, or other factors left out of the model. Nevertheless, the model shows the relative contributions of the determinants, and enables us report variations between socio-economic and geographic groups, as well as changes over the years of the surveys 2003-2018.</w:t>
      </w:r>
    </w:p>
    <w:p>
      <w:pPr>
        <w:pStyle w:val="BodyText"/>
      </w:pPr>
      <w:r>
        <w:t xml:space="preserve">The influence of the proximate determinants and their variability by these background factors are presented in tables 2, 3, 4 and 5 for 2018, 2013, 2008 and 2003 respectively. The study shows that for 2018, attainment of secondary education is associated with relatively low indices for sexual exposure (0.58) and contraception (0.62). Across the educational attainment levels, these two indices have an inverse relationship in all years of the survey. On the other hand, the index of postpartum infecundability increases with additional educational attainment. This would reflect shorter duration of breastfeeding which is essential to prolong duration of postpartum amenorrhea, and quicker cessation of sexual abstinence after delivery. Concerning disparity in place of residence and wealth, C</w:t>
      </w:r>
      <w:r>
        <w:rPr>
          <w:vertAlign w:val="subscript"/>
        </w:rPr>
        <w:t xml:space="preserve">x</w:t>
      </w:r>
      <w:r>
        <w:t xml:space="preserve"> </w:t>
      </w:r>
      <w:r>
        <w:t xml:space="preserve">was higher among rural residents in all years (rural - 0.74, urban - 061). This means sexual exposure inhibited fertility by 33.5% among rural residents, and 39% among city dwellers. On the contrary, the Ci was higher among urban residents (rural - 0.61, urban - 0.68). Contribution of sterility to reducing PF is not dependent on place of residence, as C</w:t>
      </w:r>
      <w:r>
        <w:rPr>
          <w:vertAlign w:val="subscript"/>
        </w:rPr>
        <w:t xml:space="preserve">f</w:t>
      </w:r>
      <w:r>
        <w:t xml:space="preserve"> </w:t>
      </w:r>
      <w:r>
        <w:t xml:space="preserve">in all years were within ±0.03 units. As expected, the index of contraception is higher in rural areas relative to urban population, reflecting a higher contraceptive use among sexually exposed female urban dwellers. There also are notable differences between women of different wealth quintiles. The values of the indices are lower for women in higher wealth quintiles, meaning a higher depression of fertility, with exception of C</w:t>
      </w:r>
      <w:r>
        <w:rPr>
          <w:vertAlign w:val="subscript"/>
        </w:rPr>
        <w:t xml:space="preserve">i</w:t>
      </w:r>
      <w:r>
        <w:t xml:space="preserve">. The C</w:t>
      </w:r>
      <w:r>
        <w:rPr>
          <w:vertAlign w:val="subscript"/>
        </w:rPr>
        <w:t xml:space="preserve">i</w:t>
      </w:r>
      <w:r>
        <w:t xml:space="preserve"> </w:t>
      </w:r>
      <w:r>
        <w:t xml:space="preserve">increases progressively along the wealth quintiles (lowest - 0.56, second - 0.61, middle - 0.64, fourth - 0.68, highest - 0.75) in 2018, as well as across all the years of the survey.</w:t>
      </w:r>
    </w:p>
    <w:p>
      <w:pPr>
        <w:pStyle w:val="BodyText"/>
      </w:pPr>
      <w:r>
        <w:t xml:space="preserve">Workforce participation is associated with a lower fertility in 2018, with no notable difference in preceding years. In the latest year of the survey, the estimated TFR among women in workforce was 5.22, compared to 5.93 in women without workforce participation. In 2013 however, the reverse was the case (in workforce - 5.76, not in workforce - 5.62) The differences were negligible in 2008 (in workforce – 5.93, not in workforce - 5.99), and 2003 (in workforce - 5.78, not in workforce - 5.74). In all years, the index of contraception contributed more to depression of fertility among those in workforce compared to those not active in workforce. In contrast, the index of marriage and index of sterility contributed more to fertility reduction among women of reproductive age not active in workforce. The contributions of the index of postpartum infecundability and index of abortion were near identical.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1e26bf4e-d6d8-4e71-a913-ff659f514a8c" w:name="tfr201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26bf4e-d6d8-4e71-a913-ff659f514a8c"/>
      <w:r>
        <w:rPr/>
        <w:t xml:space="preserve">: </w:t>
      </w:r>
      <w:r>
        <w:t xml:space="preserve">Estimated indices of proximate determinants of fertility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Variables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Cu</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Survey TFR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Model TFR</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Aggregate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National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5.67</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Education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education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Primary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Secondary/Higher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Residence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Urban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Rural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Wealth quintile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Lowest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6.56</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Second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6.12</w:t>
            </w:r>
          </w:p>
        </w:tc>
      </w:tr>
      <w:tr>
        <w:trPr>
          <w:trHeight w:val="360"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Middle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4.91</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Fourth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w:t>
            </w:r>
          </w:p>
        </w:tc>
      </w:tr>
      <w:tr>
        <w:trPr>
          <w:trHeight w:val="360"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Highest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3.65</w:t>
            </w:r>
          </w:p>
        </w:tc>
      </w:tr>
      <w:tr>
        <w:trPr>
          <w:trHeight w:val="360"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Workforce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workforce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4.78</w:t>
            </w:r>
          </w:p>
        </w:tc>
      </w:tr>
      <w:tr>
        <w:trPr>
          <w:trHeight w:val="360"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in workforce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5.26</w:t>
            </w:r>
          </w:p>
        </w:tc>
      </w:tr>
      <w:tr>
        <w:trPr>
          <w:trHeight w:val="360"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Regions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North Central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4.45</w:t>
            </w:r>
          </w:p>
        </w:tc>
      </w:tr>
      <w:tr>
        <w:trPr>
          <w:trHeight w:val="360"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North East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w:t>
            </w:r>
          </w:p>
        </w:tc>
      </w:tr>
      <w:tr>
        <w:trPr>
          <w:trHeight w:val="360"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North West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6.35</w:t>
            </w:r>
          </w:p>
        </w:tc>
      </w:tr>
      <w:tr>
        <w:trPr>
          <w:trHeight w:val="360"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South East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w:t>
            </w:r>
          </w:p>
        </w:tc>
      </w:tr>
      <w:tr>
        <w:trPr>
          <w:trHeight w:val="360"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South South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4.22</w:t>
            </w:r>
          </w:p>
        </w:tc>
      </w:tr>
      <w:tr>
        <w:trPr>
          <w:trHeight w:val="360"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South West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3.49</w:t>
            </w:r>
          </w:p>
        </w:tc>
      </w:tr>
      <w:tr>
        <w:trPr>
          <w:trHeight w:val="360" w:hRule="auto"/>
        </w:trPr>
        footer 1
        <w:tc>
          <w:tcPr>
            <w:gridSpan w:val="9"/>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 from Nigeria Demographic and Health Survey 2018</w:t>
            </w:r>
          </w:p>
        </w:tc>
      </w:tr>
    </w:tbl>
    <w:p>
      <w:pPr>
        <w:pStyle w:val="BodyText"/>
      </w:pPr>
      <w:r>
        <w:t xml:space="preserve">Table 3: Estimated indices of proximate determinants of fertility (2013)</w:t>
      </w:r>
    </w:p>
    <w:tbl>
      <w:tblPr>
        <w:tblStyle w:val="Table"/>
        <w:tblW w:type="pct" w:w="5000"/>
        <w:tblLook w:firstRow="0" w:lastRow="0" w:firstColumn="0" w:lastColumn="0" w:noHBand="0" w:noVBand="0" w:val="0000"/>
        <w:jc w:val="start"/>
      </w:tblPr>
      <w:tblGrid>
        <w:gridCol w:w="879"/>
        <w:gridCol w:w="879"/>
        <w:gridCol w:w="879"/>
        <w:gridCol w:w="879"/>
        <w:gridCol w:w="879"/>
        <w:gridCol w:w="879"/>
        <w:gridCol w:w="879"/>
        <w:gridCol w:w="879"/>
        <w:gridCol w:w="879"/>
      </w:tblGrid>
      <w:tr>
        <w:tc>
          <w:tcPr/>
          <w:p>
            <w:pPr>
              <w:pStyle w:val="Compact"/>
              <w:jc w:val="left"/>
            </w:pPr>
            <w:r>
              <w:rPr>
                <w:bCs/>
                <w:b/>
              </w:rPr>
              <w:t xml:space="preserve">Variables</w:t>
            </w:r>
          </w:p>
        </w:tc>
        <w:tc>
          <w:tcPr/>
          <w:p>
            <w:pPr>
              <w:pStyle w:val="Compact"/>
              <w:jc w:val="left"/>
            </w:pPr>
            <w:r>
              <w:rPr>
                <w:bCs/>
                <w:b/>
              </w:rPr>
              <w:t xml:space="preserve">C</w:t>
            </w:r>
            <w:r>
              <w:rPr>
                <w:vertAlign w:val="subscript"/>
                <w:bCs/>
                <w:b/>
              </w:rPr>
              <w:t xml:space="preserve">x</w:t>
            </w:r>
          </w:p>
        </w:tc>
        <w:tc>
          <w:tcPr/>
          <w:p>
            <w:pPr>
              <w:pStyle w:val="Compact"/>
              <w:jc w:val="left"/>
            </w:pPr>
            <w:r>
              <w:rPr>
                <w:bCs/>
                <w:b/>
              </w:rPr>
              <w:t xml:space="preserve">C</w:t>
            </w:r>
            <w:r>
              <w:rPr>
                <w:vertAlign w:val="subscript"/>
                <w:bCs/>
                <w:b/>
              </w:rPr>
              <w:t xml:space="preserve">i</w:t>
            </w:r>
          </w:p>
        </w:tc>
        <w:tc>
          <w:tcPr/>
          <w:p>
            <w:pPr>
              <w:pStyle w:val="Compact"/>
              <w:jc w:val="left"/>
            </w:pPr>
            <w:r>
              <w:rPr>
                <w:bCs/>
                <w:b/>
              </w:rPr>
              <w:t xml:space="preserve">C</w:t>
            </w:r>
            <w:r>
              <w:rPr>
                <w:vertAlign w:val="subscript"/>
                <w:bCs/>
                <w:b/>
              </w:rPr>
              <w:t xml:space="preserve">a</w:t>
            </w:r>
          </w:p>
        </w:tc>
        <w:tc>
          <w:tcPr/>
          <w:p>
            <w:pPr>
              <w:pStyle w:val="Compact"/>
              <w:jc w:val="left"/>
            </w:pPr>
            <w:r>
              <w:rPr>
                <w:bCs/>
                <w:b/>
              </w:rPr>
              <w:t xml:space="preserve">C</w:t>
            </w:r>
            <w:r>
              <w:rPr>
                <w:vertAlign w:val="subscript"/>
                <w:bCs/>
                <w:b/>
              </w:rPr>
              <w:t xml:space="preserve">f</w:t>
            </w:r>
          </w:p>
        </w:tc>
        <w:tc>
          <w:tcPr/>
          <w:p>
            <w:pPr>
              <w:pStyle w:val="Compact"/>
              <w:jc w:val="left"/>
            </w:pPr>
            <w:r>
              <w:rPr>
                <w:bCs/>
                <w:b/>
              </w:rPr>
              <w:t xml:space="preserve">C</w:t>
            </w:r>
            <w:r>
              <w:rPr>
                <w:vertAlign w:val="subscript"/>
                <w:bCs/>
                <w:b/>
              </w:rPr>
              <w:t xml:space="preserve">u</w:t>
            </w:r>
          </w:p>
        </w:tc>
        <w:tc>
          <w:tcPr/>
          <w:p>
            <w:pPr>
              <w:pStyle w:val="Compact"/>
              <w:jc w:val="left"/>
            </w:pPr>
            <w:r>
              <w:rPr>
                <w:bCs/>
                <w:b/>
              </w:rPr>
              <w:t xml:space="preserve">PF</w:t>
            </w:r>
          </w:p>
        </w:tc>
        <w:tc>
          <w:tcPr/>
          <w:p>
            <w:pPr>
              <w:pStyle w:val="Compact"/>
              <w:jc w:val="left"/>
            </w:pPr>
            <w:r>
              <w:rPr>
                <w:bCs/>
                <w:b/>
              </w:rPr>
              <w:t xml:space="preserve">TFR (Survey)</w:t>
            </w:r>
          </w:p>
        </w:tc>
        <w:tc>
          <w:tcPr/>
          <w:p>
            <w:pPr>
              <w:pStyle w:val="Compact"/>
              <w:jc w:val="left"/>
            </w:pPr>
            <w:r>
              <w:rPr>
                <w:bCs/>
                <w:b/>
              </w:rPr>
              <w:t xml:space="preserve">TFR (Bongaarts)</w:t>
            </w:r>
          </w:p>
        </w:tc>
      </w:tr>
      <w:tr>
        <w:tc>
          <w:tcPr/>
          <w:p>
            <w:pPr>
              <w:pStyle w:val="Compact"/>
              <w:jc w:val="left"/>
            </w:pPr>
            <w:r>
              <w:rPr>
                <w:iCs/>
                <w:i/>
              </w:rPr>
              <w:t xml:space="preserve">Aggregate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National</w:t>
            </w:r>
          </w:p>
        </w:tc>
        <w:tc>
          <w:tcPr/>
          <w:p>
            <w:pPr>
              <w:pStyle w:val="Compact"/>
              <w:jc w:val="left"/>
            </w:pPr>
            <w:r>
              <w:t xml:space="preserve">0.72</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0.80</w:t>
            </w:r>
          </w:p>
        </w:tc>
        <w:tc>
          <w:tcPr/>
          <w:p>
            <w:pPr>
              <w:pStyle w:val="Compact"/>
              <w:jc w:val="left"/>
            </w:pPr>
            <w:r>
              <w:t xml:space="preserve">0.81</w:t>
            </w:r>
          </w:p>
        </w:tc>
        <w:tc>
          <w:tcPr/>
          <w:p>
            <w:pPr>
              <w:pStyle w:val="Compact"/>
              <w:jc w:val="left"/>
            </w:pPr>
            <w:r>
              <w:t xml:space="preserve">19.48</w:t>
            </w:r>
          </w:p>
        </w:tc>
        <w:tc>
          <w:tcPr/>
          <w:p>
            <w:pPr>
              <w:pStyle w:val="Compact"/>
              <w:jc w:val="left"/>
            </w:pPr>
            <w:r>
              <w:t xml:space="preserve">5.50</w:t>
            </w:r>
          </w:p>
        </w:tc>
        <w:tc>
          <w:tcPr/>
          <w:p>
            <w:pPr>
              <w:pStyle w:val="Compact"/>
              <w:jc w:val="left"/>
            </w:pPr>
            <w:r>
              <w:t xml:space="preserve">5.93</w:t>
            </w:r>
          </w:p>
        </w:tc>
      </w:tr>
      <w:tr>
        <w:tc>
          <w:tcPr/>
          <w:p>
            <w:pPr>
              <w:pStyle w:val="Compact"/>
              <w:jc w:val="left"/>
            </w:pPr>
            <w:r>
              <w:rPr>
                <w:iCs/>
                <w:i/>
              </w:rP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 education</w:t>
            </w:r>
          </w:p>
        </w:tc>
        <w:tc>
          <w:tcPr/>
          <w:p>
            <w:pPr>
              <w:pStyle w:val="Compact"/>
              <w:jc w:val="left"/>
            </w:pPr>
            <w:r>
              <w:t xml:space="preserve">0.86</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0.94</w:t>
            </w:r>
          </w:p>
        </w:tc>
        <w:tc>
          <w:tcPr/>
          <w:p>
            <w:pPr>
              <w:pStyle w:val="Compact"/>
              <w:jc w:val="left"/>
            </w:pPr>
            <w:r>
              <w:t xml:space="preserve">20.20</w:t>
            </w:r>
          </w:p>
        </w:tc>
        <w:tc>
          <w:tcPr/>
          <w:p>
            <w:pPr>
              <w:pStyle w:val="Compact"/>
              <w:jc w:val="left"/>
            </w:pPr>
            <w:r>
              <w:t xml:space="preserve">6.93</w:t>
            </w:r>
          </w:p>
        </w:tc>
        <w:tc>
          <w:tcPr/>
          <w:p>
            <w:pPr>
              <w:pStyle w:val="Compact"/>
              <w:jc w:val="left"/>
            </w:pPr>
            <w:r>
              <w:t xml:space="preserve">7.20</w:t>
            </w:r>
          </w:p>
        </w:tc>
      </w:tr>
      <w:tr>
        <w:tc>
          <w:tcPr/>
          <w:p>
            <w:pPr>
              <w:pStyle w:val="Compact"/>
              <w:jc w:val="left"/>
            </w:pPr>
            <w:r>
              <w:t xml:space="preserve">Primary</w:t>
            </w:r>
          </w:p>
        </w:tc>
        <w:tc>
          <w:tcPr/>
          <w:p>
            <w:pPr>
              <w:pStyle w:val="Compact"/>
              <w:jc w:val="left"/>
            </w:pPr>
            <w:r>
              <w:t xml:space="preserve">0.74</w:t>
            </w:r>
          </w:p>
        </w:tc>
        <w:tc>
          <w:tcPr/>
          <w:p>
            <w:pPr>
              <w:pStyle w:val="Compact"/>
              <w:jc w:val="left"/>
            </w:pPr>
            <w:r>
              <w:t xml:space="preserve">0.63</w:t>
            </w:r>
          </w:p>
        </w:tc>
        <w:tc>
          <w:tcPr/>
          <w:p>
            <w:pPr>
              <w:pStyle w:val="Compact"/>
              <w:jc w:val="left"/>
            </w:pPr>
            <w:r>
              <w:t xml:space="preserve">0.95</w:t>
            </w:r>
          </w:p>
        </w:tc>
        <w:tc>
          <w:tcPr/>
          <w:p>
            <w:pPr>
              <w:pStyle w:val="Compact"/>
              <w:jc w:val="left"/>
            </w:pPr>
            <w:r>
              <w:t xml:space="preserve">0.78</w:t>
            </w:r>
          </w:p>
        </w:tc>
        <w:tc>
          <w:tcPr/>
          <w:p>
            <w:pPr>
              <w:pStyle w:val="Compact"/>
              <w:jc w:val="left"/>
            </w:pPr>
            <w:r>
              <w:t xml:space="preserve">0.65</w:t>
            </w:r>
          </w:p>
        </w:tc>
        <w:tc>
          <w:tcPr/>
          <w:p>
            <w:pPr>
              <w:pStyle w:val="Compact"/>
              <w:jc w:val="left"/>
            </w:pPr>
            <w:r>
              <w:t xml:space="preserve">27.27</w:t>
            </w:r>
          </w:p>
        </w:tc>
        <w:tc>
          <w:tcPr/>
          <w:p>
            <w:pPr>
              <w:pStyle w:val="Compact"/>
              <w:jc w:val="left"/>
            </w:pPr>
            <w:r>
              <w:t xml:space="preserve">6.13</w:t>
            </w:r>
          </w:p>
        </w:tc>
        <w:tc>
          <w:tcPr/>
          <w:p>
            <w:pPr>
              <w:pStyle w:val="Compact"/>
              <w:jc w:val="left"/>
            </w:pPr>
            <w:r>
              <w:t xml:space="preserve">4.72</w:t>
            </w:r>
          </w:p>
        </w:tc>
      </w:tr>
      <w:tr>
        <w:tc>
          <w:tcPr/>
          <w:p>
            <w:pPr>
              <w:pStyle w:val="Compact"/>
              <w:jc w:val="left"/>
            </w:pPr>
            <w:r>
              <w:t xml:space="preserve">Secondary/Higher</w:t>
            </w:r>
          </w:p>
        </w:tc>
        <w:tc>
          <w:tcPr/>
          <w:p>
            <w:pPr>
              <w:pStyle w:val="Compact"/>
              <w:jc w:val="left"/>
            </w:pPr>
            <w:r>
              <w:t xml:space="preserve">0.59</w:t>
            </w:r>
          </w:p>
        </w:tc>
        <w:tc>
          <w:tcPr/>
          <w:p>
            <w:pPr>
              <w:pStyle w:val="Compact"/>
              <w:jc w:val="left"/>
            </w:pPr>
            <w:r>
              <w:t xml:space="preserve">0.72</w:t>
            </w:r>
          </w:p>
        </w:tc>
        <w:tc>
          <w:tcPr/>
          <w:p>
            <w:pPr>
              <w:pStyle w:val="Compact"/>
              <w:jc w:val="left"/>
            </w:pPr>
            <w:r>
              <w:t xml:space="preserve">0.91</w:t>
            </w:r>
          </w:p>
        </w:tc>
        <w:tc>
          <w:tcPr/>
          <w:p>
            <w:pPr>
              <w:pStyle w:val="Compact"/>
              <w:jc w:val="left"/>
            </w:pPr>
            <w:r>
              <w:t xml:space="preserve">0.86</w:t>
            </w:r>
          </w:p>
        </w:tc>
        <w:tc>
          <w:tcPr/>
          <w:p>
            <w:pPr>
              <w:pStyle w:val="Compact"/>
              <w:jc w:val="left"/>
            </w:pPr>
            <w:r>
              <w:t xml:space="preserve">0.50</w:t>
            </w:r>
          </w:p>
        </w:tc>
        <w:tc>
          <w:tcPr/>
          <w:p>
            <w:pPr>
              <w:pStyle w:val="Compact"/>
              <w:jc w:val="left"/>
            </w:pPr>
            <w:r>
              <w:t xml:space="preserve">24.79</w:t>
            </w:r>
          </w:p>
        </w:tc>
        <w:tc>
          <w:tcPr/>
          <w:p>
            <w:pPr>
              <w:pStyle w:val="Compact"/>
              <w:jc w:val="left"/>
            </w:pPr>
            <w:r>
              <w:t xml:space="preserve">4.21</w:t>
            </w:r>
          </w:p>
        </w:tc>
        <w:tc>
          <w:tcPr/>
          <w:p>
            <w:pPr>
              <w:pStyle w:val="Compact"/>
              <w:jc w:val="left"/>
            </w:pPr>
            <w:r>
              <w:t xml:space="preserve">3.57</w:t>
            </w:r>
          </w:p>
        </w:tc>
      </w:tr>
      <w:tr>
        <w:tc>
          <w:tcPr/>
          <w:p>
            <w:pPr>
              <w:pStyle w:val="Compact"/>
              <w:jc w:val="left"/>
            </w:pPr>
            <w:r>
              <w:rPr>
                <w:iCs/>
                <w:i/>
              </w:rPr>
              <w:t xml:space="preserve">Residence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Urban</w:t>
            </w:r>
          </w:p>
        </w:tc>
        <w:tc>
          <w:tcPr/>
          <w:p>
            <w:pPr>
              <w:pStyle w:val="Compact"/>
              <w:jc w:val="left"/>
            </w:pPr>
            <w:r>
              <w:t xml:space="preserve">0.65</w:t>
            </w:r>
          </w:p>
        </w:tc>
        <w:tc>
          <w:tcPr/>
          <w:p>
            <w:pPr>
              <w:pStyle w:val="Compact"/>
              <w:jc w:val="left"/>
            </w:pPr>
            <w:r>
              <w:t xml:space="preserve">0.70</w:t>
            </w:r>
          </w:p>
        </w:tc>
        <w:tc>
          <w:tcPr/>
          <w:p>
            <w:pPr>
              <w:pStyle w:val="Compact"/>
              <w:jc w:val="left"/>
            </w:pPr>
            <w:r>
              <w:t xml:space="preserve">0.92</w:t>
            </w:r>
          </w:p>
        </w:tc>
        <w:tc>
          <w:tcPr/>
          <w:p>
            <w:pPr>
              <w:pStyle w:val="Compact"/>
              <w:jc w:val="left"/>
            </w:pPr>
            <w:r>
              <w:t xml:space="preserve">0.82</w:t>
            </w:r>
          </w:p>
        </w:tc>
        <w:tc>
          <w:tcPr/>
          <w:p>
            <w:pPr>
              <w:pStyle w:val="Compact"/>
              <w:jc w:val="left"/>
            </w:pPr>
            <w:r>
              <w:t xml:space="preserve">0.51</w:t>
            </w:r>
          </w:p>
        </w:tc>
        <w:tc>
          <w:tcPr/>
          <w:p>
            <w:pPr>
              <w:pStyle w:val="Compact"/>
              <w:jc w:val="left"/>
            </w:pPr>
            <w:r>
              <w:t xml:space="preserve">26.49</w:t>
            </w:r>
          </w:p>
        </w:tc>
        <w:tc>
          <w:tcPr/>
          <w:p>
            <w:pPr>
              <w:pStyle w:val="Compact"/>
              <w:jc w:val="left"/>
            </w:pPr>
            <w:r>
              <w:t xml:space="preserve">4.66</w:t>
            </w:r>
          </w:p>
        </w:tc>
        <w:tc>
          <w:tcPr/>
          <w:p>
            <w:pPr>
              <w:pStyle w:val="Compact"/>
              <w:jc w:val="left"/>
            </w:pPr>
            <w:r>
              <w:t xml:space="preserve">3.69</w:t>
            </w:r>
          </w:p>
        </w:tc>
      </w:tr>
      <w:tr>
        <w:tc>
          <w:tcPr/>
          <w:p>
            <w:pPr>
              <w:pStyle w:val="Compact"/>
              <w:jc w:val="left"/>
            </w:pPr>
            <w:r>
              <w:t xml:space="preserve">Rural</w:t>
            </w:r>
          </w:p>
        </w:tc>
        <w:tc>
          <w:tcPr/>
          <w:p>
            <w:pPr>
              <w:pStyle w:val="Compact"/>
              <w:jc w:val="left"/>
            </w:pPr>
            <w:r>
              <w:t xml:space="preserve">0.78</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0.80</w:t>
            </w:r>
          </w:p>
        </w:tc>
        <w:tc>
          <w:tcPr/>
          <w:p>
            <w:pPr>
              <w:pStyle w:val="Compact"/>
              <w:jc w:val="left"/>
            </w:pPr>
            <w:r>
              <w:t xml:space="preserve">0.79</w:t>
            </w:r>
          </w:p>
        </w:tc>
        <w:tc>
          <w:tcPr/>
          <w:p>
            <w:pPr>
              <w:pStyle w:val="Compact"/>
              <w:jc w:val="left"/>
            </w:pPr>
            <w:r>
              <w:t xml:space="preserve">22.06</w:t>
            </w:r>
          </w:p>
        </w:tc>
        <w:tc>
          <w:tcPr/>
          <w:p>
            <w:pPr>
              <w:pStyle w:val="Compact"/>
              <w:jc w:val="left"/>
            </w:pPr>
            <w:r>
              <w:t xml:space="preserve">6.18</w:t>
            </w:r>
          </w:p>
        </w:tc>
        <w:tc>
          <w:tcPr/>
          <w:p>
            <w:pPr>
              <w:pStyle w:val="Compact"/>
              <w:jc w:val="left"/>
            </w:pPr>
            <w:r>
              <w:t xml:space="preserve">5.88</w:t>
            </w:r>
          </w:p>
        </w:tc>
      </w:tr>
      <w:tr>
        <w:tc>
          <w:tcPr/>
          <w:p>
            <w:pPr>
              <w:pStyle w:val="Compact"/>
              <w:jc w:val="left"/>
            </w:pPr>
            <w:r>
              <w:rPr>
                <w:iCs/>
                <w:i/>
              </w:rPr>
              <w:t xml:space="preserve">Wealth quintile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Lowest</w:t>
            </w:r>
          </w:p>
        </w:tc>
        <w:tc>
          <w:tcPr/>
          <w:p>
            <w:pPr>
              <w:pStyle w:val="Compact"/>
              <w:jc w:val="left"/>
            </w:pPr>
            <w:r>
              <w:t xml:space="preserve">0.86</w:t>
            </w:r>
          </w:p>
        </w:tc>
        <w:tc>
          <w:tcPr/>
          <w:p>
            <w:pPr>
              <w:pStyle w:val="Compact"/>
              <w:jc w:val="left"/>
            </w:pPr>
            <w:r>
              <w:t xml:space="preserve">0.57</w:t>
            </w:r>
          </w:p>
        </w:tc>
        <w:tc>
          <w:tcPr/>
          <w:p>
            <w:pPr>
              <w:pStyle w:val="Compact"/>
              <w:jc w:val="left"/>
            </w:pPr>
            <w:r>
              <w:t xml:space="preserve">0.96</w:t>
            </w:r>
          </w:p>
        </w:tc>
        <w:tc>
          <w:tcPr/>
          <w:p>
            <w:pPr>
              <w:pStyle w:val="Compact"/>
              <w:jc w:val="left"/>
            </w:pPr>
            <w:r>
              <w:t xml:space="preserve">0.77</w:t>
            </w:r>
          </w:p>
        </w:tc>
        <w:tc>
          <w:tcPr/>
          <w:p>
            <w:pPr>
              <w:pStyle w:val="Compact"/>
              <w:jc w:val="left"/>
            </w:pPr>
            <w:r>
              <w:t xml:space="preserve">0.96</w:t>
            </w:r>
          </w:p>
        </w:tc>
        <w:tc>
          <w:tcPr/>
          <w:p>
            <w:pPr>
              <w:pStyle w:val="Compact"/>
              <w:jc w:val="left"/>
            </w:pPr>
            <w:r>
              <w:t xml:space="preserve">19.84</w:t>
            </w:r>
          </w:p>
        </w:tc>
        <w:tc>
          <w:tcPr/>
          <w:p>
            <w:pPr>
              <w:pStyle w:val="Compact"/>
              <w:jc w:val="left"/>
            </w:pPr>
            <w:r>
              <w:t xml:space="preserve">6.95</w:t>
            </w:r>
          </w:p>
        </w:tc>
        <w:tc>
          <w:tcPr/>
          <w:p>
            <w:pPr>
              <w:pStyle w:val="Compact"/>
              <w:jc w:val="left"/>
            </w:pPr>
            <w:r>
              <w:t xml:space="preserve">7.36</w:t>
            </w:r>
          </w:p>
        </w:tc>
      </w:tr>
      <w:tr>
        <w:tc>
          <w:tcPr/>
          <w:p>
            <w:pPr>
              <w:pStyle w:val="Compact"/>
              <w:jc w:val="left"/>
            </w:pPr>
            <w:r>
              <w:t xml:space="preserve">Second</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0.80</w:t>
            </w:r>
          </w:p>
        </w:tc>
        <w:tc>
          <w:tcPr/>
          <w:p>
            <w:pPr>
              <w:pStyle w:val="Compact"/>
              <w:jc w:val="left"/>
            </w:pPr>
            <w:r>
              <w:t xml:space="preserve">0.87</w:t>
            </w:r>
          </w:p>
        </w:tc>
        <w:tc>
          <w:tcPr/>
          <w:p>
            <w:pPr>
              <w:pStyle w:val="Compact"/>
              <w:jc w:val="left"/>
            </w:pPr>
            <w:r>
              <w:t xml:space="preserve">22.13</w:t>
            </w:r>
          </w:p>
        </w:tc>
        <w:tc>
          <w:tcPr/>
          <w:p>
            <w:pPr>
              <w:pStyle w:val="Compact"/>
              <w:jc w:val="left"/>
            </w:pPr>
            <w:r>
              <w:t xml:space="preserve">6.72</w:t>
            </w:r>
          </w:p>
        </w:tc>
        <w:tc>
          <w:tcPr/>
          <w:p>
            <w:pPr>
              <w:pStyle w:val="Compact"/>
              <w:jc w:val="left"/>
            </w:pPr>
            <w:r>
              <w:t xml:space="preserve">6.38</w:t>
            </w:r>
          </w:p>
        </w:tc>
      </w:tr>
      <w:tr>
        <w:tc>
          <w:tcPr/>
          <w:p>
            <w:pPr>
              <w:pStyle w:val="Compact"/>
              <w:jc w:val="left"/>
            </w:pPr>
            <w:r>
              <w:t xml:space="preserve">Middle</w:t>
            </w:r>
          </w:p>
        </w:tc>
        <w:tc>
          <w:tcPr/>
          <w:p>
            <w:pPr>
              <w:pStyle w:val="Compact"/>
              <w:jc w:val="left"/>
            </w:pPr>
            <w:r>
              <w:t xml:space="preserve">0.67</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0.80</w:t>
            </w:r>
          </w:p>
        </w:tc>
        <w:tc>
          <w:tcPr/>
          <w:p>
            <w:pPr>
              <w:pStyle w:val="Compact"/>
              <w:jc w:val="left"/>
            </w:pPr>
            <w:r>
              <w:t xml:space="preserve">0.71</w:t>
            </w:r>
          </w:p>
        </w:tc>
        <w:tc>
          <w:tcPr/>
          <w:p>
            <w:pPr>
              <w:pStyle w:val="Compact"/>
              <w:jc w:val="left"/>
            </w:pPr>
            <w:r>
              <w:t xml:space="preserve">25.14</w:t>
            </w:r>
          </w:p>
        </w:tc>
        <w:tc>
          <w:tcPr/>
          <w:p>
            <w:pPr>
              <w:pStyle w:val="Compact"/>
              <w:jc w:val="left"/>
            </w:pPr>
            <w:r>
              <w:t xml:space="preserve">5.68</w:t>
            </w:r>
          </w:p>
        </w:tc>
        <w:tc>
          <w:tcPr/>
          <w:p>
            <w:pPr>
              <w:pStyle w:val="Compact"/>
              <w:jc w:val="left"/>
            </w:pPr>
            <w:r>
              <w:t xml:space="preserve">4.74</w:t>
            </w:r>
          </w:p>
        </w:tc>
      </w:tr>
      <w:tr>
        <w:tc>
          <w:tcPr/>
          <w:p>
            <w:pPr>
              <w:pStyle w:val="Compact"/>
              <w:jc w:val="left"/>
            </w:pPr>
            <w:r>
              <w:t xml:space="preserve">Fourth</w:t>
            </w:r>
          </w:p>
        </w:tc>
        <w:tc>
          <w:tcPr/>
          <w:p>
            <w:pPr>
              <w:pStyle w:val="Compact"/>
              <w:jc w:val="left"/>
            </w:pPr>
            <w:r>
              <w:t xml:space="preserve">0.66</w:t>
            </w:r>
          </w:p>
        </w:tc>
        <w:tc>
          <w:tcPr/>
          <w:p>
            <w:pPr>
              <w:pStyle w:val="Compact"/>
              <w:jc w:val="left"/>
            </w:pPr>
            <w:r>
              <w:t xml:space="preserve">0.70</w:t>
            </w:r>
          </w:p>
        </w:tc>
        <w:tc>
          <w:tcPr/>
          <w:p>
            <w:pPr>
              <w:pStyle w:val="Compact"/>
              <w:jc w:val="left"/>
            </w:pPr>
            <w:r>
              <w:t xml:space="preserve">0.93</w:t>
            </w:r>
          </w:p>
        </w:tc>
        <w:tc>
          <w:tcPr/>
          <w:p>
            <w:pPr>
              <w:pStyle w:val="Compact"/>
              <w:jc w:val="left"/>
            </w:pPr>
            <w:r>
              <w:t xml:space="preserve">0.81</w:t>
            </w:r>
          </w:p>
        </w:tc>
        <w:tc>
          <w:tcPr/>
          <w:p>
            <w:pPr>
              <w:pStyle w:val="Compact"/>
              <w:jc w:val="left"/>
            </w:pPr>
            <w:r>
              <w:t xml:space="preserve">0.56</w:t>
            </w:r>
          </w:p>
        </w:tc>
        <w:tc>
          <w:tcPr/>
          <w:p>
            <w:pPr>
              <w:pStyle w:val="Compact"/>
              <w:jc w:val="left"/>
            </w:pPr>
            <w:r>
              <w:t xml:space="preserve">25.52</w:t>
            </w:r>
          </w:p>
        </w:tc>
        <w:tc>
          <w:tcPr/>
          <w:p>
            <w:pPr>
              <w:pStyle w:val="Compact"/>
              <w:jc w:val="left"/>
            </w:pPr>
            <w:r>
              <w:t xml:space="preserve">4.89</w:t>
            </w:r>
          </w:p>
        </w:tc>
        <w:tc>
          <w:tcPr/>
          <w:p>
            <w:pPr>
              <w:pStyle w:val="Compact"/>
              <w:jc w:val="left"/>
            </w:pPr>
            <w:r>
              <w:t xml:space="preserve">4.02</w:t>
            </w:r>
          </w:p>
        </w:tc>
      </w:tr>
      <w:tr>
        <w:tc>
          <w:tcPr/>
          <w:p>
            <w:pPr>
              <w:pStyle w:val="Compact"/>
              <w:jc w:val="left"/>
            </w:pPr>
            <w:r>
              <w:t xml:space="preserve">Highest</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0.90</w:t>
            </w:r>
          </w:p>
        </w:tc>
        <w:tc>
          <w:tcPr/>
          <w:p>
            <w:pPr>
              <w:pStyle w:val="Compact"/>
              <w:jc w:val="left"/>
            </w:pPr>
            <w:r>
              <w:t xml:space="preserve">0.83</w:t>
            </w:r>
          </w:p>
        </w:tc>
        <w:tc>
          <w:tcPr/>
          <w:p>
            <w:pPr>
              <w:pStyle w:val="Compact"/>
              <w:jc w:val="left"/>
            </w:pPr>
            <w:r>
              <w:t xml:space="preserve">0.42</w:t>
            </w:r>
          </w:p>
        </w:tc>
        <w:tc>
          <w:tcPr/>
          <w:p>
            <w:pPr>
              <w:pStyle w:val="Compact"/>
              <w:jc w:val="left"/>
            </w:pPr>
            <w:r>
              <w:t xml:space="preserve">24.46</w:t>
            </w:r>
          </w:p>
        </w:tc>
        <w:tc>
          <w:tcPr/>
          <w:p>
            <w:pPr>
              <w:pStyle w:val="Compact"/>
              <w:jc w:val="left"/>
            </w:pPr>
            <w:r>
              <w:t xml:space="preserve">3.90</w:t>
            </w:r>
          </w:p>
        </w:tc>
        <w:tc>
          <w:tcPr/>
          <w:p>
            <w:pPr>
              <w:pStyle w:val="Compact"/>
              <w:jc w:val="left"/>
            </w:pPr>
            <w:r>
              <w:t xml:space="preserve">3.35</w:t>
            </w:r>
          </w:p>
        </w:tc>
      </w:tr>
      <w:tr>
        <w:tc>
          <w:tcPr/>
          <w:p>
            <w:pPr>
              <w:pStyle w:val="Compact"/>
              <w:jc w:val="left"/>
            </w:pPr>
            <w:r>
              <w:rPr>
                <w:iCs/>
                <w:i/>
              </w:rPr>
              <w:t xml:space="preserve">Workforce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 workforce</w:t>
            </w:r>
          </w:p>
        </w:tc>
        <w:tc>
          <w:tcPr/>
          <w:p>
            <w:pPr>
              <w:pStyle w:val="Compact"/>
              <w:jc w:val="left"/>
            </w:pPr>
            <w:r>
              <w:t xml:space="preserve">0.79</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0.78</w:t>
            </w:r>
          </w:p>
        </w:tc>
        <w:tc>
          <w:tcPr/>
          <w:p>
            <w:pPr>
              <w:pStyle w:val="Compact"/>
              <w:jc w:val="left"/>
            </w:pPr>
            <w:r>
              <w:t xml:space="preserve">0.63</w:t>
            </w:r>
          </w:p>
        </w:tc>
        <w:tc>
          <w:tcPr/>
          <w:p>
            <w:pPr>
              <w:pStyle w:val="Compact"/>
              <w:jc w:val="left"/>
            </w:pPr>
            <w:r>
              <w:t xml:space="preserve">24.55</w:t>
            </w:r>
          </w:p>
        </w:tc>
        <w:tc>
          <w:tcPr/>
          <w:p>
            <w:pPr>
              <w:pStyle w:val="Compact"/>
              <w:jc w:val="left"/>
            </w:pPr>
            <w:r>
              <w:t xml:space="preserve">5.76</w:t>
            </w:r>
          </w:p>
        </w:tc>
        <w:tc>
          <w:tcPr/>
          <w:p>
            <w:pPr>
              <w:pStyle w:val="Compact"/>
              <w:jc w:val="left"/>
            </w:pPr>
            <w:r>
              <w:t xml:space="preserve">4.93</w:t>
            </w:r>
          </w:p>
        </w:tc>
      </w:tr>
      <w:tr>
        <w:tc>
          <w:tcPr/>
          <w:p>
            <w:pPr>
              <w:pStyle w:val="Compact"/>
              <w:jc w:val="left"/>
            </w:pPr>
            <w:r>
              <w:t xml:space="preserve">Not in workforce</w:t>
            </w:r>
          </w:p>
        </w:tc>
        <w:tc>
          <w:tcPr/>
          <w:p>
            <w:pPr>
              <w:pStyle w:val="Compact"/>
              <w:jc w:val="left"/>
            </w:pPr>
            <w:r>
              <w:t xml:space="preserve">0.61</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0.86</w:t>
            </w:r>
          </w:p>
        </w:tc>
        <w:tc>
          <w:tcPr/>
          <w:p>
            <w:pPr>
              <w:pStyle w:val="Compact"/>
              <w:jc w:val="left"/>
            </w:pPr>
            <w:r>
              <w:t xml:space="preserve">0.77</w:t>
            </w:r>
          </w:p>
        </w:tc>
        <w:tc>
          <w:tcPr/>
          <w:p>
            <w:pPr>
              <w:pStyle w:val="Compact"/>
              <w:jc w:val="left"/>
            </w:pPr>
            <w:r>
              <w:t xml:space="preserve">23.43</w:t>
            </w:r>
          </w:p>
        </w:tc>
        <w:tc>
          <w:tcPr/>
          <w:p>
            <w:pPr>
              <w:pStyle w:val="Compact"/>
              <w:jc w:val="left"/>
            </w:pPr>
            <w:r>
              <w:t xml:space="preserve">5.62</w:t>
            </w:r>
          </w:p>
        </w:tc>
        <w:tc>
          <w:tcPr/>
          <w:p>
            <w:pPr>
              <w:pStyle w:val="Compact"/>
              <w:jc w:val="left"/>
            </w:pPr>
            <w:r>
              <w:t xml:space="preserve">5.04</w:t>
            </w:r>
          </w:p>
        </w:tc>
      </w:tr>
      <w:tr>
        <w:tc>
          <w:tcPr/>
          <w:p>
            <w:pPr>
              <w:pStyle w:val="Compact"/>
              <w:jc w:val="left"/>
            </w:pPr>
            <w:r>
              <w:rPr>
                <w:iCs/>
                <w:i/>
              </w:rPr>
              <w:t xml:space="preserve">Regions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North Central</w:t>
            </w:r>
          </w:p>
        </w:tc>
        <w:tc>
          <w:tcPr/>
          <w:p>
            <w:pPr>
              <w:pStyle w:val="Compact"/>
              <w:jc w:val="left"/>
            </w:pPr>
            <w:r>
              <w:t xml:space="preserve">0.65</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0.82</w:t>
            </w:r>
          </w:p>
        </w:tc>
        <w:tc>
          <w:tcPr/>
          <w:p>
            <w:pPr>
              <w:pStyle w:val="Compact"/>
              <w:jc w:val="left"/>
            </w:pPr>
            <w:r>
              <w:t xml:space="preserve">0.68</w:t>
            </w:r>
          </w:p>
        </w:tc>
        <w:tc>
          <w:tcPr/>
          <w:p>
            <w:pPr>
              <w:pStyle w:val="Compact"/>
              <w:jc w:val="left"/>
            </w:pPr>
            <w:r>
              <w:t xml:space="preserve">24.63</w:t>
            </w:r>
          </w:p>
        </w:tc>
        <w:tc>
          <w:tcPr/>
          <w:p>
            <w:pPr>
              <w:pStyle w:val="Compact"/>
              <w:jc w:val="left"/>
            </w:pPr>
            <w:r>
              <w:t xml:space="preserve">5.28</w:t>
            </w:r>
          </w:p>
        </w:tc>
        <w:tc>
          <w:tcPr/>
          <w:p>
            <w:pPr>
              <w:pStyle w:val="Compact"/>
              <w:jc w:val="left"/>
            </w:pPr>
            <w:r>
              <w:t xml:space="preserve">4.50</w:t>
            </w:r>
          </w:p>
        </w:tc>
      </w:tr>
      <w:tr>
        <w:tc>
          <w:tcPr/>
          <w:p>
            <w:pPr>
              <w:pStyle w:val="Compact"/>
              <w:jc w:val="left"/>
            </w:pPr>
            <w:r>
              <w:t xml:space="preserve">North East</w:t>
            </w:r>
          </w:p>
        </w:tc>
        <w:tc>
          <w:tcPr/>
          <w:p>
            <w:pPr>
              <w:pStyle w:val="Compact"/>
              <w:jc w:val="left"/>
            </w:pPr>
            <w:r>
              <w:t xml:space="preserve">0.79</w:t>
            </w:r>
          </w:p>
        </w:tc>
        <w:tc>
          <w:tcPr/>
          <w:p>
            <w:pPr>
              <w:pStyle w:val="Compact"/>
              <w:jc w:val="left"/>
            </w:pPr>
            <w:r>
              <w:t xml:space="preserve">0.62</w:t>
            </w:r>
          </w:p>
        </w:tc>
        <w:tc>
          <w:tcPr/>
          <w:p>
            <w:pPr>
              <w:pStyle w:val="Compact"/>
              <w:jc w:val="left"/>
            </w:pPr>
            <w:r>
              <w:t xml:space="preserve">0.95</w:t>
            </w:r>
          </w:p>
        </w:tc>
        <w:tc>
          <w:tcPr/>
          <w:p>
            <w:pPr>
              <w:pStyle w:val="Compact"/>
              <w:jc w:val="left"/>
            </w:pPr>
            <w:r>
              <w:t xml:space="preserve">0.79</w:t>
            </w:r>
          </w:p>
        </w:tc>
        <w:tc>
          <w:tcPr/>
          <w:p>
            <w:pPr>
              <w:pStyle w:val="Compact"/>
              <w:jc w:val="left"/>
            </w:pPr>
            <w:r>
              <w:t xml:space="preserve">0.93</w:t>
            </w:r>
          </w:p>
        </w:tc>
        <w:tc>
          <w:tcPr/>
          <w:p>
            <w:pPr>
              <w:pStyle w:val="Compact"/>
              <w:jc w:val="left"/>
            </w:pPr>
            <w:r>
              <w:t xml:space="preserve">18.47</w:t>
            </w:r>
          </w:p>
        </w:tc>
        <w:tc>
          <w:tcPr/>
          <w:p>
            <w:pPr>
              <w:pStyle w:val="Compact"/>
              <w:jc w:val="left"/>
            </w:pPr>
            <w:r>
              <w:t xml:space="preserve">6.30</w:t>
            </w:r>
          </w:p>
        </w:tc>
        <w:tc>
          <w:tcPr/>
          <w:p>
            <w:pPr>
              <w:pStyle w:val="Compact"/>
              <w:jc w:val="left"/>
            </w:pPr>
            <w:r>
              <w:t xml:space="preserve">7.16</w:t>
            </w:r>
          </w:p>
        </w:tc>
      </w:tr>
      <w:tr>
        <w:tc>
          <w:tcPr/>
          <w:p>
            <w:pPr>
              <w:pStyle w:val="Compact"/>
              <w:jc w:val="left"/>
            </w:pPr>
            <w:r>
              <w:t xml:space="preserve">North West</w:t>
            </w:r>
          </w:p>
        </w:tc>
        <w:tc>
          <w:tcPr/>
          <w:p>
            <w:pPr>
              <w:pStyle w:val="Compact"/>
              <w:jc w:val="left"/>
            </w:pPr>
            <w:r>
              <w:t xml:space="preserve">0.83</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0.79</w:t>
            </w:r>
          </w:p>
        </w:tc>
        <w:tc>
          <w:tcPr/>
          <w:p>
            <w:pPr>
              <w:pStyle w:val="Compact"/>
              <w:jc w:val="left"/>
            </w:pPr>
            <w:r>
              <w:t xml:space="preserve">0.87</w:t>
            </w:r>
          </w:p>
        </w:tc>
        <w:tc>
          <w:tcPr/>
          <w:p>
            <w:pPr>
              <w:pStyle w:val="Compact"/>
              <w:jc w:val="left"/>
            </w:pPr>
            <w:r>
              <w:t xml:space="preserve">20.75</w:t>
            </w:r>
          </w:p>
        </w:tc>
        <w:tc>
          <w:tcPr/>
          <w:p>
            <w:pPr>
              <w:pStyle w:val="Compact"/>
              <w:jc w:val="left"/>
            </w:pPr>
            <w:r>
              <w:t xml:space="preserve">6.68</w:t>
            </w:r>
          </w:p>
        </w:tc>
        <w:tc>
          <w:tcPr/>
          <w:p>
            <w:pPr>
              <w:pStyle w:val="Compact"/>
              <w:jc w:val="left"/>
            </w:pPr>
            <w:r>
              <w:t xml:space="preserve">6.76</w:t>
            </w:r>
          </w:p>
        </w:tc>
      </w:tr>
      <w:tr>
        <w:tc>
          <w:tcPr/>
          <w:p>
            <w:pPr>
              <w:pStyle w:val="Compact"/>
              <w:jc w:val="left"/>
            </w:pPr>
            <w:r>
              <w:t xml:space="preserve">South East</w:t>
            </w:r>
          </w:p>
        </w:tc>
        <w:tc>
          <w:tcPr/>
          <w:p>
            <w:pPr>
              <w:pStyle w:val="Compact"/>
              <w:jc w:val="left"/>
            </w:pPr>
            <w:r>
              <w:t xml:space="preserve">0.57</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0.77</w:t>
            </w:r>
          </w:p>
        </w:tc>
        <w:tc>
          <w:tcPr/>
          <w:p>
            <w:pPr>
              <w:pStyle w:val="Compact"/>
              <w:jc w:val="left"/>
            </w:pPr>
            <w:r>
              <w:t xml:space="preserve">0.45</w:t>
            </w:r>
          </w:p>
        </w:tc>
        <w:tc>
          <w:tcPr/>
          <w:p>
            <w:pPr>
              <w:pStyle w:val="Compact"/>
              <w:jc w:val="left"/>
            </w:pPr>
            <w:r>
              <w:t xml:space="preserve">37.89</w:t>
            </w:r>
          </w:p>
        </w:tc>
        <w:tc>
          <w:tcPr/>
          <w:p>
            <w:pPr>
              <w:pStyle w:val="Compact"/>
              <w:jc w:val="left"/>
            </w:pPr>
            <w:r>
              <w:t xml:space="preserve">4.71</w:t>
            </w:r>
          </w:p>
        </w:tc>
        <w:tc>
          <w:tcPr/>
          <w:p>
            <w:pPr>
              <w:pStyle w:val="Compact"/>
              <w:jc w:val="left"/>
            </w:pPr>
            <w:r>
              <w:t xml:space="preserve">2.61</w:t>
            </w:r>
          </w:p>
        </w:tc>
      </w:tr>
      <w:tr>
        <w:tc>
          <w:tcPr/>
          <w:p>
            <w:pPr>
              <w:pStyle w:val="Compact"/>
              <w:jc w:val="left"/>
            </w:pPr>
            <w:r>
              <w:t xml:space="preserve">South South</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0.91</w:t>
            </w:r>
          </w:p>
        </w:tc>
        <w:tc>
          <w:tcPr/>
          <w:p>
            <w:pPr>
              <w:pStyle w:val="Compact"/>
              <w:jc w:val="left"/>
            </w:pPr>
            <w:r>
              <w:t xml:space="preserve">0.81</w:t>
            </w:r>
          </w:p>
        </w:tc>
        <w:tc>
          <w:tcPr/>
          <w:p>
            <w:pPr>
              <w:pStyle w:val="Compact"/>
              <w:jc w:val="left"/>
            </w:pPr>
            <w:r>
              <w:t xml:space="preserve">0.49</w:t>
            </w:r>
          </w:p>
        </w:tc>
        <w:tc>
          <w:tcPr/>
          <w:p>
            <w:pPr>
              <w:pStyle w:val="Compact"/>
              <w:jc w:val="left"/>
            </w:pPr>
            <w:r>
              <w:t xml:space="preserve">23.60</w:t>
            </w:r>
          </w:p>
        </w:tc>
        <w:tc>
          <w:tcPr/>
          <w:p>
            <w:pPr>
              <w:pStyle w:val="Compact"/>
              <w:jc w:val="left"/>
            </w:pPr>
            <w:r>
              <w:t xml:space="preserve">4.27</w:t>
            </w:r>
          </w:p>
        </w:tc>
        <w:tc>
          <w:tcPr/>
          <w:p>
            <w:pPr>
              <w:pStyle w:val="Compact"/>
              <w:jc w:val="left"/>
            </w:pPr>
            <w:r>
              <w:t xml:space="preserve">3.80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South West</w:t>
            </w:r>
          </w:p>
        </w:tc>
        <w:tc>
          <w:tcPr/>
          <w:p>
            <w:pPr>
              <w:pStyle w:val="Compact"/>
              <w:jc w:val="left"/>
            </w:pPr>
            <w:r>
              <w:t xml:space="preserve">0.67</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0.84</w:t>
            </w:r>
          </w:p>
        </w:tc>
        <w:tc>
          <w:tcPr/>
          <w:p>
            <w:pPr>
              <w:pStyle w:val="Compact"/>
              <w:jc w:val="left"/>
            </w:pPr>
            <w:r>
              <w:t xml:space="preserve">0.37</w:t>
            </w:r>
          </w:p>
        </w:tc>
        <w:tc>
          <w:tcPr/>
          <w:p>
            <w:pPr>
              <w:pStyle w:val="Compact"/>
              <w:jc w:val="left"/>
            </w:pPr>
            <w:r>
              <w:t xml:space="preserve">34.19</w:t>
            </w:r>
          </w:p>
        </w:tc>
        <w:tc>
          <w:tcPr/>
          <w:p>
            <w:pPr>
              <w:pStyle w:val="Compact"/>
              <w:jc w:val="left"/>
            </w:pPr>
            <w:r>
              <w:t xml:space="preserve">4.55</w:t>
            </w:r>
          </w:p>
        </w:tc>
        <w:tc>
          <w:tcPr/>
          <w:p>
            <w:pPr>
              <w:pStyle w:val="Compact"/>
              <w:jc w:val="left"/>
            </w:pPr>
            <w:r>
              <w:t xml:space="preserve">2.79</w:t>
            </w:r>
          </w:p>
        </w:tc>
      </w:tr>
    </w:tbl>
    <w:p>
      <w:pPr>
        <w:pStyle w:val="BodyText"/>
      </w:pPr>
      <w:r>
        <w:t xml:space="preserve">Table 4: Estimated indices of proximate determinants of fertility (2008)</w:t>
      </w:r>
    </w:p>
    <w:tbl>
      <w:tblPr>
        <w:tblStyle w:val="Table"/>
        <w:tblW w:type="pct" w:w="5000"/>
        <w:tblLook w:firstRow="0" w:lastRow="0" w:firstColumn="0" w:lastColumn="0" w:noHBand="0" w:noVBand="0" w:val="0000"/>
        <w:jc w:val="start"/>
      </w:tblPr>
      <w:tblGrid>
        <w:gridCol w:w="879"/>
        <w:gridCol w:w="879"/>
        <w:gridCol w:w="879"/>
        <w:gridCol w:w="879"/>
        <w:gridCol w:w="879"/>
        <w:gridCol w:w="879"/>
        <w:gridCol w:w="879"/>
        <w:gridCol w:w="879"/>
        <w:gridCol w:w="879"/>
      </w:tblGrid>
      <w:tr>
        <w:tc>
          <w:tcPr/>
          <w:p>
            <w:pPr>
              <w:pStyle w:val="Compact"/>
              <w:jc w:val="left"/>
            </w:pPr>
            <w:r>
              <w:rPr>
                <w:bCs/>
                <w:b/>
              </w:rPr>
              <w:t xml:space="preserve">Variables</w:t>
            </w:r>
          </w:p>
        </w:tc>
        <w:tc>
          <w:tcPr/>
          <w:p>
            <w:pPr>
              <w:pStyle w:val="Compact"/>
              <w:jc w:val="left"/>
            </w:pPr>
            <w:r>
              <w:rPr>
                <w:bCs/>
                <w:b/>
              </w:rPr>
              <w:t xml:space="preserve">C</w:t>
            </w:r>
            <w:r>
              <w:rPr>
                <w:vertAlign w:val="subscript"/>
                <w:bCs/>
                <w:b/>
              </w:rPr>
              <w:t xml:space="preserve">x</w:t>
            </w:r>
          </w:p>
        </w:tc>
        <w:tc>
          <w:tcPr/>
          <w:p>
            <w:pPr>
              <w:pStyle w:val="Compact"/>
              <w:jc w:val="left"/>
            </w:pPr>
            <w:r>
              <w:rPr>
                <w:bCs/>
                <w:b/>
              </w:rPr>
              <w:t xml:space="preserve">C</w:t>
            </w:r>
            <w:r>
              <w:rPr>
                <w:vertAlign w:val="subscript"/>
                <w:bCs/>
                <w:b/>
              </w:rPr>
              <w:t xml:space="preserve">i</w:t>
            </w:r>
          </w:p>
        </w:tc>
        <w:tc>
          <w:tcPr/>
          <w:p>
            <w:pPr>
              <w:pStyle w:val="Compact"/>
              <w:jc w:val="left"/>
            </w:pPr>
            <w:r>
              <w:rPr>
                <w:bCs/>
                <w:b/>
              </w:rPr>
              <w:t xml:space="preserve">C</w:t>
            </w:r>
            <w:r>
              <w:rPr>
                <w:vertAlign w:val="subscript"/>
                <w:bCs/>
                <w:b/>
              </w:rPr>
              <w:t xml:space="preserve">a</w:t>
            </w:r>
          </w:p>
        </w:tc>
        <w:tc>
          <w:tcPr/>
          <w:p>
            <w:pPr>
              <w:pStyle w:val="Compact"/>
              <w:jc w:val="left"/>
            </w:pPr>
            <w:r>
              <w:rPr>
                <w:bCs/>
                <w:b/>
              </w:rPr>
              <w:t xml:space="preserve">C</w:t>
            </w:r>
            <w:r>
              <w:rPr>
                <w:vertAlign w:val="subscript"/>
                <w:bCs/>
                <w:b/>
              </w:rPr>
              <w:t xml:space="preserve">f</w:t>
            </w:r>
          </w:p>
        </w:tc>
        <w:tc>
          <w:tcPr/>
          <w:p>
            <w:pPr>
              <w:pStyle w:val="Compact"/>
              <w:jc w:val="left"/>
            </w:pPr>
            <w:r>
              <w:rPr>
                <w:bCs/>
                <w:b/>
              </w:rPr>
              <w:t xml:space="preserve">C</w:t>
            </w:r>
            <w:r>
              <w:rPr>
                <w:vertAlign w:val="subscript"/>
                <w:bCs/>
                <w:b/>
              </w:rPr>
              <w:t xml:space="preserve">u</w:t>
            </w:r>
          </w:p>
        </w:tc>
        <w:tc>
          <w:tcPr/>
          <w:p>
            <w:pPr>
              <w:pStyle w:val="Compact"/>
              <w:jc w:val="left"/>
            </w:pPr>
            <w:r>
              <w:rPr>
                <w:bCs/>
                <w:b/>
              </w:rPr>
              <w:t xml:space="preserve">PF</w:t>
            </w:r>
          </w:p>
        </w:tc>
        <w:tc>
          <w:tcPr/>
          <w:p>
            <w:pPr>
              <w:pStyle w:val="Compact"/>
              <w:jc w:val="left"/>
            </w:pPr>
            <w:r>
              <w:rPr>
                <w:bCs/>
                <w:b/>
              </w:rPr>
              <w:t xml:space="preserve">TFR (Survey)</w:t>
            </w:r>
          </w:p>
        </w:tc>
        <w:tc>
          <w:tcPr/>
          <w:p>
            <w:pPr>
              <w:pStyle w:val="Compact"/>
              <w:jc w:val="left"/>
            </w:pPr>
            <w:r>
              <w:rPr>
                <w:bCs/>
                <w:b/>
              </w:rPr>
              <w:t xml:space="preserve">TFR (Bongaarts)</w:t>
            </w:r>
          </w:p>
        </w:tc>
      </w:tr>
      <w:tr>
        <w:tc>
          <w:tcPr/>
          <w:p>
            <w:pPr>
              <w:pStyle w:val="Compact"/>
              <w:jc w:val="left"/>
            </w:pPr>
            <w:r>
              <w:rPr>
                <w:iCs/>
                <w:i/>
              </w:rPr>
              <w:t xml:space="preserve">Aggregate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National</w:t>
            </w:r>
          </w:p>
        </w:tc>
        <w:tc>
          <w:tcPr/>
          <w:p>
            <w:pPr>
              <w:pStyle w:val="Compact"/>
              <w:jc w:val="left"/>
            </w:pPr>
            <w:r>
              <w:t xml:space="preserve">0.70</w:t>
            </w:r>
          </w:p>
        </w:tc>
        <w:tc>
          <w:tcPr/>
          <w:p>
            <w:pPr>
              <w:pStyle w:val="Compact"/>
              <w:jc w:val="left"/>
            </w:pPr>
            <w:r>
              <w:t xml:space="preserve">0.62</w:t>
            </w:r>
          </w:p>
        </w:tc>
        <w:tc>
          <w:tcPr/>
          <w:p>
            <w:pPr>
              <w:pStyle w:val="Compact"/>
              <w:jc w:val="left"/>
            </w:pPr>
            <w:r>
              <w:t xml:space="preserve">0.94</w:t>
            </w:r>
          </w:p>
        </w:tc>
        <w:tc>
          <w:tcPr/>
          <w:p>
            <w:pPr>
              <w:pStyle w:val="Compact"/>
              <w:jc w:val="left"/>
            </w:pPr>
            <w:r>
              <w:t xml:space="preserve">0.82</w:t>
            </w:r>
          </w:p>
        </w:tc>
        <w:tc>
          <w:tcPr/>
          <w:p>
            <w:pPr>
              <w:pStyle w:val="Compact"/>
              <w:jc w:val="left"/>
            </w:pPr>
            <w:r>
              <w:t xml:space="preserve">0.82</w:t>
            </w:r>
          </w:p>
        </w:tc>
        <w:tc>
          <w:tcPr/>
          <w:p>
            <w:pPr>
              <w:pStyle w:val="Compact"/>
              <w:jc w:val="left"/>
            </w:pPr>
            <w:r>
              <w:t xml:space="preserve">20.72</w:t>
            </w:r>
          </w:p>
        </w:tc>
        <w:tc>
          <w:tcPr/>
          <w:p>
            <w:pPr>
              <w:pStyle w:val="Compact"/>
              <w:jc w:val="left"/>
            </w:pPr>
            <w:r>
              <w:t xml:space="preserve">5.72</w:t>
            </w:r>
          </w:p>
        </w:tc>
        <w:tc>
          <w:tcPr/>
          <w:p>
            <w:pPr>
              <w:pStyle w:val="Compact"/>
              <w:jc w:val="left"/>
            </w:pPr>
            <w:r>
              <w:t xml:space="preserve">5.80</w:t>
            </w:r>
          </w:p>
        </w:tc>
      </w:tr>
      <w:tr>
        <w:tc>
          <w:tcPr/>
          <w:p>
            <w:pPr>
              <w:pStyle w:val="Compact"/>
              <w:jc w:val="left"/>
            </w:pPr>
            <w:r>
              <w:rPr>
                <w:iCs/>
                <w:i/>
              </w:rP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 education</w:t>
            </w:r>
          </w:p>
        </w:tc>
        <w:tc>
          <w:tcPr/>
          <w:p>
            <w:pPr>
              <w:pStyle w:val="Compact"/>
              <w:jc w:val="left"/>
            </w:pPr>
            <w:r>
              <w:t xml:space="preserve">0.85</w:t>
            </w:r>
          </w:p>
        </w:tc>
        <w:tc>
          <w:tcPr/>
          <w:p>
            <w:pPr>
              <w:pStyle w:val="Compact"/>
              <w:jc w:val="left"/>
            </w:pPr>
            <w:r>
              <w:t xml:space="preserve">0.57</w:t>
            </w:r>
          </w:p>
        </w:tc>
        <w:tc>
          <w:tcPr/>
          <w:p>
            <w:pPr>
              <w:pStyle w:val="Compact"/>
              <w:jc w:val="left"/>
            </w:pPr>
            <w:r>
              <w:t xml:space="preserve">0.96</w:t>
            </w:r>
          </w:p>
        </w:tc>
        <w:tc>
          <w:tcPr/>
          <w:p>
            <w:pPr>
              <w:pStyle w:val="Compact"/>
              <w:jc w:val="left"/>
            </w:pPr>
            <w:r>
              <w:t xml:space="preserve">0.77</w:t>
            </w:r>
          </w:p>
        </w:tc>
        <w:tc>
          <w:tcPr/>
          <w:p>
            <w:pPr>
              <w:pStyle w:val="Compact"/>
              <w:jc w:val="left"/>
            </w:pPr>
            <w:r>
              <w:t xml:space="preserve">0.94</w:t>
            </w:r>
          </w:p>
        </w:tc>
        <w:tc>
          <w:tcPr/>
          <w:p>
            <w:pPr>
              <w:pStyle w:val="Compact"/>
              <w:jc w:val="left"/>
            </w:pPr>
            <w:r>
              <w:t xml:space="preserve">21.80</w:t>
            </w:r>
          </w:p>
        </w:tc>
        <w:tc>
          <w:tcPr/>
          <w:p>
            <w:pPr>
              <w:pStyle w:val="Compact"/>
              <w:jc w:val="left"/>
            </w:pPr>
            <w:r>
              <w:t xml:space="preserve">7.29</w:t>
            </w:r>
          </w:p>
        </w:tc>
        <w:tc>
          <w:tcPr/>
          <w:p>
            <w:pPr>
              <w:pStyle w:val="Compact"/>
              <w:jc w:val="left"/>
            </w:pPr>
            <w:r>
              <w:t xml:space="preserve">7.02</w:t>
            </w:r>
          </w:p>
        </w:tc>
      </w:tr>
      <w:tr>
        <w:tc>
          <w:tcPr/>
          <w:p>
            <w:pPr>
              <w:pStyle w:val="Compact"/>
              <w:jc w:val="left"/>
            </w:pPr>
            <w:r>
              <w:t xml:space="preserve">Primary</w:t>
            </w:r>
          </w:p>
        </w:tc>
        <w:tc>
          <w:tcPr/>
          <w:p>
            <w:pPr>
              <w:pStyle w:val="Compact"/>
              <w:jc w:val="left"/>
            </w:pPr>
            <w:r>
              <w:t xml:space="preserve">0.71</w:t>
            </w:r>
          </w:p>
        </w:tc>
        <w:tc>
          <w:tcPr/>
          <w:p>
            <w:pPr>
              <w:pStyle w:val="Compact"/>
              <w:jc w:val="left"/>
            </w:pPr>
            <w:r>
              <w:t xml:space="preserve">0.63</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25.95</w:t>
            </w:r>
          </w:p>
        </w:tc>
        <w:tc>
          <w:tcPr/>
          <w:p>
            <w:pPr>
              <w:pStyle w:val="Compact"/>
              <w:jc w:val="left"/>
            </w:pPr>
            <w:r>
              <w:t xml:space="preserve">6.49</w:t>
            </w:r>
          </w:p>
        </w:tc>
        <w:tc>
          <w:tcPr/>
          <w:p>
            <w:pPr>
              <w:pStyle w:val="Compact"/>
              <w:jc w:val="left"/>
            </w:pPr>
            <w:r>
              <w:t xml:space="preserve">5.25</w:t>
            </w:r>
          </w:p>
        </w:tc>
      </w:tr>
      <w:tr>
        <w:tc>
          <w:tcPr/>
          <w:p>
            <w:pPr>
              <w:pStyle w:val="Compact"/>
              <w:jc w:val="left"/>
            </w:pPr>
            <w:r>
              <w:t xml:space="preserve">Secondary/Higher</w:t>
            </w:r>
          </w:p>
        </w:tc>
        <w:tc>
          <w:tcPr/>
          <w:p>
            <w:pPr>
              <w:pStyle w:val="Compact"/>
              <w:jc w:val="left"/>
            </w:pPr>
            <w:r>
              <w:t xml:space="preserve">0.55</w:t>
            </w:r>
          </w:p>
        </w:tc>
        <w:tc>
          <w:tcPr/>
          <w:p>
            <w:pPr>
              <w:pStyle w:val="Compact"/>
              <w:jc w:val="left"/>
            </w:pPr>
            <w:r>
              <w:t xml:space="preserve">0.69</w:t>
            </w:r>
          </w:p>
        </w:tc>
        <w:tc>
          <w:tcPr/>
          <w:p>
            <w:pPr>
              <w:pStyle w:val="Compact"/>
              <w:jc w:val="left"/>
            </w:pPr>
            <w:r>
              <w:t xml:space="preserve">0.91</w:t>
            </w:r>
          </w:p>
        </w:tc>
        <w:tc>
          <w:tcPr/>
          <w:p>
            <w:pPr>
              <w:pStyle w:val="Compact"/>
              <w:jc w:val="left"/>
            </w:pPr>
            <w:r>
              <w:t xml:space="preserve">0.89</w:t>
            </w:r>
          </w:p>
        </w:tc>
        <w:tc>
          <w:tcPr/>
          <w:p>
            <w:pPr>
              <w:pStyle w:val="Compact"/>
              <w:jc w:val="left"/>
            </w:pPr>
            <w:r>
              <w:t xml:space="preserve">0.54</w:t>
            </w:r>
          </w:p>
        </w:tc>
        <w:tc>
          <w:tcPr/>
          <w:p>
            <w:pPr>
              <w:pStyle w:val="Compact"/>
              <w:jc w:val="left"/>
            </w:pPr>
            <w:r>
              <w:t xml:space="preserve">24.85</w:t>
            </w:r>
          </w:p>
        </w:tc>
        <w:tc>
          <w:tcPr/>
          <w:p>
            <w:pPr>
              <w:pStyle w:val="Compact"/>
              <w:jc w:val="left"/>
            </w:pPr>
            <w:r>
              <w:t xml:space="preserve">4.23</w:t>
            </w:r>
          </w:p>
        </w:tc>
        <w:tc>
          <w:tcPr/>
          <w:p>
            <w:pPr>
              <w:pStyle w:val="Compact"/>
              <w:jc w:val="left"/>
            </w:pPr>
            <w:r>
              <w:t xml:space="preserve">3.57</w:t>
            </w:r>
          </w:p>
        </w:tc>
      </w:tr>
      <w:tr>
        <w:tc>
          <w:tcPr/>
          <w:p>
            <w:pPr>
              <w:pStyle w:val="Compact"/>
              <w:jc w:val="left"/>
            </w:pPr>
            <w:r>
              <w:rPr>
                <w:iCs/>
                <w:i/>
              </w:rPr>
              <w:t xml:space="preserve">Residence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Urban</w:t>
            </w:r>
          </w:p>
        </w:tc>
        <w:tc>
          <w:tcPr/>
          <w:p>
            <w:pPr>
              <w:pStyle w:val="Compact"/>
              <w:jc w:val="left"/>
            </w:pPr>
            <w:r>
              <w:t xml:space="preserve">0.65</w:t>
            </w:r>
          </w:p>
        </w:tc>
        <w:tc>
          <w:tcPr/>
          <w:p>
            <w:pPr>
              <w:pStyle w:val="Compact"/>
              <w:jc w:val="left"/>
            </w:pPr>
            <w:r>
              <w:t xml:space="preserve">0.70</w:t>
            </w:r>
          </w:p>
        </w:tc>
        <w:tc>
          <w:tcPr/>
          <w:p>
            <w:pPr>
              <w:pStyle w:val="Compact"/>
              <w:jc w:val="left"/>
            </w:pPr>
            <w:r>
              <w:t xml:space="preserve">0.92</w:t>
            </w:r>
          </w:p>
        </w:tc>
        <w:tc>
          <w:tcPr/>
          <w:p>
            <w:pPr>
              <w:pStyle w:val="Compact"/>
              <w:jc w:val="left"/>
            </w:pPr>
            <w:r>
              <w:t xml:space="preserve">0.84</w:t>
            </w:r>
          </w:p>
        </w:tc>
        <w:tc>
          <w:tcPr/>
          <w:p>
            <w:pPr>
              <w:pStyle w:val="Compact"/>
              <w:jc w:val="left"/>
            </w:pPr>
            <w:r>
              <w:t xml:space="preserve">0.56</w:t>
            </w:r>
          </w:p>
        </w:tc>
        <w:tc>
          <w:tcPr/>
          <w:p>
            <w:pPr>
              <w:pStyle w:val="Compact"/>
              <w:jc w:val="left"/>
            </w:pPr>
            <w:r>
              <w:t xml:space="preserve">23.71</w:t>
            </w:r>
          </w:p>
        </w:tc>
        <w:tc>
          <w:tcPr/>
          <w:p>
            <w:pPr>
              <w:pStyle w:val="Compact"/>
              <w:jc w:val="left"/>
            </w:pPr>
            <w:r>
              <w:t xml:space="preserve">4.71</w:t>
            </w:r>
          </w:p>
        </w:tc>
        <w:tc>
          <w:tcPr/>
          <w:p>
            <w:pPr>
              <w:pStyle w:val="Compact"/>
              <w:jc w:val="left"/>
            </w:pPr>
            <w:r>
              <w:t xml:space="preserve">4.17</w:t>
            </w:r>
          </w:p>
        </w:tc>
      </w:tr>
      <w:tr>
        <w:tc>
          <w:tcPr/>
          <w:p>
            <w:pPr>
              <w:pStyle w:val="Compact"/>
              <w:jc w:val="left"/>
            </w:pPr>
            <w:r>
              <w:t xml:space="preserve">Rural</w:t>
            </w:r>
          </w:p>
        </w:tc>
        <w:tc>
          <w:tcPr/>
          <w:p>
            <w:pPr>
              <w:pStyle w:val="Compact"/>
              <w:jc w:val="left"/>
            </w:pPr>
            <w:r>
              <w:t xml:space="preserve">0.73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0.81</w:t>
            </w:r>
          </w:p>
        </w:tc>
        <w:tc>
          <w:tcPr/>
          <w:p>
            <w:pPr>
              <w:pStyle w:val="Compact"/>
              <w:jc w:val="left"/>
            </w:pPr>
            <w:r>
              <w:t xml:space="preserve">0.79</w:t>
            </w:r>
          </w:p>
        </w:tc>
        <w:tc>
          <w:tcPr/>
          <w:p>
            <w:pPr>
              <w:pStyle w:val="Compact"/>
              <w:jc w:val="left"/>
            </w:pPr>
            <w:r>
              <w:t xml:space="preserve">23.83</w:t>
            </w:r>
          </w:p>
        </w:tc>
        <w:tc>
          <w:tcPr/>
          <w:p>
            <w:pPr>
              <w:pStyle w:val="Compact"/>
              <w:jc w:val="left"/>
            </w:pPr>
            <w:r>
              <w:t xml:space="preserve">6.28</w:t>
            </w:r>
          </w:p>
        </w:tc>
        <w:tc>
          <w:tcPr/>
          <w:p>
            <w:pPr>
              <w:pStyle w:val="Compact"/>
              <w:jc w:val="left"/>
            </w:pPr>
            <w:r>
              <w:t xml:space="preserve">5.53</w:t>
            </w:r>
          </w:p>
        </w:tc>
      </w:tr>
      <w:tr>
        <w:tc>
          <w:tcPr/>
          <w:p>
            <w:pPr>
              <w:pStyle w:val="Compact"/>
              <w:jc w:val="left"/>
            </w:pPr>
            <w:r>
              <w:rPr>
                <w:iCs/>
                <w:i/>
              </w:rPr>
              <w:t xml:space="preserve">Wealth quintile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Lowest</w:t>
            </w:r>
          </w:p>
        </w:tc>
        <w:tc>
          <w:tcPr/>
          <w:p>
            <w:pPr>
              <w:pStyle w:val="Compact"/>
              <w:jc w:val="left"/>
            </w:pPr>
            <w:r>
              <w:t xml:space="preserve">0.83</w:t>
            </w:r>
          </w:p>
        </w:tc>
        <w:tc>
          <w:tcPr/>
          <w:p>
            <w:pPr>
              <w:pStyle w:val="Compact"/>
              <w:jc w:val="left"/>
            </w:pPr>
            <w:r>
              <w:t xml:space="preserve">0.56</w:t>
            </w:r>
          </w:p>
        </w:tc>
        <w:tc>
          <w:tcPr/>
          <w:p>
            <w:pPr>
              <w:pStyle w:val="Compact"/>
              <w:jc w:val="left"/>
            </w:pPr>
            <w:r>
              <w:t xml:space="preserve">0.96</w:t>
            </w:r>
          </w:p>
        </w:tc>
        <w:tc>
          <w:tcPr/>
          <w:p>
            <w:pPr>
              <w:pStyle w:val="Compact"/>
              <w:jc w:val="left"/>
            </w:pPr>
            <w:r>
              <w:t xml:space="preserve">0.80</w:t>
            </w:r>
          </w:p>
        </w:tc>
        <w:tc>
          <w:tcPr/>
          <w:p>
            <w:pPr>
              <w:pStyle w:val="Compact"/>
              <w:jc w:val="left"/>
            </w:pPr>
            <w:r>
              <w:t xml:space="preserve">0.94</w:t>
            </w:r>
          </w:p>
        </w:tc>
        <w:tc>
          <w:tcPr/>
          <w:p>
            <w:pPr>
              <w:pStyle w:val="Compact"/>
              <w:jc w:val="left"/>
            </w:pPr>
            <w:r>
              <w:t xml:space="preserve">21.29</w:t>
            </w:r>
          </w:p>
        </w:tc>
        <w:tc>
          <w:tcPr/>
          <w:p>
            <w:pPr>
              <w:pStyle w:val="Compact"/>
              <w:jc w:val="left"/>
            </w:pPr>
            <w:r>
              <w:t xml:space="preserve">7.12</w:t>
            </w:r>
          </w:p>
        </w:tc>
        <w:tc>
          <w:tcPr/>
          <w:p>
            <w:pPr>
              <w:pStyle w:val="Compact"/>
              <w:jc w:val="left"/>
            </w:pPr>
            <w:r>
              <w:t xml:space="preserve">7.02</w:t>
            </w:r>
          </w:p>
        </w:tc>
      </w:tr>
      <w:tr>
        <w:tc>
          <w:tcPr/>
          <w:p>
            <w:pPr>
              <w:pStyle w:val="Compact"/>
              <w:jc w:val="left"/>
            </w:pPr>
            <w:r>
              <w:t xml:space="preserve">Second</w:t>
            </w:r>
          </w:p>
        </w:tc>
        <w:tc>
          <w:tcPr/>
          <w:p>
            <w:pPr>
              <w:pStyle w:val="Compact"/>
              <w:jc w:val="left"/>
            </w:pPr>
            <w:r>
              <w:t xml:space="preserve">0.76</w:t>
            </w:r>
          </w:p>
        </w:tc>
        <w:tc>
          <w:tcPr/>
          <w:p>
            <w:pPr>
              <w:pStyle w:val="Compact"/>
              <w:jc w:val="left"/>
            </w:pPr>
            <w:r>
              <w:t xml:space="preserve">0.57</w:t>
            </w:r>
          </w:p>
        </w:tc>
        <w:tc>
          <w:tcPr/>
          <w:p>
            <w:pPr>
              <w:pStyle w:val="Compact"/>
              <w:jc w:val="left"/>
            </w:pPr>
            <w:r>
              <w:t xml:space="preserve">0.96</w:t>
            </w:r>
          </w:p>
        </w:tc>
        <w:tc>
          <w:tcPr/>
          <w:p>
            <w:pPr>
              <w:pStyle w:val="Compact"/>
              <w:jc w:val="left"/>
            </w:pPr>
            <w:r>
              <w:t xml:space="preserve">0.81</w:t>
            </w:r>
          </w:p>
        </w:tc>
        <w:tc>
          <w:tcPr/>
          <w:p>
            <w:pPr>
              <w:pStyle w:val="Compact"/>
              <w:jc w:val="left"/>
            </w:pPr>
            <w:r>
              <w:t xml:space="preserve">0.87</w:t>
            </w:r>
          </w:p>
        </w:tc>
        <w:tc>
          <w:tcPr/>
          <w:p>
            <w:pPr>
              <w:pStyle w:val="Compact"/>
              <w:jc w:val="left"/>
            </w:pPr>
            <w:r>
              <w:t xml:space="preserve">24.17</w:t>
            </w:r>
          </w:p>
        </w:tc>
        <w:tc>
          <w:tcPr/>
          <w:p>
            <w:pPr>
              <w:pStyle w:val="Compact"/>
              <w:jc w:val="left"/>
            </w:pPr>
            <w:r>
              <w:t xml:space="preserve">7.02</w:t>
            </w:r>
          </w:p>
        </w:tc>
        <w:tc>
          <w:tcPr/>
          <w:p>
            <w:pPr>
              <w:pStyle w:val="Compact"/>
              <w:jc w:val="left"/>
            </w:pPr>
            <w:r>
              <w:t xml:space="preserve">6.10</w:t>
            </w:r>
          </w:p>
        </w:tc>
      </w:tr>
      <w:tr>
        <w:tc>
          <w:tcPr/>
          <w:p>
            <w:pPr>
              <w:pStyle w:val="Compact"/>
              <w:jc w:val="left"/>
            </w:pPr>
            <w:r>
              <w:t xml:space="preserve">Middle</w:t>
            </w:r>
          </w:p>
        </w:tc>
        <w:tc>
          <w:tcPr/>
          <w:p>
            <w:pPr>
              <w:pStyle w:val="Compact"/>
              <w:jc w:val="left"/>
            </w:pPr>
            <w:r>
              <w:t xml:space="preserve">0.66</w:t>
            </w:r>
          </w:p>
        </w:tc>
        <w:tc>
          <w:tcPr/>
          <w:p>
            <w:pPr>
              <w:pStyle w:val="Compact"/>
              <w:jc w:val="left"/>
            </w:pPr>
            <w:r>
              <w:t xml:space="preserve">0.60</w:t>
            </w:r>
          </w:p>
        </w:tc>
        <w:tc>
          <w:tcPr/>
          <w:p>
            <w:pPr>
              <w:pStyle w:val="Compact"/>
              <w:jc w:val="left"/>
            </w:pPr>
            <w:r>
              <w:t xml:space="preserve">0.95</w:t>
            </w:r>
          </w:p>
        </w:tc>
        <w:tc>
          <w:tcPr/>
          <w:p>
            <w:pPr>
              <w:pStyle w:val="Compact"/>
              <w:jc w:val="left"/>
            </w:pPr>
            <w:r>
              <w:t xml:space="preserve">0.81</w:t>
            </w:r>
          </w:p>
        </w:tc>
        <w:tc>
          <w:tcPr/>
          <w:p>
            <w:pPr>
              <w:pStyle w:val="Compact"/>
              <w:jc w:val="left"/>
            </w:pPr>
            <w:r>
              <w:t xml:space="preserve">0.77</w:t>
            </w:r>
          </w:p>
        </w:tc>
        <w:tc>
          <w:tcPr/>
          <w:p>
            <w:pPr>
              <w:pStyle w:val="Compact"/>
              <w:jc w:val="left"/>
            </w:pPr>
            <w:r>
              <w:t xml:space="preserve">24.92</w:t>
            </w:r>
          </w:p>
        </w:tc>
        <w:tc>
          <w:tcPr/>
          <w:p>
            <w:pPr>
              <w:pStyle w:val="Compact"/>
              <w:jc w:val="left"/>
            </w:pPr>
            <w:r>
              <w:t xml:space="preserve">5.88</w:t>
            </w:r>
          </w:p>
        </w:tc>
        <w:tc>
          <w:tcPr/>
          <w:p>
            <w:pPr>
              <w:pStyle w:val="Compact"/>
              <w:jc w:val="left"/>
            </w:pPr>
            <w:r>
              <w:t xml:space="preserve">4.95</w:t>
            </w:r>
          </w:p>
        </w:tc>
      </w:tr>
      <w:tr>
        <w:tc>
          <w:tcPr/>
          <w:p>
            <w:pPr>
              <w:pStyle w:val="Compact"/>
              <w:jc w:val="left"/>
            </w:pPr>
            <w:r>
              <w:t xml:space="preserve">Fourth</w:t>
            </w:r>
          </w:p>
        </w:tc>
        <w:tc>
          <w:tcPr/>
          <w:p>
            <w:pPr>
              <w:pStyle w:val="Compact"/>
              <w:jc w:val="left"/>
            </w:pPr>
            <w:r>
              <w:t xml:space="preserve">0.64</w:t>
            </w:r>
          </w:p>
        </w:tc>
        <w:tc>
          <w:tcPr/>
          <w:p>
            <w:pPr>
              <w:pStyle w:val="Compact"/>
              <w:jc w:val="left"/>
            </w:pPr>
            <w:r>
              <w:t xml:space="preserve">0.69</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0.60</w:t>
            </w:r>
          </w:p>
        </w:tc>
        <w:tc>
          <w:tcPr/>
          <w:p>
            <w:pPr>
              <w:pStyle w:val="Compact"/>
              <w:jc w:val="left"/>
            </w:pPr>
            <w:r>
              <w:t xml:space="preserve">23.92</w:t>
            </w:r>
          </w:p>
        </w:tc>
        <w:tc>
          <w:tcPr/>
          <w:p>
            <w:pPr>
              <w:pStyle w:val="Compact"/>
              <w:jc w:val="left"/>
            </w:pPr>
            <w:r>
              <w:t xml:space="preserve">4.96</w:t>
            </w:r>
          </w:p>
        </w:tc>
        <w:tc>
          <w:tcPr/>
          <w:p>
            <w:pPr>
              <w:pStyle w:val="Compact"/>
              <w:jc w:val="left"/>
            </w:pPr>
            <w:r>
              <w:t xml:space="preserve">4.35</w:t>
            </w:r>
          </w:p>
        </w:tc>
      </w:tr>
      <w:tr>
        <w:tc>
          <w:tcPr/>
          <w:p>
            <w:pPr>
              <w:pStyle w:val="Compact"/>
              <w:jc w:val="left"/>
            </w:pPr>
            <w:r>
              <w:t xml:space="preserve">Highest</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0.86</w:t>
            </w:r>
          </w:p>
        </w:tc>
        <w:tc>
          <w:tcPr/>
          <w:p>
            <w:pPr>
              <w:pStyle w:val="Compact"/>
              <w:jc w:val="left"/>
            </w:pPr>
            <w:r>
              <w:t xml:space="preserve">0.47</w:t>
            </w:r>
          </w:p>
        </w:tc>
        <w:tc>
          <w:tcPr/>
          <w:p>
            <w:pPr>
              <w:pStyle w:val="Compact"/>
              <w:jc w:val="left"/>
            </w:pPr>
            <w:r>
              <w:t xml:space="preserve">22.79</w:t>
            </w:r>
          </w:p>
        </w:tc>
        <w:tc>
          <w:tcPr/>
          <w:p>
            <w:pPr>
              <w:pStyle w:val="Compact"/>
              <w:jc w:val="left"/>
            </w:pPr>
            <w:r>
              <w:t xml:space="preserve">4.04</w:t>
            </w:r>
          </w:p>
        </w:tc>
        <w:tc>
          <w:tcPr/>
          <w:p>
            <w:pPr>
              <w:pStyle w:val="Compact"/>
              <w:jc w:val="left"/>
            </w:pPr>
            <w:r>
              <w:t xml:space="preserve">3.72</w:t>
            </w:r>
          </w:p>
        </w:tc>
      </w:tr>
      <w:tr>
        <w:tc>
          <w:tcPr/>
          <w:p>
            <w:pPr>
              <w:pStyle w:val="Compact"/>
              <w:jc w:val="left"/>
            </w:pPr>
            <w:r>
              <w:rPr>
                <w:iCs/>
                <w:i/>
              </w:rPr>
              <w:t xml:space="preserve">Workforce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 workforce</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0.94</w:t>
            </w:r>
          </w:p>
        </w:tc>
        <w:tc>
          <w:tcPr/>
          <w:p>
            <w:pPr>
              <w:pStyle w:val="Compact"/>
              <w:jc w:val="left"/>
            </w:pPr>
            <w:r>
              <w:t xml:space="preserve">0.80</w:t>
            </w:r>
          </w:p>
        </w:tc>
        <w:tc>
          <w:tcPr/>
          <w:p>
            <w:pPr>
              <w:pStyle w:val="Compact"/>
              <w:jc w:val="left"/>
            </w:pPr>
            <w:r>
              <w:t xml:space="preserve">0.67</w:t>
            </w:r>
          </w:p>
        </w:tc>
        <w:tc>
          <w:tcPr/>
          <w:p>
            <w:pPr>
              <w:pStyle w:val="Compact"/>
              <w:jc w:val="left"/>
            </w:pPr>
            <w:r>
              <w:t xml:space="preserve">24.54</w:t>
            </w:r>
          </w:p>
        </w:tc>
        <w:tc>
          <w:tcPr/>
          <w:p>
            <w:pPr>
              <w:pStyle w:val="Compact"/>
              <w:jc w:val="left"/>
            </w:pPr>
            <w:r>
              <w:t xml:space="preserve">5.93</w:t>
            </w:r>
          </w:p>
        </w:tc>
        <w:tc>
          <w:tcPr/>
          <w:p>
            <w:pPr>
              <w:pStyle w:val="Compact"/>
              <w:jc w:val="left"/>
            </w:pPr>
            <w:r>
              <w:t xml:space="preserve">5.08</w:t>
            </w:r>
          </w:p>
        </w:tc>
      </w:tr>
      <w:tr>
        <w:tc>
          <w:tcPr/>
          <w:p>
            <w:pPr>
              <w:pStyle w:val="Compact"/>
              <w:jc w:val="left"/>
            </w:pPr>
            <w:r>
              <w:t xml:space="preserve">Not in workforce</w:t>
            </w:r>
          </w:p>
        </w:tc>
        <w:tc>
          <w:tcPr/>
          <w:p>
            <w:pPr>
              <w:pStyle w:val="Compact"/>
              <w:jc w:val="left"/>
            </w:pPr>
            <w:r>
              <w:t xml:space="preserve">0.60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0.87</w:t>
            </w:r>
          </w:p>
        </w:tc>
        <w:tc>
          <w:tcPr/>
          <w:p>
            <w:pPr>
              <w:pStyle w:val="Compact"/>
              <w:jc w:val="left"/>
            </w:pPr>
            <w:r>
              <w:t xml:space="preserve">0.77</w:t>
            </w:r>
          </w:p>
        </w:tc>
        <w:tc>
          <w:tcPr/>
          <w:p>
            <w:pPr>
              <w:pStyle w:val="Compact"/>
              <w:jc w:val="left"/>
            </w:pPr>
            <w:r>
              <w:t xml:space="preserve">26.24</w:t>
            </w:r>
          </w:p>
        </w:tc>
        <w:tc>
          <w:tcPr/>
          <w:p>
            <w:pPr>
              <w:pStyle w:val="Compact"/>
              <w:jc w:val="left"/>
            </w:pPr>
            <w:r>
              <w:t xml:space="preserve">5.99</w:t>
            </w:r>
          </w:p>
        </w:tc>
        <w:tc>
          <w:tcPr/>
          <w:p>
            <w:pPr>
              <w:pStyle w:val="Compact"/>
              <w:jc w:val="left"/>
            </w:pPr>
            <w:r>
              <w:t xml:space="preserve">4.79</w:t>
            </w:r>
          </w:p>
        </w:tc>
      </w:tr>
      <w:tr>
        <w:tc>
          <w:tcPr/>
          <w:p>
            <w:pPr>
              <w:pStyle w:val="Compact"/>
              <w:jc w:val="left"/>
            </w:pPr>
            <w:r>
              <w:rPr>
                <w:iCs/>
                <w:i/>
              </w:rPr>
              <w:t xml:space="preserve">Regions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North Central</w:t>
            </w:r>
          </w:p>
        </w:tc>
        <w:tc>
          <w:tcPr/>
          <w:p>
            <w:pPr>
              <w:pStyle w:val="Compact"/>
              <w:jc w:val="left"/>
            </w:pPr>
            <w:r>
              <w:t xml:space="preserve">0.66</w:t>
            </w:r>
          </w:p>
        </w:tc>
        <w:tc>
          <w:tcPr/>
          <w:p>
            <w:pPr>
              <w:pStyle w:val="Compact"/>
              <w:jc w:val="left"/>
            </w:pPr>
            <w:r>
              <w:t xml:space="preserve">0.56</w:t>
            </w:r>
          </w:p>
        </w:tc>
        <w:tc>
          <w:tcPr/>
          <w:p>
            <w:pPr>
              <w:pStyle w:val="Compact"/>
              <w:jc w:val="left"/>
            </w:pPr>
            <w:r>
              <w:t xml:space="preserve">0.94</w:t>
            </w:r>
          </w:p>
        </w:tc>
        <w:tc>
          <w:tcPr/>
          <w:p>
            <w:pPr>
              <w:pStyle w:val="Compact"/>
              <w:jc w:val="left"/>
            </w:pPr>
            <w:r>
              <w:t xml:space="preserve">0.80</w:t>
            </w:r>
          </w:p>
        </w:tc>
        <w:tc>
          <w:tcPr/>
          <w:p>
            <w:pPr>
              <w:pStyle w:val="Compact"/>
              <w:jc w:val="left"/>
            </w:pPr>
            <w:r>
              <w:t xml:space="preserve">0.73</w:t>
            </w:r>
          </w:p>
        </w:tc>
        <w:tc>
          <w:tcPr/>
          <w:p>
            <w:pPr>
              <w:pStyle w:val="Compact"/>
              <w:jc w:val="left"/>
            </w:pPr>
            <w:r>
              <w:t xml:space="preserve">26.42</w:t>
            </w:r>
          </w:p>
        </w:tc>
        <w:tc>
          <w:tcPr/>
          <w:p>
            <w:pPr>
              <w:pStyle w:val="Compact"/>
              <w:jc w:val="left"/>
            </w:pPr>
            <w:r>
              <w:t xml:space="preserve">5.41</w:t>
            </w:r>
          </w:p>
        </w:tc>
        <w:tc>
          <w:tcPr/>
          <w:p>
            <w:pPr>
              <w:pStyle w:val="Compact"/>
              <w:jc w:val="left"/>
            </w:pPr>
            <w:r>
              <w:t xml:space="preserve">4.30</w:t>
            </w:r>
          </w:p>
        </w:tc>
      </w:tr>
      <w:tr>
        <w:tc>
          <w:tcPr/>
          <w:p>
            <w:pPr>
              <w:pStyle w:val="Compact"/>
              <w:jc w:val="left"/>
            </w:pPr>
            <w:r>
              <w:t xml:space="preserve">North East</w:t>
            </w:r>
          </w:p>
        </w:tc>
        <w:tc>
          <w:tcPr/>
          <w:p>
            <w:pPr>
              <w:pStyle w:val="Compact"/>
              <w:jc w:val="left"/>
            </w:pPr>
            <w:r>
              <w:t xml:space="preserve">0.81</w:t>
            </w:r>
          </w:p>
        </w:tc>
        <w:tc>
          <w:tcPr/>
          <w:p>
            <w:pPr>
              <w:pStyle w:val="Compact"/>
              <w:jc w:val="left"/>
            </w:pPr>
            <w:r>
              <w:t xml:space="preserve">0.59</w:t>
            </w:r>
          </w:p>
        </w:tc>
        <w:tc>
          <w:tcPr/>
          <w:p>
            <w:pPr>
              <w:pStyle w:val="Compact"/>
              <w:jc w:val="left"/>
            </w:pPr>
            <w:r>
              <w:t xml:space="preserve">0.96</w:t>
            </w:r>
          </w:p>
        </w:tc>
        <w:tc>
          <w:tcPr/>
          <w:p>
            <w:pPr>
              <w:pStyle w:val="Compact"/>
              <w:jc w:val="left"/>
            </w:pPr>
            <w:r>
              <w:t xml:space="preserve">0.80</w:t>
            </w:r>
          </w:p>
        </w:tc>
        <w:tc>
          <w:tcPr/>
          <w:p>
            <w:pPr>
              <w:pStyle w:val="Compact"/>
              <w:jc w:val="left"/>
            </w:pPr>
            <w:r>
              <w:t xml:space="preserve">0.93</w:t>
            </w:r>
          </w:p>
        </w:tc>
        <w:tc>
          <w:tcPr/>
          <w:p>
            <w:pPr>
              <w:pStyle w:val="Compact"/>
              <w:jc w:val="left"/>
            </w:pPr>
            <w:r>
              <w:t xml:space="preserve">20.97</w:t>
            </w:r>
          </w:p>
        </w:tc>
        <w:tc>
          <w:tcPr/>
          <w:p>
            <w:pPr>
              <w:pStyle w:val="Compact"/>
              <w:jc w:val="left"/>
            </w:pPr>
            <w:r>
              <w:t xml:space="preserve">7.16</w:t>
            </w:r>
          </w:p>
        </w:tc>
        <w:tc>
          <w:tcPr/>
          <w:p>
            <w:pPr>
              <w:pStyle w:val="Compact"/>
              <w:jc w:val="left"/>
            </w:pPr>
            <w:r>
              <w:t xml:space="preserve">7.17</w:t>
            </w:r>
          </w:p>
        </w:tc>
      </w:tr>
      <w:tr>
        <w:tc>
          <w:tcPr/>
          <w:p>
            <w:pPr>
              <w:pStyle w:val="Compact"/>
              <w:jc w:val="left"/>
            </w:pPr>
            <w:r>
              <w:t xml:space="preserve">North West</w:t>
            </w:r>
          </w:p>
        </w:tc>
        <w:tc>
          <w:tcPr/>
          <w:p>
            <w:pPr>
              <w:pStyle w:val="Compact"/>
              <w:jc w:val="left"/>
            </w:pPr>
            <w:r>
              <w:t xml:space="preserve">0.86</w:t>
            </w:r>
          </w:p>
        </w:tc>
        <w:tc>
          <w:tcPr/>
          <w:p>
            <w:pPr>
              <w:pStyle w:val="Compact"/>
              <w:jc w:val="left"/>
            </w:pPr>
            <w:r>
              <w:t xml:space="preserve">0.58</w:t>
            </w:r>
          </w:p>
        </w:tc>
        <w:tc>
          <w:tcPr/>
          <w:p>
            <w:pPr>
              <w:pStyle w:val="Compact"/>
              <w:jc w:val="left"/>
            </w:pPr>
            <w:r>
              <w:t xml:space="preserve">0.96</w:t>
            </w:r>
          </w:p>
        </w:tc>
        <w:tc>
          <w:tcPr/>
          <w:p>
            <w:pPr>
              <w:pStyle w:val="Compact"/>
              <w:jc w:val="left"/>
            </w:pPr>
            <w:r>
              <w:t xml:space="preserve">0.81</w:t>
            </w:r>
          </w:p>
        </w:tc>
        <w:tc>
          <w:tcPr/>
          <w:p>
            <w:pPr>
              <w:pStyle w:val="Compact"/>
              <w:jc w:val="left"/>
            </w:pPr>
            <w:r>
              <w:t xml:space="preserve">0.95</w:t>
            </w:r>
          </w:p>
        </w:tc>
        <w:tc>
          <w:tcPr/>
          <w:p>
            <w:pPr>
              <w:pStyle w:val="Compact"/>
              <w:jc w:val="left"/>
            </w:pPr>
            <w:r>
              <w:t xml:space="preserve">20.19</w:t>
            </w:r>
          </w:p>
        </w:tc>
        <w:tc>
          <w:tcPr/>
          <w:p>
            <w:pPr>
              <w:pStyle w:val="Compact"/>
              <w:jc w:val="left"/>
            </w:pPr>
            <w:r>
              <w:t xml:space="preserve">7.30</w:t>
            </w:r>
          </w:p>
        </w:tc>
        <w:tc>
          <w:tcPr/>
          <w:p>
            <w:pPr>
              <w:pStyle w:val="Compact"/>
              <w:jc w:val="left"/>
            </w:pPr>
            <w:r>
              <w:t xml:space="preserve">7.59</w:t>
            </w:r>
          </w:p>
        </w:tc>
      </w:tr>
      <w:tr>
        <w:tc>
          <w:tcPr/>
          <w:p>
            <w:pPr>
              <w:pStyle w:val="Compact"/>
              <w:jc w:val="left"/>
            </w:pPr>
            <w:r>
              <w:t xml:space="preserve">South East</w:t>
            </w:r>
          </w:p>
        </w:tc>
        <w:tc>
          <w:tcPr/>
          <w:p>
            <w:pPr>
              <w:pStyle w:val="Compact"/>
              <w:jc w:val="left"/>
            </w:pPr>
            <w:r>
              <w:t xml:space="preserve">0.51</w:t>
            </w:r>
          </w:p>
        </w:tc>
        <w:tc>
          <w:tcPr/>
          <w:p>
            <w:pPr>
              <w:pStyle w:val="Compact"/>
              <w:jc w:val="left"/>
            </w:pPr>
            <w:r>
              <w:t xml:space="preserve">0.73</w:t>
            </w:r>
          </w:p>
        </w:tc>
        <w:tc>
          <w:tcPr/>
          <w:p>
            <w:pPr>
              <w:pStyle w:val="Compact"/>
              <w:jc w:val="left"/>
            </w:pPr>
            <w:r>
              <w:t xml:space="preserve">0.92</w:t>
            </w:r>
          </w:p>
        </w:tc>
        <w:tc>
          <w:tcPr/>
          <w:p>
            <w:pPr>
              <w:pStyle w:val="Compact"/>
              <w:jc w:val="left"/>
            </w:pPr>
            <w:r>
              <w:t xml:space="preserve">0.80</w:t>
            </w:r>
          </w:p>
        </w:tc>
        <w:tc>
          <w:tcPr/>
          <w:p>
            <w:pPr>
              <w:pStyle w:val="Compact"/>
              <w:jc w:val="left"/>
            </w:pPr>
            <w:r>
              <w:t xml:space="preserve">0.57</w:t>
            </w:r>
          </w:p>
        </w:tc>
        <w:tc>
          <w:tcPr/>
          <w:p>
            <w:pPr>
              <w:pStyle w:val="Compact"/>
              <w:jc w:val="left"/>
            </w:pPr>
            <w:r>
              <w:t xml:space="preserve">31.08</w:t>
            </w:r>
          </w:p>
        </w:tc>
        <w:tc>
          <w:tcPr/>
          <w:p>
            <w:pPr>
              <w:pStyle w:val="Compact"/>
              <w:jc w:val="left"/>
            </w:pPr>
            <w:r>
              <w:t xml:space="preserve">4.82</w:t>
            </w:r>
          </w:p>
        </w:tc>
        <w:tc>
          <w:tcPr/>
          <w:p>
            <w:pPr>
              <w:pStyle w:val="Compact"/>
              <w:jc w:val="left"/>
            </w:pPr>
            <w:r>
              <w:t xml:space="preserve">3.26</w:t>
            </w:r>
          </w:p>
        </w:tc>
      </w:tr>
      <w:tr>
        <w:tc>
          <w:tcPr/>
          <w:p>
            <w:pPr>
              <w:pStyle w:val="Compact"/>
              <w:jc w:val="left"/>
            </w:pPr>
            <w:r>
              <w:t xml:space="preserve">South South</w:t>
            </w:r>
          </w:p>
        </w:tc>
        <w:tc>
          <w:tcPr/>
          <w:p>
            <w:pPr>
              <w:pStyle w:val="Compact"/>
              <w:jc w:val="left"/>
            </w:pPr>
            <w:r>
              <w:t xml:space="preserve">0.66</w:t>
            </w:r>
          </w:p>
        </w:tc>
        <w:tc>
          <w:tcPr/>
          <w:p>
            <w:pPr>
              <w:pStyle w:val="Compact"/>
              <w:jc w:val="left"/>
            </w:pPr>
            <w:r>
              <w:t xml:space="preserve">0.71</w:t>
            </w:r>
          </w:p>
        </w:tc>
        <w:tc>
          <w:tcPr/>
          <w:p>
            <w:pPr>
              <w:pStyle w:val="Compact"/>
              <w:jc w:val="left"/>
            </w:pPr>
            <w:r>
              <w:t xml:space="preserve">0.92</w:t>
            </w:r>
          </w:p>
        </w:tc>
        <w:tc>
          <w:tcPr/>
          <w:p>
            <w:pPr>
              <w:pStyle w:val="Compact"/>
              <w:jc w:val="left"/>
            </w:pPr>
            <w:r>
              <w:t xml:space="preserve">0.84</w:t>
            </w:r>
          </w:p>
        </w:tc>
        <w:tc>
          <w:tcPr/>
          <w:p>
            <w:pPr>
              <w:pStyle w:val="Compact"/>
              <w:jc w:val="left"/>
            </w:pPr>
            <w:r>
              <w:t xml:space="preserve">0.51</w:t>
            </w:r>
          </w:p>
        </w:tc>
        <w:tc>
          <w:tcPr/>
          <w:p>
            <w:pPr>
              <w:pStyle w:val="Compact"/>
              <w:jc w:val="left"/>
            </w:pPr>
            <w:r>
              <w:t xml:space="preserve">25.49</w:t>
            </w:r>
          </w:p>
        </w:tc>
        <w:tc>
          <w:tcPr/>
          <w:p>
            <w:pPr>
              <w:pStyle w:val="Compact"/>
              <w:jc w:val="left"/>
            </w:pPr>
            <w:r>
              <w:t xml:space="preserve">4.69</w:t>
            </w:r>
          </w:p>
        </w:tc>
        <w:tc>
          <w:tcPr/>
          <w:p>
            <w:pPr>
              <w:pStyle w:val="Compact"/>
              <w:jc w:val="left"/>
            </w:pPr>
            <w:r>
              <w:t xml:space="preserve">3.86</w:t>
            </w:r>
          </w:p>
        </w:tc>
      </w:tr>
      <w:tr>
        <w:tc>
          <w:tcPr/>
          <w:p>
            <w:pPr>
              <w:pStyle w:val="Compact"/>
              <w:jc w:val="left"/>
            </w:pPr>
            <w:r>
              <w:t xml:space="preserve">South West</w:t>
            </w:r>
          </w:p>
        </w:tc>
        <w:tc>
          <w:tcPr/>
          <w:p>
            <w:pPr>
              <w:pStyle w:val="Compact"/>
              <w:jc w:val="left"/>
            </w:pPr>
            <w:r>
              <w:t xml:space="preserve">0.64</w:t>
            </w:r>
          </w:p>
        </w:tc>
        <w:tc>
          <w:tcPr/>
          <w:p>
            <w:pPr>
              <w:pStyle w:val="Compact"/>
              <w:jc w:val="left"/>
            </w:pPr>
            <w:r>
              <w:t xml:space="preserve">0.65</w:t>
            </w:r>
          </w:p>
        </w:tc>
        <w:tc>
          <w:tcPr/>
          <w:p>
            <w:pPr>
              <w:pStyle w:val="Compact"/>
              <w:jc w:val="left"/>
            </w:pPr>
            <w:r>
              <w:t xml:space="preserve">0.92</w:t>
            </w:r>
          </w:p>
        </w:tc>
        <w:tc>
          <w:tcPr/>
          <w:p>
            <w:pPr>
              <w:pStyle w:val="Compact"/>
              <w:jc w:val="left"/>
            </w:pPr>
            <w:r>
              <w:t xml:space="preserve">0.84</w:t>
            </w:r>
          </w:p>
        </w:tc>
        <w:tc>
          <w:tcPr/>
          <w:p>
            <w:pPr>
              <w:pStyle w:val="Compact"/>
              <w:jc w:val="left"/>
            </w:pPr>
            <w:r>
              <w:t xml:space="preserve">0.49</w:t>
            </w:r>
          </w:p>
        </w:tc>
        <w:tc>
          <w:tcPr/>
          <w:p>
            <w:pPr>
              <w:pStyle w:val="Compact"/>
              <w:jc w:val="left"/>
            </w:pPr>
            <w:r>
              <w:t xml:space="preserve">28.48</w:t>
            </w:r>
          </w:p>
        </w:tc>
        <w:tc>
          <w:tcPr/>
          <w:p>
            <w:pPr>
              <w:pStyle w:val="Compact"/>
              <w:jc w:val="left"/>
            </w:pPr>
            <w:r>
              <w:t xml:space="preserve">4.52</w:t>
            </w:r>
          </w:p>
        </w:tc>
        <w:tc>
          <w:tcPr/>
          <w:p>
            <w:pPr>
              <w:pStyle w:val="Compact"/>
              <w:jc w:val="left"/>
            </w:pPr>
            <w:r>
              <w:t xml:space="preserve">3.33</w:t>
            </w:r>
          </w:p>
        </w:tc>
      </w:tr>
    </w:tbl>
    <w:p>
      <w:pPr>
        <w:pStyle w:val="BodyText"/>
      </w:pPr>
      <w:r>
        <w:t xml:space="preserve">Table 5: Estimated indices of proximate determinants of fertility (2003)</w:t>
      </w:r>
    </w:p>
    <w:tbl>
      <w:tblPr>
        <w:tblStyle w:val="Table"/>
        <w:tblW w:type="pct" w:w="5000"/>
        <w:tblLook w:firstRow="0" w:lastRow="0" w:firstColumn="0" w:lastColumn="0" w:noHBand="0" w:noVBand="0" w:val="0000"/>
        <w:jc w:val="start"/>
      </w:tblPr>
      <w:tblGrid>
        <w:gridCol w:w="879"/>
        <w:gridCol w:w="879"/>
        <w:gridCol w:w="879"/>
        <w:gridCol w:w="879"/>
        <w:gridCol w:w="879"/>
        <w:gridCol w:w="879"/>
        <w:gridCol w:w="879"/>
        <w:gridCol w:w="879"/>
        <w:gridCol w:w="879"/>
      </w:tblGrid>
      <w:tr>
        <w:tc>
          <w:tcPr/>
          <w:p>
            <w:pPr>
              <w:pStyle w:val="Compact"/>
              <w:jc w:val="left"/>
            </w:pPr>
            <w:r>
              <w:rPr>
                <w:bCs/>
                <w:b/>
              </w:rPr>
              <w:t xml:space="preserve">Variables</w:t>
            </w:r>
          </w:p>
        </w:tc>
        <w:tc>
          <w:tcPr/>
          <w:p>
            <w:pPr>
              <w:pStyle w:val="Compact"/>
              <w:jc w:val="left"/>
            </w:pPr>
            <w:r>
              <w:rPr>
                <w:bCs/>
                <w:b/>
              </w:rPr>
              <w:t xml:space="preserve">C</w:t>
            </w:r>
            <w:r>
              <w:rPr>
                <w:vertAlign w:val="subscript"/>
                <w:bCs/>
                <w:b/>
              </w:rPr>
              <w:t xml:space="preserve">x</w:t>
            </w:r>
          </w:p>
        </w:tc>
        <w:tc>
          <w:tcPr/>
          <w:p>
            <w:pPr>
              <w:pStyle w:val="Compact"/>
              <w:jc w:val="left"/>
            </w:pPr>
            <w:r>
              <w:rPr>
                <w:bCs/>
                <w:b/>
              </w:rPr>
              <w:t xml:space="preserve">C</w:t>
            </w:r>
            <w:r>
              <w:rPr>
                <w:vertAlign w:val="subscript"/>
                <w:bCs/>
                <w:b/>
              </w:rPr>
              <w:t xml:space="preserve">i</w:t>
            </w:r>
          </w:p>
        </w:tc>
        <w:tc>
          <w:tcPr/>
          <w:p>
            <w:pPr>
              <w:pStyle w:val="Compact"/>
              <w:jc w:val="left"/>
            </w:pPr>
            <w:r>
              <w:rPr>
                <w:bCs/>
                <w:b/>
              </w:rPr>
              <w:t xml:space="preserve">C</w:t>
            </w:r>
            <w:r>
              <w:rPr>
                <w:vertAlign w:val="subscript"/>
                <w:bCs/>
                <w:b/>
              </w:rPr>
              <w:t xml:space="preserve">a</w:t>
            </w:r>
          </w:p>
        </w:tc>
        <w:tc>
          <w:tcPr/>
          <w:p>
            <w:pPr>
              <w:pStyle w:val="Compact"/>
              <w:jc w:val="left"/>
            </w:pPr>
            <w:r>
              <w:rPr>
                <w:bCs/>
                <w:b/>
              </w:rPr>
              <w:t xml:space="preserve">C</w:t>
            </w:r>
            <w:r>
              <w:rPr>
                <w:vertAlign w:val="subscript"/>
                <w:bCs/>
                <w:b/>
              </w:rPr>
              <w:t xml:space="preserve">f</w:t>
            </w:r>
          </w:p>
        </w:tc>
        <w:tc>
          <w:tcPr/>
          <w:p>
            <w:pPr>
              <w:pStyle w:val="Compact"/>
              <w:jc w:val="left"/>
            </w:pPr>
            <w:r>
              <w:rPr>
                <w:bCs/>
                <w:b/>
              </w:rPr>
              <w:t xml:space="preserve">C</w:t>
            </w:r>
            <w:r>
              <w:rPr>
                <w:vertAlign w:val="subscript"/>
                <w:bCs/>
                <w:b/>
              </w:rPr>
              <w:t xml:space="preserve">u</w:t>
            </w:r>
          </w:p>
        </w:tc>
        <w:tc>
          <w:tcPr/>
          <w:p>
            <w:pPr>
              <w:pStyle w:val="Compact"/>
              <w:jc w:val="left"/>
            </w:pPr>
            <w:r>
              <w:rPr>
                <w:bCs/>
                <w:b/>
              </w:rPr>
              <w:t xml:space="preserve">PF</w:t>
            </w:r>
          </w:p>
        </w:tc>
        <w:tc>
          <w:tcPr/>
          <w:p>
            <w:pPr>
              <w:pStyle w:val="Compact"/>
              <w:jc w:val="left"/>
            </w:pPr>
            <w:r>
              <w:rPr>
                <w:bCs/>
                <w:b/>
              </w:rPr>
              <w:t xml:space="preserve">TFR (Survey)</w:t>
            </w:r>
          </w:p>
        </w:tc>
        <w:tc>
          <w:tcPr/>
          <w:p>
            <w:pPr>
              <w:pStyle w:val="Compact"/>
              <w:jc w:val="left"/>
            </w:pPr>
            <w:r>
              <w:rPr>
                <w:bCs/>
                <w:b/>
              </w:rPr>
              <w:t xml:space="preserve">TFR (Bongaarts)</w:t>
            </w:r>
          </w:p>
        </w:tc>
      </w:tr>
      <w:tr>
        <w:tc>
          <w:tcPr/>
          <w:p>
            <w:pPr>
              <w:pStyle w:val="Compact"/>
              <w:jc w:val="left"/>
            </w:pPr>
            <w:r>
              <w:rPr>
                <w:iCs/>
                <w:i/>
              </w:rPr>
              <w:t xml:space="preserve">Aggregate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National</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0.81</w:t>
            </w:r>
          </w:p>
        </w:tc>
        <w:tc>
          <w:tcPr/>
          <w:p>
            <w:pPr>
              <w:pStyle w:val="Compact"/>
              <w:jc w:val="left"/>
            </w:pPr>
            <w:r>
              <w:t xml:space="preserve">0.85</w:t>
            </w:r>
          </w:p>
        </w:tc>
        <w:tc>
          <w:tcPr/>
          <w:p>
            <w:pPr>
              <w:pStyle w:val="Compact"/>
              <w:jc w:val="left"/>
            </w:pPr>
            <w:r>
              <w:t xml:space="preserve">21.00</w:t>
            </w:r>
          </w:p>
        </w:tc>
        <w:tc>
          <w:tcPr/>
          <w:p>
            <w:pPr>
              <w:pStyle w:val="Compact"/>
              <w:jc w:val="left"/>
            </w:pPr>
            <w:r>
              <w:t xml:space="preserve">5.65</w:t>
            </w:r>
          </w:p>
        </w:tc>
        <w:tc>
          <w:tcPr/>
          <w:p>
            <w:pPr>
              <w:pStyle w:val="Compact"/>
              <w:jc w:val="left"/>
            </w:pPr>
            <w:r>
              <w:t xml:space="preserve">5.65</w:t>
            </w:r>
          </w:p>
        </w:tc>
      </w:tr>
      <w:tr>
        <w:tc>
          <w:tcPr/>
          <w:p>
            <w:pPr>
              <w:pStyle w:val="Compact"/>
              <w:jc w:val="left"/>
            </w:pPr>
            <w:r>
              <w:rPr>
                <w:iCs/>
                <w:i/>
              </w:rP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 education</w:t>
            </w:r>
          </w:p>
        </w:tc>
        <w:tc>
          <w:tcPr/>
          <w:p>
            <w:pPr>
              <w:pStyle w:val="Compact"/>
              <w:jc w:val="left"/>
            </w:pPr>
            <w:r>
              <w:t xml:space="preserve">0.83</w:t>
            </w:r>
          </w:p>
        </w:tc>
        <w:tc>
          <w:tcPr/>
          <w:p>
            <w:pPr>
              <w:pStyle w:val="Compact"/>
              <w:jc w:val="left"/>
            </w:pPr>
            <w:r>
              <w:t xml:space="preserve">0.56</w:t>
            </w:r>
          </w:p>
        </w:tc>
        <w:tc>
          <w:tcPr/>
          <w:p>
            <w:pPr>
              <w:pStyle w:val="Compact"/>
              <w:jc w:val="left"/>
            </w:pPr>
            <w:r>
              <w:t xml:space="preserve">0.95</w:t>
            </w:r>
          </w:p>
        </w:tc>
        <w:tc>
          <w:tcPr/>
          <w:p>
            <w:pPr>
              <w:pStyle w:val="Compact"/>
              <w:jc w:val="left"/>
            </w:pPr>
            <w:r>
              <w:t xml:space="preserve">0.73</w:t>
            </w:r>
          </w:p>
        </w:tc>
        <w:tc>
          <w:tcPr/>
          <w:p>
            <w:pPr>
              <w:pStyle w:val="Compact"/>
              <w:jc w:val="left"/>
            </w:pPr>
            <w:r>
              <w:t xml:space="preserve">0.93</w:t>
            </w:r>
          </w:p>
        </w:tc>
        <w:tc>
          <w:tcPr/>
          <w:p>
            <w:pPr>
              <w:pStyle w:val="Compact"/>
              <w:jc w:val="left"/>
            </w:pPr>
            <w:r>
              <w:t xml:space="preserve">21.78</w:t>
            </w:r>
          </w:p>
        </w:tc>
        <w:tc>
          <w:tcPr/>
          <w:p>
            <w:pPr>
              <w:pStyle w:val="Compact"/>
              <w:jc w:val="left"/>
            </w:pPr>
            <w:r>
              <w:t xml:space="preserve">6.71</w:t>
            </w:r>
          </w:p>
        </w:tc>
        <w:tc>
          <w:tcPr/>
          <w:p>
            <w:pPr>
              <w:pStyle w:val="Compact"/>
              <w:jc w:val="left"/>
            </w:pPr>
            <w:r>
              <w:t xml:space="preserve">6.47</w:t>
            </w:r>
          </w:p>
        </w:tc>
      </w:tr>
      <w:tr>
        <w:tc>
          <w:tcPr/>
          <w:p>
            <w:pPr>
              <w:pStyle w:val="Compact"/>
              <w:jc w:val="left"/>
            </w:pPr>
            <w:r>
              <w:t xml:space="preserve">Primary</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0.83</w:t>
            </w:r>
          </w:p>
        </w:tc>
        <w:tc>
          <w:tcPr/>
          <w:p>
            <w:pPr>
              <w:pStyle w:val="Compact"/>
              <w:jc w:val="left"/>
            </w:pPr>
            <w:r>
              <w:t xml:space="preserve">0.76</w:t>
            </w:r>
          </w:p>
        </w:tc>
        <w:tc>
          <w:tcPr/>
          <w:p>
            <w:pPr>
              <w:pStyle w:val="Compact"/>
              <w:jc w:val="left"/>
            </w:pPr>
            <w:r>
              <w:t xml:space="preserve">25.19</w:t>
            </w:r>
          </w:p>
        </w:tc>
        <w:tc>
          <w:tcPr/>
          <w:p>
            <w:pPr>
              <w:pStyle w:val="Compact"/>
              <w:jc w:val="left"/>
            </w:pPr>
            <w:r>
              <w:t xml:space="preserve">6.32</w:t>
            </w:r>
          </w:p>
        </w:tc>
        <w:tc>
          <w:tcPr/>
          <w:p>
            <w:pPr>
              <w:pStyle w:val="Compact"/>
              <w:jc w:val="left"/>
            </w:pPr>
            <w:r>
              <w:t xml:space="preserve">5.27</w:t>
            </w:r>
          </w:p>
        </w:tc>
      </w:tr>
      <w:tr>
        <w:tc>
          <w:tcPr/>
          <w:p>
            <w:pPr>
              <w:pStyle w:val="Compact"/>
              <w:jc w:val="left"/>
            </w:pPr>
            <w:r>
              <w:t xml:space="preserve">Secondary/Higher</w:t>
            </w:r>
          </w:p>
        </w:tc>
        <w:tc>
          <w:tcPr/>
          <w:p>
            <w:pPr>
              <w:pStyle w:val="Compact"/>
              <w:jc w:val="left"/>
            </w:pPr>
            <w:r>
              <w:t xml:space="preserve">0.56</w:t>
            </w:r>
          </w:p>
        </w:tc>
        <w:tc>
          <w:tcPr/>
          <w:p>
            <w:pPr>
              <w:pStyle w:val="Compact"/>
              <w:jc w:val="left"/>
            </w:pPr>
            <w:r>
              <w:t xml:space="preserve">0.75</w:t>
            </w:r>
          </w:p>
        </w:tc>
        <w:tc>
          <w:tcPr/>
          <w:p>
            <w:pPr>
              <w:pStyle w:val="Compact"/>
              <w:jc w:val="left"/>
            </w:pPr>
            <w:r>
              <w:t xml:space="preserve">0.91</w:t>
            </w:r>
          </w:p>
        </w:tc>
        <w:tc>
          <w:tcPr/>
          <w:p>
            <w:pPr>
              <w:pStyle w:val="Compact"/>
              <w:jc w:val="left"/>
            </w:pPr>
            <w:r>
              <w:t xml:space="preserve">0.91</w:t>
            </w:r>
          </w:p>
        </w:tc>
        <w:tc>
          <w:tcPr/>
          <w:p>
            <w:pPr>
              <w:pStyle w:val="Compact"/>
              <w:jc w:val="left"/>
            </w:pPr>
            <w:r>
              <w:t xml:space="preserve">0.60</w:t>
            </w:r>
          </w:p>
        </w:tc>
        <w:tc>
          <w:tcPr/>
          <w:p>
            <w:pPr>
              <w:pStyle w:val="Compact"/>
              <w:jc w:val="left"/>
            </w:pPr>
            <w:r>
              <w:t xml:space="preserve">20.12</w:t>
            </w:r>
          </w:p>
        </w:tc>
        <w:tc>
          <w:tcPr/>
          <w:p>
            <w:pPr>
              <w:pStyle w:val="Compact"/>
              <w:jc w:val="left"/>
            </w:pPr>
            <w:r>
              <w:t xml:space="preserve">4.24</w:t>
            </w:r>
          </w:p>
        </w:tc>
        <w:tc>
          <w:tcPr/>
          <w:p>
            <w:pPr>
              <w:pStyle w:val="Compact"/>
              <w:jc w:val="left"/>
            </w:pPr>
            <w:r>
              <w:t xml:space="preserve">4.43</w:t>
            </w:r>
          </w:p>
        </w:tc>
      </w:tr>
      <w:tr>
        <w:tc>
          <w:tcPr/>
          <w:p>
            <w:pPr>
              <w:pStyle w:val="Compact"/>
              <w:jc w:val="left"/>
            </w:pPr>
            <w:r>
              <w:rPr>
                <w:iCs/>
                <w:i/>
              </w:rPr>
              <w:t xml:space="preserve">Residence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Urban</w:t>
            </w:r>
          </w:p>
        </w:tc>
        <w:tc>
          <w:tcPr/>
          <w:p>
            <w:pPr>
              <w:pStyle w:val="Compact"/>
              <w:jc w:val="left"/>
            </w:pPr>
            <w:r>
              <w:t xml:space="preserve">0.66</w:t>
            </w:r>
          </w:p>
        </w:tc>
        <w:tc>
          <w:tcPr/>
          <w:p>
            <w:pPr>
              <w:pStyle w:val="Compact"/>
              <w:jc w:val="left"/>
            </w:pPr>
            <w:r>
              <w:t xml:space="preserve">0.64</w:t>
            </w:r>
          </w:p>
        </w:tc>
        <w:tc>
          <w:tcPr/>
          <w:p>
            <w:pPr>
              <w:pStyle w:val="Compact"/>
              <w:jc w:val="left"/>
            </w:pPr>
            <w:r>
              <w:t xml:space="preserve">0.93</w:t>
            </w:r>
          </w:p>
        </w:tc>
        <w:tc>
          <w:tcPr/>
          <w:p>
            <w:pPr>
              <w:pStyle w:val="Compact"/>
              <w:jc w:val="left"/>
            </w:pPr>
            <w:r>
              <w:t xml:space="preserve">0.82</w:t>
            </w:r>
          </w:p>
        </w:tc>
        <w:tc>
          <w:tcPr/>
          <w:p>
            <w:pPr>
              <w:pStyle w:val="Compact"/>
              <w:jc w:val="left"/>
            </w:pPr>
            <w:r>
              <w:t xml:space="preserve">0.65</w:t>
            </w:r>
          </w:p>
        </w:tc>
        <w:tc>
          <w:tcPr/>
          <w:p>
            <w:pPr>
              <w:pStyle w:val="Compact"/>
              <w:jc w:val="left"/>
            </w:pPr>
            <w:r>
              <w:t xml:space="preserve">23.12</w:t>
            </w:r>
          </w:p>
        </w:tc>
        <w:tc>
          <w:tcPr/>
          <w:p>
            <w:pPr>
              <w:pStyle w:val="Compact"/>
              <w:jc w:val="left"/>
            </w:pPr>
            <w:r>
              <w:t xml:space="preserve">4.86</w:t>
            </w:r>
          </w:p>
        </w:tc>
        <w:tc>
          <w:tcPr/>
          <w:p>
            <w:pPr>
              <w:pStyle w:val="Compact"/>
              <w:jc w:val="left"/>
            </w:pPr>
            <w:r>
              <w:t xml:space="preserve">4.41</w:t>
            </w:r>
          </w:p>
        </w:tc>
      </w:tr>
      <w:tr>
        <w:tc>
          <w:tcPr/>
          <w:p>
            <w:pPr>
              <w:pStyle w:val="Compact"/>
              <w:jc w:val="left"/>
            </w:pPr>
            <w:r>
              <w:t xml:space="preserve">Rural</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0.80</w:t>
            </w:r>
          </w:p>
        </w:tc>
        <w:tc>
          <w:tcPr/>
          <w:p>
            <w:pPr>
              <w:pStyle w:val="Compact"/>
              <w:jc w:val="left"/>
            </w:pPr>
            <w:r>
              <w:t xml:space="preserve">0.82</w:t>
            </w:r>
          </w:p>
        </w:tc>
        <w:tc>
          <w:tcPr/>
          <w:p>
            <w:pPr>
              <w:pStyle w:val="Compact"/>
              <w:jc w:val="left"/>
            </w:pPr>
            <w:r>
              <w:t xml:space="preserve">23.58</w:t>
            </w:r>
          </w:p>
        </w:tc>
        <w:tc>
          <w:tcPr/>
          <w:p>
            <w:pPr>
              <w:pStyle w:val="Compact"/>
              <w:jc w:val="left"/>
            </w:pPr>
            <w:r>
              <w:t xml:space="preserve">6.07</w:t>
            </w:r>
          </w:p>
        </w:tc>
        <w:tc>
          <w:tcPr/>
          <w:p>
            <w:pPr>
              <w:pStyle w:val="Compact"/>
              <w:jc w:val="left"/>
            </w:pPr>
            <w:r>
              <w:t xml:space="preserve">5.41</w:t>
            </w:r>
          </w:p>
        </w:tc>
      </w:tr>
      <w:tr>
        <w:tc>
          <w:tcPr/>
          <w:p>
            <w:pPr>
              <w:pStyle w:val="Compact"/>
              <w:jc w:val="left"/>
            </w:pPr>
            <w:r>
              <w:rPr>
                <w:iCs/>
                <w:i/>
              </w:rPr>
              <w:t xml:space="preserve">Wealth quintile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Lowest</w:t>
            </w:r>
          </w:p>
        </w:tc>
        <w:tc>
          <w:tcPr/>
          <w:p>
            <w:pPr>
              <w:pStyle w:val="Compact"/>
              <w:jc w:val="left"/>
            </w:pPr>
            <w:r>
              <w:t xml:space="preserve">0.77</w:t>
            </w:r>
          </w:p>
        </w:tc>
        <w:tc>
          <w:tcPr/>
          <w:p>
            <w:pPr>
              <w:pStyle w:val="Compact"/>
              <w:jc w:val="left"/>
            </w:pPr>
            <w:r>
              <w:t xml:space="preserve">0.54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0.86</w:t>
            </w:r>
          </w:p>
        </w:tc>
        <w:tc>
          <w:tcPr/>
          <w:p>
            <w:pPr>
              <w:pStyle w:val="Compact"/>
              <w:jc w:val="left"/>
            </w:pPr>
            <w:r>
              <w:t xml:space="preserve">24.62</w:t>
            </w:r>
          </w:p>
        </w:tc>
        <w:tc>
          <w:tcPr/>
          <w:p>
            <w:pPr>
              <w:pStyle w:val="Compact"/>
              <w:jc w:val="left"/>
            </w:pPr>
            <w:r>
              <w:t xml:space="preserve">6.52</w:t>
            </w:r>
          </w:p>
        </w:tc>
        <w:tc>
          <w:tcPr/>
          <w:p>
            <w:pPr>
              <w:pStyle w:val="Compact"/>
              <w:jc w:val="left"/>
            </w:pPr>
            <w:r>
              <w:t xml:space="preserve">5.56</w:t>
            </w:r>
          </w:p>
        </w:tc>
      </w:tr>
      <w:tr>
        <w:tc>
          <w:tcPr/>
          <w:p>
            <w:pPr>
              <w:pStyle w:val="Compact"/>
              <w:jc w:val="left"/>
            </w:pPr>
            <w:r>
              <w:t xml:space="preserve">Second</w:t>
            </w:r>
          </w:p>
        </w:tc>
        <w:tc>
          <w:tcPr/>
          <w:p>
            <w:pPr>
              <w:pStyle w:val="Compact"/>
              <w:jc w:val="left"/>
            </w:pPr>
            <w:r>
              <w:t xml:space="preserve">0.77</w:t>
            </w:r>
          </w:p>
        </w:tc>
        <w:tc>
          <w:tcPr/>
          <w:p>
            <w:pPr>
              <w:pStyle w:val="Compact"/>
              <w:jc w:val="left"/>
            </w:pPr>
            <w:r>
              <w:t xml:space="preserve">0.56</w:t>
            </w:r>
          </w:p>
        </w:tc>
        <w:tc>
          <w:tcPr/>
          <w:p>
            <w:pPr>
              <w:pStyle w:val="Compact"/>
              <w:jc w:val="left"/>
            </w:pPr>
            <w:r>
              <w:t xml:space="preserve">0.95</w:t>
            </w:r>
          </w:p>
        </w:tc>
        <w:tc>
          <w:tcPr/>
          <w:p>
            <w:pPr>
              <w:pStyle w:val="Compact"/>
              <w:jc w:val="left"/>
            </w:pPr>
            <w:r>
              <w:t xml:space="preserve">0.78</w:t>
            </w:r>
          </w:p>
        </w:tc>
        <w:tc>
          <w:tcPr/>
          <w:p>
            <w:pPr>
              <w:pStyle w:val="Compact"/>
              <w:jc w:val="left"/>
            </w:pPr>
            <w:r>
              <w:t xml:space="preserve">0.87</w:t>
            </w:r>
          </w:p>
        </w:tc>
        <w:tc>
          <w:tcPr/>
          <w:p>
            <w:pPr>
              <w:pStyle w:val="Compact"/>
              <w:jc w:val="left"/>
            </w:pPr>
            <w:r>
              <w:t xml:space="preserve">22.76</w:t>
            </w:r>
          </w:p>
        </w:tc>
        <w:tc>
          <w:tcPr/>
          <w:p>
            <w:pPr>
              <w:pStyle w:val="Compact"/>
              <w:jc w:val="left"/>
            </w:pPr>
            <w:r>
              <w:t xml:space="preserve">6.30</w:t>
            </w:r>
          </w:p>
        </w:tc>
        <w:tc>
          <w:tcPr/>
          <w:p>
            <w:pPr>
              <w:pStyle w:val="Compact"/>
              <w:jc w:val="left"/>
            </w:pPr>
            <w:r>
              <w:t xml:space="preserve">5.81</w:t>
            </w:r>
          </w:p>
        </w:tc>
      </w:tr>
      <w:tr>
        <w:tc>
          <w:tcPr/>
          <w:p>
            <w:pPr>
              <w:pStyle w:val="Compact"/>
              <w:jc w:val="left"/>
            </w:pPr>
            <w:r>
              <w:t xml:space="preserve">Middle</w:t>
            </w:r>
          </w:p>
        </w:tc>
        <w:tc>
          <w:tcPr/>
          <w:p>
            <w:pPr>
              <w:pStyle w:val="Compact"/>
              <w:jc w:val="left"/>
            </w:pPr>
            <w:r>
              <w:t xml:space="preserve">0.69</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0.79</w:t>
            </w:r>
          </w:p>
        </w:tc>
        <w:tc>
          <w:tcPr/>
          <w:p>
            <w:pPr>
              <w:pStyle w:val="Compact"/>
              <w:jc w:val="left"/>
            </w:pPr>
            <w:r>
              <w:t xml:space="preserve">0.84</w:t>
            </w:r>
          </w:p>
        </w:tc>
        <w:tc>
          <w:tcPr/>
          <w:p>
            <w:pPr>
              <w:pStyle w:val="Compact"/>
              <w:jc w:val="left"/>
            </w:pPr>
            <w:r>
              <w:t xml:space="preserve">23.28</w:t>
            </w:r>
          </w:p>
        </w:tc>
        <w:tc>
          <w:tcPr/>
          <w:p>
            <w:pPr>
              <w:pStyle w:val="Compact"/>
              <w:jc w:val="left"/>
            </w:pPr>
            <w:r>
              <w:t xml:space="preserve">5.70</w:t>
            </w:r>
          </w:p>
        </w:tc>
        <w:tc>
          <w:tcPr/>
          <w:p>
            <w:pPr>
              <w:pStyle w:val="Compact"/>
              <w:jc w:val="left"/>
            </w:pPr>
            <w:r>
              <w:t xml:space="preserve">5.14</w:t>
            </w:r>
          </w:p>
        </w:tc>
      </w:tr>
      <w:tr>
        <w:tc>
          <w:tcPr/>
          <w:p>
            <w:pPr>
              <w:pStyle w:val="Compact"/>
              <w:jc w:val="left"/>
            </w:pPr>
            <w:r>
              <w:t xml:space="preserve">Fourth</w:t>
            </w:r>
          </w:p>
        </w:tc>
        <w:tc>
          <w:tcPr/>
          <w:p>
            <w:pPr>
              <w:pStyle w:val="Compact"/>
              <w:jc w:val="left"/>
            </w:pPr>
            <w:r>
              <w:t xml:space="preserve">0.66</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0.82</w:t>
            </w:r>
          </w:p>
        </w:tc>
        <w:tc>
          <w:tcPr/>
          <w:p>
            <w:pPr>
              <w:pStyle w:val="Compact"/>
              <w:jc w:val="left"/>
            </w:pPr>
            <w:r>
              <w:t xml:space="preserve">0.74</w:t>
            </w:r>
          </w:p>
        </w:tc>
        <w:tc>
          <w:tcPr/>
          <w:p>
            <w:pPr>
              <w:pStyle w:val="Compact"/>
              <w:jc w:val="left"/>
            </w:pPr>
            <w:r>
              <w:t xml:space="preserve">24.19</w:t>
            </w:r>
          </w:p>
        </w:tc>
        <w:tc>
          <w:tcPr/>
          <w:p>
            <w:pPr>
              <w:pStyle w:val="Compact"/>
              <w:jc w:val="left"/>
            </w:pPr>
            <w:r>
              <w:t xml:space="preserve">5.85</w:t>
            </w:r>
          </w:p>
        </w:tc>
        <w:tc>
          <w:tcPr/>
          <w:p>
            <w:pPr>
              <w:pStyle w:val="Compact"/>
              <w:jc w:val="left"/>
            </w:pPr>
            <w:r>
              <w:t xml:space="preserve">5.08</w:t>
            </w:r>
          </w:p>
        </w:tc>
      </w:tr>
      <w:tr>
        <w:tc>
          <w:tcPr/>
          <w:p>
            <w:pPr>
              <w:pStyle w:val="Compact"/>
              <w:jc w:val="left"/>
            </w:pPr>
            <w:r>
              <w:t xml:space="preserve">Highest</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0.91</w:t>
            </w:r>
          </w:p>
        </w:tc>
        <w:tc>
          <w:tcPr/>
          <w:p>
            <w:pPr>
              <w:pStyle w:val="Compact"/>
              <w:jc w:val="left"/>
            </w:pPr>
            <w:r>
              <w:t xml:space="preserve">0.88</w:t>
            </w:r>
          </w:p>
        </w:tc>
        <w:tc>
          <w:tcPr/>
          <w:p>
            <w:pPr>
              <w:pStyle w:val="Compact"/>
              <w:jc w:val="left"/>
            </w:pPr>
            <w:r>
              <w:t xml:space="preserve">0.58</w:t>
            </w:r>
          </w:p>
        </w:tc>
        <w:tc>
          <w:tcPr/>
          <w:p>
            <w:pPr>
              <w:pStyle w:val="Compact"/>
              <w:jc w:val="left"/>
            </w:pPr>
            <w:r>
              <w:t xml:space="preserve">18.46</w:t>
            </w:r>
          </w:p>
        </w:tc>
        <w:tc>
          <w:tcPr/>
          <w:p>
            <w:pPr>
              <w:pStyle w:val="Compact"/>
              <w:jc w:val="left"/>
            </w:pPr>
            <w:r>
              <w:t xml:space="preserve">4.21</w:t>
            </w:r>
          </w:p>
        </w:tc>
        <w:tc>
          <w:tcPr/>
          <w:p>
            <w:pPr>
              <w:pStyle w:val="Compact"/>
              <w:jc w:val="left"/>
            </w:pPr>
            <w:r>
              <w:t xml:space="preserve">4.79</w:t>
            </w:r>
          </w:p>
        </w:tc>
      </w:tr>
      <w:tr>
        <w:tc>
          <w:tcPr/>
          <w:p>
            <w:pPr>
              <w:pStyle w:val="Compact"/>
              <w:jc w:val="left"/>
            </w:pPr>
            <w:r>
              <w:rPr>
                <w:iCs/>
                <w:i/>
              </w:rPr>
              <w:t xml:space="preserve">Workforce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 workforce</w:t>
            </w:r>
          </w:p>
        </w:tc>
        <w:tc>
          <w:tcPr/>
          <w:p>
            <w:pPr>
              <w:pStyle w:val="Compact"/>
              <w:jc w:val="left"/>
            </w:pPr>
            <w:r>
              <w:t xml:space="preserve">0.77</w:t>
            </w:r>
          </w:p>
        </w:tc>
        <w:tc>
          <w:tcPr/>
          <w:p>
            <w:pPr>
              <w:pStyle w:val="Compact"/>
              <w:jc w:val="left"/>
            </w:pPr>
            <w:r>
              <w:t xml:space="preserve">0.59</w:t>
            </w:r>
          </w:p>
        </w:tc>
        <w:tc>
          <w:tcPr/>
          <w:p>
            <w:pPr>
              <w:pStyle w:val="Compact"/>
              <w:jc w:val="left"/>
            </w:pPr>
            <w:r>
              <w:t xml:space="preserve">0.95</w:t>
            </w:r>
          </w:p>
        </w:tc>
        <w:tc>
          <w:tcPr/>
          <w:p>
            <w:pPr>
              <w:pStyle w:val="Compact"/>
              <w:jc w:val="left"/>
            </w:pPr>
            <w:r>
              <w:t xml:space="preserve">0.79</w:t>
            </w:r>
          </w:p>
        </w:tc>
        <w:tc>
          <w:tcPr/>
          <w:p>
            <w:pPr>
              <w:pStyle w:val="Compact"/>
              <w:jc w:val="left"/>
            </w:pPr>
            <w:r>
              <w:t xml:space="preserve">0.73</w:t>
            </w:r>
          </w:p>
        </w:tc>
        <w:tc>
          <w:tcPr/>
          <w:p>
            <w:pPr>
              <w:pStyle w:val="Compact"/>
              <w:jc w:val="left"/>
            </w:pPr>
            <w:r>
              <w:t xml:space="preserve">23.23</w:t>
            </w:r>
          </w:p>
        </w:tc>
        <w:tc>
          <w:tcPr/>
          <w:p>
            <w:pPr>
              <w:pStyle w:val="Compact"/>
              <w:jc w:val="left"/>
            </w:pPr>
            <w:r>
              <w:t xml:space="preserve">5.78</w:t>
            </w:r>
          </w:p>
        </w:tc>
        <w:tc>
          <w:tcPr/>
          <w:p>
            <w:pPr>
              <w:pStyle w:val="Compact"/>
              <w:jc w:val="left"/>
            </w:pPr>
            <w:r>
              <w:t xml:space="preserve">5.23</w:t>
            </w:r>
          </w:p>
        </w:tc>
      </w:tr>
      <w:tr>
        <w:tc>
          <w:tcPr/>
          <w:p>
            <w:pPr>
              <w:pStyle w:val="Compact"/>
              <w:jc w:val="left"/>
            </w:pPr>
            <w:r>
              <w:t xml:space="preserve">Not in workforce</w:t>
            </w:r>
          </w:p>
        </w:tc>
        <w:tc>
          <w:tcPr/>
          <w:p>
            <w:pPr>
              <w:pStyle w:val="Compact"/>
              <w:jc w:val="left"/>
            </w:pPr>
            <w:r>
              <w:t xml:space="preserve">0.61</w:t>
            </w:r>
          </w:p>
        </w:tc>
        <w:tc>
          <w:tcPr/>
          <w:p>
            <w:pPr>
              <w:pStyle w:val="Compact"/>
              <w:jc w:val="left"/>
            </w:pPr>
            <w:r>
              <w:t xml:space="preserve">0.60</w:t>
            </w:r>
          </w:p>
        </w:tc>
        <w:tc>
          <w:tcPr/>
          <w:p>
            <w:pPr>
              <w:pStyle w:val="Compact"/>
              <w:jc w:val="left"/>
            </w:pPr>
            <w:r>
              <w:t xml:space="preserve">0.94</w:t>
            </w:r>
          </w:p>
        </w:tc>
        <w:tc>
          <w:tcPr/>
          <w:p>
            <w:pPr>
              <w:pStyle w:val="Compact"/>
              <w:jc w:val="left"/>
            </w:pPr>
            <w:r>
              <w:t xml:space="preserve">0.83</w:t>
            </w:r>
          </w:p>
        </w:tc>
        <w:tc>
          <w:tcPr/>
          <w:p>
            <w:pPr>
              <w:pStyle w:val="Compact"/>
              <w:jc w:val="left"/>
            </w:pPr>
            <w:r>
              <w:t xml:space="preserve">0.80</w:t>
            </w:r>
          </w:p>
        </w:tc>
        <w:tc>
          <w:tcPr/>
          <w:p>
            <w:pPr>
              <w:pStyle w:val="Compact"/>
              <w:jc w:val="left"/>
            </w:pPr>
            <w:r>
              <w:t xml:space="preserve">25.04</w:t>
            </w:r>
          </w:p>
        </w:tc>
        <w:tc>
          <w:tcPr/>
          <w:p>
            <w:pPr>
              <w:pStyle w:val="Compact"/>
              <w:jc w:val="left"/>
            </w:pPr>
            <w:r>
              <w:t xml:space="preserve">5.74</w:t>
            </w:r>
          </w:p>
        </w:tc>
        <w:tc>
          <w:tcPr/>
          <w:p>
            <w:pPr>
              <w:pStyle w:val="Compact"/>
              <w:jc w:val="left"/>
            </w:pPr>
            <w:r>
              <w:t xml:space="preserve">4.81</w:t>
            </w:r>
          </w:p>
        </w:tc>
      </w:tr>
      <w:tr>
        <w:tc>
          <w:tcPr/>
          <w:p>
            <w:pPr>
              <w:pStyle w:val="Compact"/>
              <w:jc w:val="left"/>
            </w:pPr>
            <w:r>
              <w:rPr>
                <w:iCs/>
                <w:i/>
              </w:rPr>
              <w:t xml:space="preserve">Regions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North Central</w:t>
            </w:r>
          </w:p>
        </w:tc>
        <w:tc>
          <w:tcPr/>
          <w:p>
            <w:pPr>
              <w:pStyle w:val="Compact"/>
              <w:jc w:val="left"/>
            </w:pPr>
            <w:r>
              <w:t xml:space="preserve">0.60</w:t>
            </w:r>
          </w:p>
        </w:tc>
        <w:tc>
          <w:tcPr/>
          <w:p>
            <w:pPr>
              <w:pStyle w:val="Compact"/>
              <w:jc w:val="left"/>
            </w:pPr>
            <w:r>
              <w:t xml:space="preserve">0.53</w:t>
            </w:r>
          </w:p>
        </w:tc>
        <w:tc>
          <w:tcPr/>
          <w:p>
            <w:pPr>
              <w:pStyle w:val="Compact"/>
              <w:jc w:val="left"/>
            </w:pPr>
            <w:r>
              <w:t xml:space="preserve">0.95</w:t>
            </w:r>
          </w:p>
        </w:tc>
        <w:tc>
          <w:tcPr/>
          <w:p>
            <w:pPr>
              <w:pStyle w:val="Compact"/>
              <w:jc w:val="left"/>
            </w:pPr>
            <w:r>
              <w:t xml:space="preserve">0.81</w:t>
            </w:r>
          </w:p>
        </w:tc>
        <w:tc>
          <w:tcPr/>
          <w:p>
            <w:pPr>
              <w:pStyle w:val="Compact"/>
              <w:jc w:val="left"/>
            </w:pPr>
            <w:r>
              <w:t xml:space="preserve">0.71</w:t>
            </w:r>
          </w:p>
        </w:tc>
        <w:tc>
          <w:tcPr/>
          <w:p>
            <w:pPr>
              <w:pStyle w:val="Compact"/>
              <w:jc w:val="left"/>
            </w:pPr>
            <w:r>
              <w:t xml:space="preserve">32.48</w:t>
            </w:r>
          </w:p>
        </w:tc>
        <w:tc>
          <w:tcPr/>
          <w:p>
            <w:pPr>
              <w:pStyle w:val="Compact"/>
              <w:jc w:val="left"/>
            </w:pPr>
            <w:r>
              <w:t xml:space="preserve">5.70</w:t>
            </w:r>
          </w:p>
        </w:tc>
        <w:tc>
          <w:tcPr/>
          <w:p>
            <w:pPr>
              <w:pStyle w:val="Compact"/>
              <w:jc w:val="left"/>
            </w:pPr>
            <w:r>
              <w:t xml:space="preserve">3.69</w:t>
            </w:r>
          </w:p>
        </w:tc>
      </w:tr>
      <w:tr>
        <w:tc>
          <w:tcPr/>
          <w:p>
            <w:pPr>
              <w:pStyle w:val="Compact"/>
              <w:jc w:val="left"/>
            </w:pPr>
            <w:r>
              <w:t xml:space="preserve">North East</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0.96</w:t>
            </w:r>
          </w:p>
        </w:tc>
        <w:tc>
          <w:tcPr/>
          <w:p>
            <w:pPr>
              <w:pStyle w:val="Compact"/>
              <w:jc w:val="left"/>
            </w:pPr>
            <w:r>
              <w:t xml:space="preserve">0.79</w:t>
            </w:r>
          </w:p>
        </w:tc>
        <w:tc>
          <w:tcPr/>
          <w:p>
            <w:pPr>
              <w:pStyle w:val="Compact"/>
              <w:jc w:val="left"/>
            </w:pPr>
            <w:r>
              <w:t xml:space="preserve">0.91</w:t>
            </w:r>
          </w:p>
        </w:tc>
        <w:tc>
          <w:tcPr/>
          <w:p>
            <w:pPr>
              <w:pStyle w:val="Compact"/>
              <w:jc w:val="left"/>
            </w:pPr>
            <w:r>
              <w:t xml:space="preserve">23.14</w:t>
            </w:r>
          </w:p>
        </w:tc>
        <w:tc>
          <w:tcPr/>
          <w:p>
            <w:pPr>
              <w:pStyle w:val="Compact"/>
              <w:jc w:val="left"/>
            </w:pPr>
            <w:r>
              <w:t xml:space="preserve">7.03</w:t>
            </w:r>
          </w:p>
        </w:tc>
        <w:tc>
          <w:tcPr/>
          <w:p>
            <w:pPr>
              <w:pStyle w:val="Compact"/>
              <w:jc w:val="left"/>
            </w:pPr>
            <w:r>
              <w:t xml:space="preserve">6.38</w:t>
            </w:r>
          </w:p>
        </w:tc>
      </w:tr>
      <w:tr>
        <w:tc>
          <w:tcPr/>
          <w:p>
            <w:pPr>
              <w:pStyle w:val="Compact"/>
              <w:jc w:val="left"/>
            </w:pPr>
            <w:r>
              <w:t xml:space="preserve">North West</w:t>
            </w:r>
          </w:p>
        </w:tc>
        <w:tc>
          <w:tcPr/>
          <w:p>
            <w:pPr>
              <w:pStyle w:val="Compact"/>
              <w:jc w:val="left"/>
            </w:pPr>
            <w:r>
              <w:t xml:space="preserve">0.87</w:t>
            </w:r>
          </w:p>
        </w:tc>
        <w:tc>
          <w:tcPr/>
          <w:p>
            <w:pPr>
              <w:pStyle w:val="Compact"/>
              <w:jc w:val="left"/>
            </w:pPr>
            <w:r>
              <w:t xml:space="preserve">0.59</w:t>
            </w:r>
          </w:p>
        </w:tc>
        <w:tc>
          <w:tcPr/>
          <w:p>
            <w:pPr>
              <w:pStyle w:val="Compact"/>
              <w:jc w:val="left"/>
            </w:pPr>
            <w:r>
              <w:t xml:space="preserve">0.95</w:t>
            </w:r>
          </w:p>
        </w:tc>
        <w:tc>
          <w:tcPr/>
          <w:p>
            <w:pPr>
              <w:pStyle w:val="Compact"/>
              <w:jc w:val="left"/>
            </w:pPr>
            <w:r>
              <w:t xml:space="preserve">0.78</w:t>
            </w:r>
          </w:p>
        </w:tc>
        <w:tc>
          <w:tcPr/>
          <w:p>
            <w:pPr>
              <w:pStyle w:val="Compact"/>
              <w:jc w:val="left"/>
            </w:pPr>
            <w:r>
              <w:t xml:space="preserve">0.93</w:t>
            </w:r>
          </w:p>
        </w:tc>
        <w:tc>
          <w:tcPr/>
          <w:p>
            <w:pPr>
              <w:pStyle w:val="Compact"/>
              <w:jc w:val="left"/>
            </w:pPr>
            <w:r>
              <w:t xml:space="preserve">18.66</w:t>
            </w:r>
          </w:p>
        </w:tc>
        <w:tc>
          <w:tcPr/>
          <w:p>
            <w:pPr>
              <w:pStyle w:val="Compact"/>
              <w:jc w:val="left"/>
            </w:pPr>
            <w:r>
              <w:t xml:space="preserve">6.69</w:t>
            </w:r>
          </w:p>
        </w:tc>
        <w:tc>
          <w:tcPr/>
          <w:p>
            <w:pPr>
              <w:pStyle w:val="Compact"/>
              <w:jc w:val="left"/>
            </w:pPr>
            <w:r>
              <w:t xml:space="preserve">7.53</w:t>
            </w:r>
          </w:p>
        </w:tc>
      </w:tr>
      <w:tr>
        <w:tc>
          <w:tcPr/>
          <w:p>
            <w:pPr>
              <w:pStyle w:val="Compact"/>
              <w:jc w:val="left"/>
            </w:pPr>
            <w:r>
              <w:t xml:space="preserve">South East</w:t>
            </w:r>
          </w:p>
        </w:tc>
        <w:tc>
          <w:tcPr/>
          <w:p>
            <w:pPr>
              <w:pStyle w:val="Compact"/>
              <w:jc w:val="left"/>
            </w:pPr>
            <w:r>
              <w:t xml:space="preserve">0.56</w:t>
            </w:r>
          </w:p>
        </w:tc>
        <w:tc>
          <w:tcPr/>
          <w:p>
            <w:pPr>
              <w:pStyle w:val="Compact"/>
              <w:jc w:val="left"/>
            </w:pPr>
            <w:r>
              <w:t xml:space="preserve">0.63</w:t>
            </w:r>
          </w:p>
        </w:tc>
        <w:tc>
          <w:tcPr/>
          <w:p>
            <w:pPr>
              <w:pStyle w:val="Compact"/>
              <w:jc w:val="left"/>
            </w:pPr>
            <w:r>
              <w:t xml:space="preserve">0.92</w:t>
            </w:r>
          </w:p>
        </w:tc>
        <w:tc>
          <w:tcPr/>
          <w:p>
            <w:pPr>
              <w:pStyle w:val="Compact"/>
              <w:jc w:val="left"/>
            </w:pPr>
            <w:r>
              <w:t xml:space="preserve">0.78</w:t>
            </w:r>
          </w:p>
        </w:tc>
        <w:tc>
          <w:tcPr/>
          <w:p>
            <w:pPr>
              <w:pStyle w:val="Compact"/>
              <w:jc w:val="left"/>
            </w:pPr>
            <w:r>
              <w:t xml:space="preserve">0.71</w:t>
            </w:r>
          </w:p>
        </w:tc>
        <w:tc>
          <w:tcPr/>
          <w:p>
            <w:pPr>
              <w:pStyle w:val="Compact"/>
              <w:jc w:val="left"/>
            </w:pPr>
            <w:r>
              <w:t xml:space="preserve">23.16</w:t>
            </w:r>
          </w:p>
        </w:tc>
        <w:tc>
          <w:tcPr/>
          <w:p>
            <w:pPr>
              <w:pStyle w:val="Compact"/>
              <w:jc w:val="left"/>
            </w:pPr>
            <w:r>
              <w:t xml:space="preserve">4.11</w:t>
            </w:r>
          </w:p>
        </w:tc>
        <w:tc>
          <w:tcPr/>
          <w:p>
            <w:pPr>
              <w:pStyle w:val="Compact"/>
              <w:jc w:val="left"/>
            </w:pPr>
            <w:r>
              <w:t xml:space="preserve">3.73</w:t>
            </w:r>
          </w:p>
        </w:tc>
      </w:tr>
      <w:tr>
        <w:tc>
          <w:tcPr/>
          <w:p>
            <w:pPr>
              <w:pStyle w:val="Compact"/>
              <w:jc w:val="left"/>
            </w:pPr>
            <w:r>
              <w:t xml:space="preserve">South South</w:t>
            </w:r>
          </w:p>
        </w:tc>
        <w:tc>
          <w:tcPr/>
          <w:p>
            <w:pPr>
              <w:pStyle w:val="Compact"/>
              <w:jc w:val="left"/>
            </w:pPr>
            <w:r>
              <w:t xml:space="preserve">0.63</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0.84</w:t>
            </w:r>
          </w:p>
        </w:tc>
        <w:tc>
          <w:tcPr/>
          <w:p>
            <w:pPr>
              <w:pStyle w:val="Compact"/>
              <w:jc w:val="left"/>
            </w:pPr>
            <w:r>
              <w:t xml:space="preserve">0.58</w:t>
            </w:r>
          </w:p>
        </w:tc>
        <w:tc>
          <w:tcPr/>
          <w:p>
            <w:pPr>
              <w:pStyle w:val="Compact"/>
              <w:jc w:val="left"/>
            </w:pPr>
            <w:r>
              <w:t xml:space="preserve">23.13</w:t>
            </w:r>
          </w:p>
        </w:tc>
        <w:tc>
          <w:tcPr/>
          <w:p>
            <w:pPr>
              <w:pStyle w:val="Compact"/>
              <w:jc w:val="left"/>
            </w:pPr>
            <w:r>
              <w:t xml:space="preserve">4.63</w:t>
            </w:r>
          </w:p>
        </w:tc>
        <w:tc>
          <w:tcPr/>
          <w:p>
            <w:pPr>
              <w:pStyle w:val="Compact"/>
              <w:jc w:val="left"/>
            </w:pPr>
            <w:r>
              <w:t xml:space="preserve">4.20</w:t>
            </w:r>
          </w:p>
        </w:tc>
      </w:tr>
      <w:tr>
        <w:tc>
          <w:tcPr/>
          <w:p>
            <w:pPr>
              <w:pStyle w:val="Compact"/>
              <w:jc w:val="left"/>
            </w:pPr>
            <w:r>
              <w:t xml:space="preserve">South West</w:t>
            </w:r>
          </w:p>
        </w:tc>
        <w:tc>
          <w:tcPr/>
          <w:p>
            <w:pPr>
              <w:pStyle w:val="Compact"/>
              <w:jc w:val="left"/>
            </w:pPr>
            <w:r>
              <w:t xml:space="preserve">0.56</w:t>
            </w:r>
          </w:p>
        </w:tc>
        <w:tc>
          <w:tcPr/>
          <w:p>
            <w:pPr>
              <w:pStyle w:val="Compact"/>
              <w:jc w:val="left"/>
            </w:pPr>
            <w:r>
              <w:t xml:space="preserve">0.65</w:t>
            </w:r>
          </w:p>
        </w:tc>
        <w:tc>
          <w:tcPr/>
          <w:p>
            <w:pPr>
              <w:pStyle w:val="Compact"/>
              <w:jc w:val="left"/>
            </w:pPr>
            <w:r>
              <w:t xml:space="preserve">0.92</w:t>
            </w:r>
          </w:p>
        </w:tc>
        <w:tc>
          <w:tcPr/>
          <w:p>
            <w:pPr>
              <w:pStyle w:val="Compact"/>
              <w:jc w:val="left"/>
            </w:pPr>
            <w:r>
              <w:t xml:space="preserve">1.00</w:t>
            </w:r>
          </w:p>
        </w:tc>
        <w:tc>
          <w:tcPr/>
          <w:p>
            <w:pPr>
              <w:pStyle w:val="Compact"/>
              <w:jc w:val="left"/>
            </w:pPr>
            <w:r>
              <w:t xml:space="preserve">0.49</w:t>
            </w:r>
          </w:p>
        </w:tc>
        <w:tc>
          <w:tcPr/>
          <w:p>
            <w:pPr>
              <w:pStyle w:val="Compact"/>
              <w:jc w:val="left"/>
            </w:pPr>
            <w:r>
              <w:t xml:space="preserve">25.20</w:t>
            </w:r>
          </w:p>
        </w:tc>
        <w:tc>
          <w:tcPr/>
          <w:p>
            <w:pPr>
              <w:pStyle w:val="Compact"/>
              <w:jc w:val="left"/>
            </w:pPr>
            <w:r>
              <w:t xml:space="preserve">4.12</w:t>
            </w:r>
          </w:p>
        </w:tc>
        <w:tc>
          <w:tcPr/>
          <w:p>
            <w:pPr>
              <w:pStyle w:val="Compact"/>
              <w:jc w:val="left"/>
            </w:pPr>
            <w:r>
              <w:t xml:space="preserve">3.43</w:t>
            </w:r>
          </w:p>
        </w:tc>
      </w:tr>
    </w:tbl>
    <w:p>
      <w:pPr>
        <w:pStyle w:val="BodyText"/>
      </w:pPr>
      <w:r>
        <w:t xml:space="preserve">This study also attempts to examine the effects of inputs into Nigeria’s family planning program on fertility reduction. The family planning effort index (FEPI) score increased between 1972 and 1999, then reduced through 2009, before increasing to 41% in 2014. The increase in FEPI to its all-time highest in 1999 corresponds to the lowest survey TFR recorded in Nigeria, 5.11 in 1999</w:t>
      </w:r>
      <w:r>
        <w:t xml:space="preserve"> </w:t>
      </w:r>
      <w:r>
        <w:t xml:space="preserve">[</w:t>
      </w:r>
      <w:hyperlink w:anchor="ref-nationalpopulationcommission2000">
        <w:r>
          <w:rPr>
            <w:rStyle w:val="Hyperlink"/>
          </w:rPr>
          <w:t xml:space="preserve">27</w:t>
        </w:r>
      </w:hyperlink>
      <w:r>
        <w:t xml:space="preserve">]</w:t>
      </w:r>
      <w:r>
        <w:t xml:space="preserve">. During this time, access to contraceptives was high at 70.3%, and evaluation of services rendered stood at 81.4% (see Supplementary Information). The FEPI has since been replaced by another measure, the National Composite Index on Family Planning, NCIFP (see Supplementary Information). The most recent NCIFP in 2017 assessed the strategy (score - 62.4%), data (65.5%), quality (62.0%), accountability (39.0%) and equity (58.0%) of family planning in Nigeria. On all measures, the scores in 2017 (composite index - 62.4%) were higher than those in 2014 (composite index - 49.5%).</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3427508"/>
                  <wp:effectExtent b="0" l="0" r="0" t="0"/>
                  <wp:docPr descr="" title="" id="34" name="Picture"/>
                  <a:graphic>
                    <a:graphicData uri="http://schemas.openxmlformats.org/drawingml/2006/picture">
                      <pic:pic>
                        <pic:nvPicPr>
                          <pic:cNvPr descr="figures/Figure%201.jpg" id="35" name="Picture"/>
                          <pic:cNvPicPr>
                            <a:picLocks noChangeArrowheads="1" noChangeAspect="1"/>
                          </pic:cNvPicPr>
                        </pic:nvPicPr>
                        <pic:blipFill>
                          <a:blip r:embed="rId33"/>
                          <a:stretch>
                            <a:fillRect/>
                          </a:stretch>
                        </pic:blipFill>
                        <pic:spPr bwMode="auto">
                          <a:xfrm>
                            <a:off x="0" y="0"/>
                            <a:ext cx="5943600" cy="3427508"/>
                          </a:xfrm>
                          <a:prstGeom prst="rect">
                            <a:avLst/>
                          </a:prstGeom>
                          <a:noFill/>
                          <a:ln w="9525">
                            <a:noFill/>
                            <a:headEnd/>
                            <a:tailEnd/>
                          </a:ln>
                        </pic:spPr>
                      </pic:pic>
                    </a:graphicData>
                  </a:graphic>
                </wp:inline>
              </w:drawing>
            </w:r>
          </w:p>
          <w:p>
            <w:pPr>
              <w:jc w:val="center"/>
            </w:pPr>
            <w:pPr>
              <w:jc w:val="start"/>
              <w:spacing w:before="200"/>
              <w:pStyle w:val="ImageCaption"/>
            </w:pPr>
            <w:r>
              <w:t xml:space="preserve">Nigeria Family Planning Effort Scores - This indicator is based on the aggregate of four dimensions of family planning effort (policies, services, evaluation, and method access). The raw scores were converted to percentages and are reported</w:t>
            </w:r>
          </w:p>
        </w:tc>
      </w:tr>
    </w:tbl>
    <w:p>
      <w:pPr>
        <w:pStyle w:val="BodyText"/>
      </w:pPr>
      <w:r>
        <w:t xml:space="preserve">Lastly, the study includes some outcome indicators. The state of planning for new births and incidence of births among the young and aged population are a reflection of policy priorities concerning reproductive options available to women.</w:t>
      </w:r>
      <w:r>
        <w:t xml:space="preserve"> </w:t>
      </w:r>
      <w:r>
        <w:t xml:space="preserve">[</w:t>
      </w:r>
      <w:hyperlink w:anchor="ref-johnson2011">
        <w:r>
          <w:rPr>
            <w:rStyle w:val="Hyperlink"/>
          </w:rPr>
          <w:t xml:space="preserve">21</w:t>
        </w:r>
      </w:hyperlink>
      <w:r>
        <w:t xml:space="preserve">]</w:t>
      </w:r>
      <w:r>
        <w:t xml:space="preserve">. Among 12.2% of women aged 15-49 years with at least one child, the most recent birth was planned i.e. they wanted to have their last child at the time. There has been no notable increase in the median birth interval. The percentage of births to women less than 18 years of age has steadily reduced from 8.9% in 2003 to 6.0% in 2018. Overall, after an initial increase between 2003 and 2008, the percentage of births to women older than 34 years has remained relatively unchanged.</w:t>
      </w:r>
    </w:p>
    <w:p>
      <w:pPr>
        <w:pStyle w:val="BodyText"/>
      </w:pPr>
      <w:r>
        <w:t xml:space="preserve">Table 6: Some Women Reproductive Options Outcomes Indicators</w:t>
      </w:r>
    </w:p>
    <w:tbl>
      <w:tblPr>
        <w:tblStyle w:val="Table"/>
        <w:tblW w:type="pct" w:w="5000"/>
        <w:tblLook w:firstRow="0" w:lastRow="0" w:firstColumn="0" w:lastColumn="0" w:noHBand="0" w:noVBand="0" w:val="0000"/>
        <w:jc w:val="start"/>
      </w:tblPr>
      <w:tblGrid>
        <w:gridCol w:w="1584"/>
        <w:gridCol w:w="1584"/>
        <w:gridCol w:w="1584"/>
        <w:gridCol w:w="1584"/>
        <w:gridCol w:w="1584"/>
      </w:tblGrid>
      <w:tr>
        <w:tc>
          <w:tcPr/>
          <w:p>
            <w:pPr>
              <w:pStyle w:val="Compact"/>
              <w:jc w:val="left"/>
            </w:pPr>
            <w:r>
              <w:rPr>
                <w:bCs/>
                <w:b/>
              </w:rPr>
              <w:t xml:space="preserve">Outcome Indicator</w:t>
            </w:r>
          </w:p>
        </w:tc>
        <w:tc>
          <w:tcPr/>
          <w:p>
            <w:pPr>
              <w:pStyle w:val="Compact"/>
              <w:jc w:val="left"/>
            </w:pPr>
            <w:r>
              <w:rPr>
                <w:bCs/>
                <w:b/>
              </w:rPr>
              <w:t xml:space="preserve">Year of Survey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rPr>
                <w:bCs/>
                <w:b/>
              </w:rPr>
              <w:t xml:space="preserve">2003</w:t>
            </w:r>
          </w:p>
        </w:tc>
        <w:tc>
          <w:tcPr/>
          <w:p>
            <w:pPr>
              <w:pStyle w:val="Compact"/>
              <w:jc w:val="left"/>
            </w:pPr>
            <w:r>
              <w:rPr>
                <w:bCs/>
                <w:b/>
              </w:rPr>
              <w:t xml:space="preserve">2008</w:t>
            </w:r>
          </w:p>
        </w:tc>
        <w:tc>
          <w:tcPr/>
          <w:p>
            <w:pPr>
              <w:pStyle w:val="Compact"/>
              <w:jc w:val="left"/>
            </w:pPr>
            <w:r>
              <w:rPr>
                <w:bCs/>
                <w:b/>
              </w:rPr>
              <w:t xml:space="preserve">2013</w:t>
            </w:r>
          </w:p>
        </w:tc>
        <w:tc>
          <w:tcPr/>
          <w:p>
            <w:pPr>
              <w:pStyle w:val="Compact"/>
              <w:jc w:val="left"/>
            </w:pPr>
            <w:r>
              <w:rPr>
                <w:bCs/>
                <w:b/>
              </w:rPr>
              <w:t xml:space="preserve">2018</w:t>
            </w:r>
          </w:p>
        </w:tc>
      </w:tr>
      <w:tr>
        <w:tc>
          <w:tcPr/>
          <w:p>
            <w:pPr>
              <w:pStyle w:val="Compact"/>
              <w:jc w:val="left"/>
            </w:pPr>
            <w:r>
              <w:t xml:space="preserve">Most recent birth was planned</w:t>
            </w:r>
          </w:p>
        </w:tc>
        <w:tc>
          <w:tcPr/>
          <w:p>
            <w:pPr>
              <w:pStyle w:val="Compact"/>
              <w:jc w:val="left"/>
            </w:pPr>
            <w:r>
              <w:t xml:space="preserve">16.7%</w:t>
            </w:r>
          </w:p>
        </w:tc>
        <w:tc>
          <w:tcPr/>
          <w:p>
            <w:pPr>
              <w:pStyle w:val="Compact"/>
              <w:jc w:val="left"/>
            </w:pPr>
            <w:r>
              <w:t xml:space="preserve">11.9%</w:t>
            </w:r>
          </w:p>
        </w:tc>
        <w:tc>
          <w:tcPr/>
          <w:p>
            <w:pPr>
              <w:pStyle w:val="Compact"/>
              <w:jc w:val="left"/>
            </w:pPr>
            <w:r>
              <w:t xml:space="preserve">9.8%</w:t>
            </w:r>
          </w:p>
        </w:tc>
        <w:tc>
          <w:tcPr/>
          <w:p>
            <w:pPr>
              <w:pStyle w:val="Compact"/>
              <w:jc w:val="left"/>
            </w:pPr>
            <w:r>
              <w:t xml:space="preserve">12.2%</w:t>
            </w:r>
          </w:p>
        </w:tc>
      </w:tr>
      <w:tr>
        <w:tc>
          <w:tcPr/>
          <w:p>
            <w:pPr>
              <w:pStyle w:val="Compact"/>
              <w:jc w:val="left"/>
            </w:pPr>
            <w:r>
              <w:t xml:space="preserve">Median birth intervals (months)</w:t>
            </w:r>
          </w:p>
        </w:tc>
        <w:tc>
          <w:tcPr/>
          <w:p>
            <w:pPr>
              <w:pStyle w:val="Compact"/>
              <w:jc w:val="left"/>
            </w:pPr>
            <w:r>
              <w:t xml:space="preserve">31.2</w:t>
            </w:r>
          </w:p>
        </w:tc>
        <w:tc>
          <w:tcPr/>
          <w:p>
            <w:pPr>
              <w:pStyle w:val="Compact"/>
              <w:jc w:val="left"/>
            </w:pPr>
            <w:r>
              <w:t xml:space="preserve">31.3</w:t>
            </w:r>
          </w:p>
        </w:tc>
        <w:tc>
          <w:tcPr/>
          <w:p>
            <w:pPr>
              <w:pStyle w:val="Compact"/>
              <w:jc w:val="left"/>
            </w:pPr>
            <w:r>
              <w:t xml:space="preserve">31.7</w:t>
            </w:r>
          </w:p>
        </w:tc>
        <w:tc>
          <w:tcPr/>
          <w:p>
            <w:pPr>
              <w:pStyle w:val="Compact"/>
              <w:jc w:val="left"/>
            </w:pPr>
            <w:r>
              <w:t xml:space="preserve">30.9</w:t>
            </w:r>
          </w:p>
        </w:tc>
      </w:tr>
      <w:tr>
        <w:tc>
          <w:tcPr/>
          <w:p>
            <w:pPr>
              <w:pStyle w:val="Compact"/>
              <w:jc w:val="left"/>
            </w:pPr>
            <w:r>
              <w:t xml:space="preserve">Births to women &lt;18 year</w:t>
            </w:r>
          </w:p>
        </w:tc>
        <w:tc>
          <w:tcPr/>
          <w:p>
            <w:pPr>
              <w:pStyle w:val="Compact"/>
              <w:jc w:val="left"/>
            </w:pPr>
            <w:r>
              <w:t xml:space="preserve">8.9%</w:t>
            </w:r>
          </w:p>
        </w:tc>
        <w:tc>
          <w:tcPr/>
          <w:p>
            <w:pPr>
              <w:pStyle w:val="Compact"/>
              <w:jc w:val="left"/>
            </w:pPr>
            <w:r>
              <w:t xml:space="preserve">7.3%</w:t>
            </w:r>
          </w:p>
        </w:tc>
        <w:tc>
          <w:tcPr/>
          <w:p>
            <w:pPr>
              <w:pStyle w:val="Compact"/>
              <w:jc w:val="left"/>
            </w:pPr>
            <w:r>
              <w:t xml:space="preserve">7.1%</w:t>
            </w:r>
          </w:p>
        </w:tc>
        <w:tc>
          <w:tcPr/>
          <w:p>
            <w:pPr>
              <w:pStyle w:val="Compact"/>
              <w:jc w:val="left"/>
            </w:pPr>
            <w:r>
              <w:t xml:space="preserve">6.0%</w:t>
            </w:r>
          </w:p>
        </w:tc>
      </w:tr>
      <w:tr>
        <w:tc>
          <w:tcPr/>
          <w:p>
            <w:pPr>
              <w:pStyle w:val="Compact"/>
              <w:jc w:val="left"/>
            </w:pPr>
            <w:r>
              <w:t xml:space="preserve">Births to women &gt;34 years</w:t>
            </w:r>
          </w:p>
        </w:tc>
        <w:tc>
          <w:tcPr/>
          <w:p>
            <w:pPr>
              <w:pStyle w:val="Compact"/>
              <w:jc w:val="left"/>
            </w:pPr>
            <w:r>
              <w:t xml:space="preserve">14.4%</w:t>
            </w:r>
          </w:p>
        </w:tc>
        <w:tc>
          <w:tcPr/>
          <w:p>
            <w:pPr>
              <w:pStyle w:val="Compact"/>
              <w:jc w:val="left"/>
            </w:pPr>
            <w:r>
              <w:t xml:space="preserve">15.3%</w:t>
            </w:r>
          </w:p>
        </w:tc>
        <w:tc>
          <w:tcPr/>
          <w:p>
            <w:pPr>
              <w:pStyle w:val="Compact"/>
              <w:jc w:val="left"/>
            </w:pPr>
            <w:r>
              <w:t xml:space="preserve">15.3%</w:t>
            </w:r>
          </w:p>
        </w:tc>
        <w:tc>
          <w:tcPr/>
          <w:p>
            <w:pPr>
              <w:pStyle w:val="Compact"/>
              <w:jc w:val="left"/>
            </w:pPr>
            <w:r>
              <w:t xml:space="preserve">15.0%</w:t>
            </w:r>
          </w:p>
        </w:tc>
      </w:tr>
    </w:tbl>
    <w:bookmarkEnd w:id="36"/>
    <w:bookmarkStart w:id="37" w:name="discussion"/>
    <w:p>
      <w:pPr>
        <w:pStyle w:val="Heading2"/>
      </w:pPr>
      <w:r>
        <w:t xml:space="preserve">2.5 Discussion</w:t>
      </w:r>
    </w:p>
    <w:p>
      <w:pPr>
        <w:pStyle w:val="FirstParagraph"/>
      </w:pPr>
      <w:r>
        <w:t xml:space="preserve">This study used the revised Bongaarts model to show contributions of biological and behavioural determinants of fertility in Nigeria, and the effects of selected socio-economic and geographical variables. Specifically, the results measured the effect of sexual exposure, use of contraception, post-partum infecundability, abortion and sterility on reducing a potential fertility level of 21 births per woman.</w:t>
      </w:r>
    </w:p>
    <w:p>
      <w:pPr>
        <w:pStyle w:val="BodyText"/>
      </w:pPr>
      <w:r>
        <w:t xml:space="preserve">Cultural and socio-economic differentials in the TFR trend exist and mean the decline has been uneven with a larger family size more desired in the north than the south</w:t>
      </w:r>
      <w:r>
        <w:t xml:space="preserve"> </w:t>
      </w:r>
      <w:r>
        <w:t xml:space="preserve">[</w:t>
      </w:r>
      <w:hyperlink w:anchor="ref-adebowale2019">
        <w:r>
          <w:rPr>
            <w:rStyle w:val="Hyperlink"/>
          </w:rPr>
          <w:t xml:space="preserve">28</w:t>
        </w:r>
      </w:hyperlink>
      <w:r>
        <w:t xml:space="preserve">]</w:t>
      </w:r>
      <w:r>
        <w:t xml:space="preserve">. A study in Kaduna State reported less than 20% of women wanted less than 5 children and 69% citing 5-14 children as ideal</w:t>
      </w:r>
      <w:r>
        <w:t xml:space="preserve"> </w:t>
      </w:r>
      <w:r>
        <w:t xml:space="preserve">[</w:t>
      </w:r>
      <w:hyperlink w:anchor="ref-adiri2010">
        <w:r>
          <w:rPr>
            <w:rStyle w:val="Hyperlink"/>
          </w:rPr>
          <w:t xml:space="preserve">29</w:t>
        </w:r>
      </w:hyperlink>
      <w:r>
        <w:t xml:space="preserve">]</w:t>
      </w:r>
      <w:r>
        <w:t xml:space="preserve">. This difference in fertility pattern can be attributed to early marriage prevalent in the Northern part of Nigeria</w:t>
      </w:r>
      <w:r>
        <w:t xml:space="preserve"> </w:t>
      </w:r>
      <w:r>
        <w:t xml:space="preserve">[</w:t>
      </w:r>
      <w:hyperlink w:anchor="ref-solanke2015">
        <w:r>
          <w:rPr>
            <w:rStyle w:val="Hyperlink"/>
          </w:rPr>
          <w:t xml:space="preserve">30</w:t>
        </w:r>
      </w:hyperlink>
      <w:r>
        <w:t xml:space="preserve">,</w:t>
      </w:r>
      <w:hyperlink w:anchor="ref-goldstone2018">
        <w:r>
          <w:rPr>
            <w:rStyle w:val="Hyperlink"/>
          </w:rPr>
          <w:t xml:space="preserve">31</w:t>
        </w:r>
      </w:hyperlink>
      <w:r>
        <w:t xml:space="preserve">]</w:t>
      </w:r>
      <w:r>
        <w:t xml:space="preserve">. In addition to the geographical disparity, there are considerable differences in rates among ethnic and socio-economic groups</w:t>
      </w:r>
      <w:r>
        <w:t xml:space="preserve"> </w:t>
      </w:r>
      <w:r>
        <w:t xml:space="preserve">[</w:t>
      </w:r>
      <w:hyperlink w:anchor="ref-mberu2014">
        <w:r>
          <w:rPr>
            <w:rStyle w:val="Hyperlink"/>
          </w:rPr>
          <w:t xml:space="preserve">32</w:t>
        </w:r>
      </w:hyperlink>
      <w:r>
        <w:t xml:space="preserve">]</w:t>
      </w:r>
      <w:r>
        <w:t xml:space="preserve">. TFR rates are lower among women who live in urban areas, women who have a secondary school education, and women who belong to households in higher or highest wealth quintiles</w:t>
      </w:r>
      <w:r>
        <w:t xml:space="preserve"> </w:t>
      </w:r>
      <w:r>
        <w:t xml:space="preserve">[</w:t>
      </w:r>
      <w:hyperlink w:anchor="ref-wusu2019">
        <w:r>
          <w:rPr>
            <w:rStyle w:val="Hyperlink"/>
          </w:rPr>
          <w:t xml:space="preserve">14</w:t>
        </w:r>
      </w:hyperlink>
      <w:r>
        <w:t xml:space="preserve">]</w:t>
      </w:r>
      <w:r>
        <w:t xml:space="preserve">.</w:t>
      </w:r>
    </w:p>
    <w:p>
      <w:pPr>
        <w:pStyle w:val="BodyText"/>
      </w:pPr>
      <w:r>
        <w:t xml:space="preserve">Our results showed that postpartum infecundability remained the strongest influential factor in reducing fertility from 2003 to 2018 . These results are similar to previous studies in Nigeria</w:t>
      </w:r>
      <w:r>
        <w:t xml:space="preserve"> </w:t>
      </w:r>
      <w:r>
        <w:t xml:space="preserve">[</w:t>
      </w:r>
      <w:hyperlink w:anchor="ref-chimere-dan1990">
        <w:r>
          <w:rPr>
            <w:rStyle w:val="Hyperlink"/>
          </w:rPr>
          <w:t xml:space="preserve">12</w:t>
        </w:r>
      </w:hyperlink>
      <w:r>
        <w:t xml:space="preserve">,</w:t>
      </w:r>
      <w:hyperlink w:anchor="ref-jolly1993">
        <w:r>
          <w:rPr>
            <w:rStyle w:val="Hyperlink"/>
          </w:rPr>
          <w:t xml:space="preserve">13</w:t>
        </w:r>
      </w:hyperlink>
      <w:r>
        <w:t xml:space="preserve">]</w:t>
      </w:r>
      <w:r>
        <w:t xml:space="preserve">.</w:t>
      </w:r>
    </w:p>
    <w:p>
      <w:pPr>
        <w:pStyle w:val="BodyText"/>
      </w:pPr>
      <w:r>
        <w:t xml:space="preserve">Analysis on the effect of education, geographical location (residence and region), workforce cadre and wealth quintile showed that high income earning women who were more educated and resided in urban regions were least affected by postpartum infecundability in comparison with the rural, poor and less educated women. This may be correlated with shorter durations of breastfeeding probably due to the intense work schedules common in urban areas which in turn lead to reduced period of postpartum amenorrhea. This is similar to analysis on the World Fertility Survey and Demographic and Health Survey by Chola and Michelo</w:t>
      </w:r>
      <w:r>
        <w:t xml:space="preserve"> </w:t>
      </w:r>
      <w:r>
        <w:t xml:space="preserve">[</w:t>
      </w:r>
      <w:hyperlink w:anchor="ref-chola2016">
        <w:r>
          <w:rPr>
            <w:rStyle w:val="Hyperlink"/>
          </w:rPr>
          <w:t xml:space="preserve">10</w:t>
        </w:r>
      </w:hyperlink>
      <w:r>
        <w:t xml:space="preserve">]</w:t>
      </w:r>
      <w:r>
        <w:t xml:space="preserve">.</w:t>
      </w:r>
    </w:p>
    <w:p>
      <w:pPr>
        <w:pStyle w:val="BodyText"/>
      </w:pPr>
      <w:r>
        <w:t xml:space="preserve">Findings from a study conducted among the major Nigerian ethnic groups - Igbo, Yoruba and Hausa</w:t>
      </w:r>
      <w:r>
        <w:t xml:space="preserve"> </w:t>
      </w:r>
      <w:r>
        <w:t xml:space="preserve">[</w:t>
      </w:r>
      <w:hyperlink w:anchor="ref-asa2018">
        <w:r>
          <w:rPr>
            <w:rStyle w:val="Hyperlink"/>
          </w:rPr>
          <w:t xml:space="preserve">33</w:t>
        </w:r>
      </w:hyperlink>
      <w:r>
        <w:t xml:space="preserve">]</w:t>
      </w:r>
      <w:r>
        <w:t xml:space="preserve"> </w:t>
      </w:r>
      <w:r>
        <w:t xml:space="preserve">using the original Bongartz’s model, suggested that the main fertility-inhibiting variables among the Igbos were marriage</w:t>
      </w:r>
      <w:r>
        <w:t xml:space="preserve"> </w:t>
      </w:r>
      <w:r>
        <w:t xml:space="preserve">[</w:t>
      </w:r>
      <w:hyperlink w:anchor="ref-odimegwu1996">
        <w:r>
          <w:rPr>
            <w:rStyle w:val="Hyperlink"/>
          </w:rPr>
          <w:t xml:space="preserve">11</w:t>
        </w:r>
      </w:hyperlink>
      <w:r>
        <w:t xml:space="preserve">]</w:t>
      </w:r>
      <w:r>
        <w:t xml:space="preserve"> </w:t>
      </w:r>
      <w:r>
        <w:t xml:space="preserve">(due to delayed marriage evident in this region), contraception use, and post-partum infecundability due to post-partum amenorrhea</w:t>
      </w:r>
      <w:r>
        <w:t xml:space="preserve"> </w:t>
      </w:r>
      <w:r>
        <w:t xml:space="preserve">[</w:t>
      </w:r>
      <w:hyperlink w:anchor="ref-odimegwu1996">
        <w:r>
          <w:rPr>
            <w:rStyle w:val="Hyperlink"/>
          </w:rPr>
          <w:t xml:space="preserve">11</w:t>
        </w:r>
      </w:hyperlink>
      <w:r>
        <w:t xml:space="preserve">]</w:t>
      </w:r>
      <w:r>
        <w:t xml:space="preserve">. This is similar to our results, as the region predominantly occupied by Igbos i.e. South-East had similar patterns from 2003-2018 – with delayed sexual exposure having the most fertility inhibiting effect probably due to the prevalent system of late marriage in this region.</w:t>
      </w:r>
    </w:p>
    <w:p>
      <w:pPr>
        <w:pStyle w:val="BodyText"/>
      </w:pPr>
      <w:r>
        <w:t xml:space="preserve">In contrast, although in the afore-mentioned study, post-partum infecundability was the main fertility inhibiting variable among the Yoruba and Hausa ethnic groups, followed by the marriage index and contraceptive use - having an effect among Yorubas only</w:t>
      </w:r>
      <w:r>
        <w:t xml:space="preserve"> </w:t>
      </w:r>
      <w:r>
        <w:t xml:space="preserve">[</w:t>
      </w:r>
      <w:hyperlink w:anchor="ref-odimegwu1996">
        <w:r>
          <w:rPr>
            <w:rStyle w:val="Hyperlink"/>
          </w:rPr>
          <w:t xml:space="preserve">11</w:t>
        </w:r>
      </w:hyperlink>
      <w:r>
        <w:t xml:space="preserve">]</w:t>
      </w:r>
      <w:r>
        <w:t xml:space="preserve">. The use of contraception, post-partum infecundablity and sexual exposure respectively reduced fertility effectively from 2013-2018 which maybe as a result of increased level of education and probable awareness of different contraception methods in this region</w:t>
      </w:r>
      <w:r>
        <w:t xml:space="preserve"> </w:t>
      </w:r>
      <w:r>
        <w:t xml:space="preserve">[</w:t>
      </w:r>
      <w:hyperlink w:anchor="ref-dev2019">
        <w:r>
          <w:rPr>
            <w:rStyle w:val="Hyperlink"/>
          </w:rPr>
          <w:t xml:space="preserve">34</w:t>
        </w:r>
      </w:hyperlink>
      <w:r>
        <w:t xml:space="preserve">]</w:t>
      </w:r>
      <w:r>
        <w:t xml:space="preserve"> </w:t>
      </w:r>
      <w:r>
        <w:t xml:space="preserve">This suggests that the most effective proximate determinants vary with location and ethnic classification. Hence, attempts to make uniform policies for fertility reduction and other health-related issues should consider the differences in social and cultural background of Nigeria.</w:t>
      </w:r>
    </w:p>
    <w:p>
      <w:pPr>
        <w:pStyle w:val="BodyText"/>
      </w:pPr>
      <w:r>
        <w:t xml:space="preserve">The results also showed that sexual exposure was the second most influential factor in reducing fertility especially in the Southern region of Nigeria. This could be attributed to the considerably high effectiveness of contraception among sexually exposed women in this region with about 77% of the contraceptives proven effective from 2003 to 2018 which coincides with findings from Dev et al., (2016). The most common modern methods included the male condoms (18.9%), implants (17.4%) and injectables (17.0%). This suggests that family planning methods targeted at sexually exposed women may have a huge impact on fertility reduction.</w:t>
      </w:r>
    </w:p>
    <w:p>
      <w:pPr>
        <w:pStyle w:val="BodyText"/>
      </w:pPr>
      <w:r>
        <w:t xml:space="preserve">The proportion of births inhibited because of contraception is higher in 2003 (32%) when compared to what was seen in 2018 (30%). This difference in the inhibition of fertility could be explained by the differences in the number of sexually exposed women which was 70.2% in 2003 and 68.2% in 2018.</w:t>
      </w:r>
    </w:p>
    <w:p>
      <w:pPr>
        <w:pStyle w:val="BodyText"/>
      </w:pPr>
      <w:r>
        <w:t xml:space="preserve">In our current study, sterility played the third role in reducing fertility. In 2003, it accounted for 19% in decreasing fertility and by 2018, it slightly increased to 20%.</w:t>
      </w:r>
    </w:p>
    <w:p>
      <w:pPr>
        <w:pStyle w:val="BodyText"/>
      </w:pPr>
      <w:r>
        <w:t xml:space="preserve">Variation in education levels, wealth quintile, being a member of the workforce, region and place of residence, among the study participants between the regions could have brought changes in awareness which in turn influenced the index of contraception as noted in our results. In this study, contraception use had a higher impact among women with higher education who lived in urban regions and belonged to the highest wealth quintile. This is because women who are in the afore- mentioned category tend to delay marriage and are more likely to use modern methods of contraception</w:t>
      </w:r>
      <w:r>
        <w:t xml:space="preserve"> </w:t>
      </w:r>
      <w:r>
        <w:t xml:space="preserve">[</w:t>
      </w:r>
      <w:hyperlink w:anchor="ref-unpopulationdivision2002">
        <w:r>
          <w:rPr>
            <w:rStyle w:val="Hyperlink"/>
          </w:rPr>
          <w:t xml:space="preserve">35</w:t>
        </w:r>
      </w:hyperlink>
      <w:r>
        <w:t xml:space="preserve">]</w:t>
      </w:r>
      <w:r>
        <w:t xml:space="preserve">.</w:t>
      </w:r>
    </w:p>
    <w:p>
      <w:pPr>
        <w:pStyle w:val="BodyText"/>
      </w:pPr>
      <w:r>
        <w:t xml:space="preserve">Contrary to most studies on fertility determinants in Sub-Saharan Africa</w:t>
      </w:r>
      <w:r>
        <w:t xml:space="preserve"> </w:t>
      </w:r>
      <w:r>
        <w:t xml:space="preserve">[</w:t>
      </w:r>
      <w:hyperlink w:anchor="ref-chola2016">
        <w:r>
          <w:rPr>
            <w:rStyle w:val="Hyperlink"/>
          </w:rPr>
          <w:t xml:space="preserve">10</w:t>
        </w:r>
      </w:hyperlink>
      <w:r>
        <w:t xml:space="preserve">]</w:t>
      </w:r>
      <w:r>
        <w:t xml:space="preserve">;</w:t>
      </w:r>
      <w:r>
        <w:t xml:space="preserve"> </w:t>
      </w:r>
      <w:r>
        <w:t xml:space="preserve">[</w:t>
      </w:r>
      <w:hyperlink w:anchor="ref-rutaremwa2015">
        <w:r>
          <w:rPr>
            <w:rStyle w:val="Hyperlink"/>
          </w:rPr>
          <w:t xml:space="preserve">36</w:t>
        </w:r>
      </w:hyperlink>
      <w:r>
        <w:t xml:space="preserve">]</w:t>
      </w:r>
      <w:r>
        <w:t xml:space="preserve">], measurement of abortion was possible in this study. Induced abortion had a limited effect in reducing fertility accounting for only 6% in fertility reduction from 2003-2018. This maybe because induced abortion is illegal in Nigeria except when performed to save a woman’s life</w:t>
      </w:r>
      <w:r>
        <w:t xml:space="preserve"> </w:t>
      </w:r>
      <w:r>
        <w:t xml:space="preserve">[</w:t>
      </w:r>
      <w:hyperlink w:anchor="ref-bankole2015">
        <w:r>
          <w:rPr>
            <w:rStyle w:val="Hyperlink"/>
          </w:rPr>
          <w:t xml:space="preserve">17</w:t>
        </w:r>
      </w:hyperlink>
      <w:r>
        <w:t xml:space="preserve">]</w:t>
      </w:r>
      <w:r>
        <w:t xml:space="preserve">. In our study, the inhibitory effect was more evident in women who are highly educated, live in urban areas, belong to the workforce and live in urban areas probably due to increased educational attainment and access to certain facilities. The illegal status and the availability of induced abortion have highly influenced the impact of the abortion variable on fertility in Nigeria. The South-South rank second in the proportions of women using any contraceptive method (29%)</w:t>
      </w:r>
      <w:r>
        <w:t xml:space="preserve"> </w:t>
      </w:r>
      <w:r>
        <w:t xml:space="preserve">[</w:t>
      </w:r>
      <w:hyperlink w:anchor="ref-bankole2015">
        <w:r>
          <w:rPr>
            <w:rStyle w:val="Hyperlink"/>
          </w:rPr>
          <w:t xml:space="preserve">17</w:t>
        </w:r>
      </w:hyperlink>
      <w:r>
        <w:t xml:space="preserve">]</w:t>
      </w:r>
      <w:r>
        <w:t xml:space="preserve"> </w:t>
      </w:r>
      <w:r>
        <w:t xml:space="preserve">and any modern method (18%), it also has the second highest level of unmet need (18%)</w:t>
      </w:r>
      <w:r>
        <w:t xml:space="preserve"> </w:t>
      </w:r>
      <w:r>
        <w:t xml:space="preserve">[</w:t>
      </w:r>
      <w:hyperlink w:anchor="ref-bankole2015">
        <w:r>
          <w:rPr>
            <w:rStyle w:val="Hyperlink"/>
          </w:rPr>
          <w:t xml:space="preserve">17</w:t>
        </w:r>
      </w:hyperlink>
      <w:r>
        <w:t xml:space="preserve">]</w:t>
      </w:r>
      <w:r>
        <w:t xml:space="preserve">. Compared with women in other regions, those in the South-South may be relying on abortion to a greater degree, and on contraception to a lesser degree, to achieve the smaller families they desire Hence, the high inhibitory effect of abortion noted in this region.</w:t>
      </w:r>
    </w:p>
    <w:p>
      <w:pPr>
        <w:pStyle w:val="BodyText"/>
      </w:pPr>
      <w:r>
        <w:t xml:space="preserve">The most recent index for FEPI and NCIFP indicate that the program efforts have increased only slightly. The decline noted in the 2009 FEPI scores could be attributed to poor record of actual access to contraceptive methods for most of the population</w:t>
      </w:r>
      <w:r>
        <w:t xml:space="preserve"> </w:t>
      </w:r>
      <w:r>
        <w:t xml:space="preserve">[</w:t>
      </w:r>
      <w:hyperlink w:anchor="ref-ross2012">
        <w:r>
          <w:rPr>
            <w:rStyle w:val="Hyperlink"/>
          </w:rPr>
          <w:t xml:space="preserve">37</w:t>
        </w:r>
      </w:hyperlink>
      <w:r>
        <w:t xml:space="preserve">]</w:t>
      </w:r>
      <w:r>
        <w:t xml:space="preserve">. However, by 2014, the scores improved (see Supplementary Information). Three out of four components had high scores, with The Policies component improving the most</w:t>
      </w:r>
      <w:r>
        <w:t xml:space="preserve"> </w:t>
      </w:r>
      <w:r>
        <w:t xml:space="preserve">[</w:t>
      </w:r>
      <w:hyperlink w:anchor="ref-avenirhealth2016">
        <w:r>
          <w:rPr>
            <w:rStyle w:val="Hyperlink"/>
          </w:rPr>
          <w:t xml:space="preserve">38</w:t>
        </w:r>
      </w:hyperlink>
      <w:r>
        <w:t xml:space="preserve">]</w:t>
      </w:r>
      <w:r>
        <w:t xml:space="preserve">. These scores simply imply that Nigeria ought to gear much of her efforts on creating mechanisms at the national, subnational, and facility level to monitor access to voluntary, non-discriminatory Family Planning information and services. Additionally, ensure equity of services to all members of interested population</w:t>
      </w:r>
      <w:r>
        <w:t xml:space="preserve"> </w:t>
      </w:r>
      <w:r>
        <w:t xml:space="preserve">[</w:t>
      </w:r>
      <w:hyperlink w:anchor="ref-avenirhealth2016">
        <w:r>
          <w:rPr>
            <w:rStyle w:val="Hyperlink"/>
          </w:rPr>
          <w:t xml:space="preserve">38</w:t>
        </w:r>
      </w:hyperlink>
      <w:r>
        <w:t xml:space="preserve">]</w:t>
      </w:r>
      <w:r>
        <w:t xml:space="preserve">.</w:t>
      </w:r>
    </w:p>
    <w:p>
      <w:pPr>
        <w:pStyle w:val="BodyText"/>
      </w:pPr>
      <w:r>
        <w:t xml:space="preserve">Our findings showed that the median birth interval remained fairly constant at less than 2 years (&gt; 34 months) from 2003 to 2018. This is against the recommended 3 to 5 year interval [ref].</w:t>
      </w:r>
    </w:p>
    <w:bookmarkEnd w:id="37"/>
    <w:bookmarkStart w:id="38" w:name="conclusion"/>
    <w:p>
      <w:pPr>
        <w:pStyle w:val="Heading2"/>
      </w:pPr>
      <w:r>
        <w:t xml:space="preserve">2.6 Conclusion</w:t>
      </w:r>
    </w:p>
    <w:p>
      <w:pPr>
        <w:pStyle w:val="FirstParagraph"/>
      </w:pPr>
      <w:r>
        <w:t xml:space="preserve">From our study, it was discovered that among the four proximate determinants of fertility, postpartum infecundability played an important role in influencing fertility. It had the highest fertility inhibiting effect accounting for about 34% fertility reduction. The index of sexual exposure in 2003, 2008 and 2013 played an important role in inhibiting fertility. Contraception use had a higher impact among women with higher education and wealth quintile.</w:t>
      </w:r>
    </w:p>
    <w:p>
      <w:pPr>
        <w:pStyle w:val="BodyText"/>
      </w:pPr>
      <w:r>
        <w:t xml:space="preserve">Therefore, the Federal Government of Nigeria and developing partners need to design effective strategies to increase contraceptive use across the country. State-specific policies needs to be developed to address fertility levels across Nigeria. Increasing access to family planning information, services, and methods is essential. Providing high quality family planning services, commodities to support those services, and communication and messaging around family planning all require financial resources. It is critical that enough funds are provided to support these efforts.</w:t>
      </w:r>
    </w:p>
    <w:p>
      <w:pPr>
        <w:pStyle w:val="BodyText"/>
      </w:pPr>
      <w:r>
        <w:t xml:space="preserve">These approaches ought to be specific to the different geopolitical zones since There are varying behavioural and proximate determinants unique to these regions. The table below shows top three recommended strategies for each zone based on findings from our study.</w:t>
      </w:r>
    </w:p>
    <w:p>
      <w:pPr>
        <w:pStyle w:val="BodyText"/>
      </w:pPr>
      <w:r>
        <w:t xml:space="preserve">Table 7: Top three recommended strategies for fertility reduction in Nigeria’s geopolitical zones</w:t>
      </w:r>
    </w:p>
    <w:tbl>
      <w:tblPr>
        <w:tblStyle w:val="Table"/>
        <w:tblW w:type="pct" w:w="5000"/>
        <w:tblLook w:firstRow="0" w:lastRow="0" w:firstColumn="0" w:lastColumn="0" w:noHBand="0" w:noVBand="0" w:val="0000"/>
        <w:jc w:val="start"/>
      </w:tblPr>
      <w:tblGrid>
        <w:gridCol w:w="1870"/>
        <w:gridCol w:w="2310"/>
        <w:gridCol w:w="1870"/>
        <w:gridCol w:w="1870"/>
      </w:tblGrid>
      <w:tr>
        <w:tc>
          <w:tcPr/>
          <w:p>
            <w:pPr>
              <w:pStyle w:val="Compact"/>
              <w:jc w:val="left"/>
            </w:pPr>
            <w:r>
              <w:rPr>
                <w:bCs/>
                <w:b/>
              </w:rPr>
              <w:t xml:space="preserve">Geographical Region</w:t>
            </w:r>
          </w:p>
        </w:tc>
        <w:tc>
          <w:tcPr/>
          <w:p>
            <w:pPr>
              <w:pStyle w:val="Compact"/>
              <w:jc w:val="left"/>
            </w:pPr>
            <w:r>
              <w:rPr>
                <w:bCs/>
                <w:b/>
              </w:rPr>
              <w:t xml:space="preserve">First Suggested Strategy</w:t>
            </w:r>
          </w:p>
        </w:tc>
        <w:tc>
          <w:tcPr/>
          <w:p>
            <w:pPr>
              <w:pStyle w:val="Compact"/>
              <w:jc w:val="left"/>
            </w:pPr>
            <w:r>
              <w:rPr>
                <w:bCs/>
                <w:b/>
              </w:rPr>
              <w:t xml:space="preserve">Second Suggested Strategy</w:t>
            </w:r>
          </w:p>
        </w:tc>
        <w:tc>
          <w:tcPr/>
          <w:p>
            <w:pPr>
              <w:pStyle w:val="Compact"/>
              <w:jc w:val="left"/>
            </w:pPr>
            <w:r>
              <w:rPr>
                <w:bCs/>
                <w:b/>
              </w:rPr>
              <w:t xml:space="preserve">Third Suggested Strategy</w:t>
            </w:r>
          </w:p>
        </w:tc>
      </w:tr>
      <w:tr>
        <w:tc>
          <w:tcPr/>
          <w:p>
            <w:pPr>
              <w:pStyle w:val="Compact"/>
              <w:jc w:val="left"/>
            </w:pPr>
            <w:r>
              <w:t xml:space="preserve">North-Central</w:t>
            </w:r>
          </w:p>
        </w:tc>
        <w:tc>
          <w:tcPr/>
          <w:p>
            <w:pPr>
              <w:pStyle w:val="Compact"/>
              <w:jc w:val="left"/>
            </w:pPr>
            <w:r>
              <w:t xml:space="preserve">Heightened awareness and sponsorship on the use of Contraception</w:t>
            </w:r>
          </w:p>
        </w:tc>
        <w:tc>
          <w:tcPr/>
          <w:p>
            <w:pPr>
              <w:pStyle w:val="Compact"/>
              <w:jc w:val="left"/>
            </w:pPr>
            <w:r>
              <w:t xml:space="preserve">Advocacy for delayed sexual exposure through eradication of child marriage prevalent in this region</w:t>
            </w:r>
          </w:p>
        </w:tc>
        <w:tc>
          <w:tcPr/>
          <w:p>
            <w:pPr>
              <w:pStyle w:val="Compact"/>
              <w:jc w:val="left"/>
            </w:pPr>
            <w:r>
              <w:t xml:space="preserve">Enhanced education on the importance of breastfeeding as a family planning method especially among women in rural regions</w:t>
            </w:r>
          </w:p>
        </w:tc>
      </w:tr>
      <w:tr>
        <w:tc>
          <w:tcPr/>
          <w:p>
            <w:pPr>
              <w:pStyle w:val="Compact"/>
              <w:jc w:val="left"/>
            </w:pPr>
            <w:r>
              <w:t xml:space="preserve">North-East</w:t>
            </w:r>
          </w:p>
        </w:tc>
        <w:tc>
          <w:tcPr/>
          <w:p>
            <w:pPr>
              <w:pStyle w:val="Compact"/>
              <w:jc w:val="left"/>
            </w:pPr>
            <w:r>
              <w:t xml:space="preserve">Heightened awareness and sponsorship on the use of Contraception</w:t>
            </w:r>
          </w:p>
        </w:tc>
        <w:tc>
          <w:tcPr/>
          <w:p>
            <w:pPr>
              <w:pStyle w:val="Compact"/>
              <w:jc w:val="left"/>
            </w:pPr>
            <w:r>
              <w:t xml:space="preserve">Advocacy for delayed sexual exposure through eradication of child marriage prevalent in this region</w:t>
            </w:r>
          </w:p>
        </w:tc>
        <w:tc>
          <w:tcPr/>
          <w:p>
            <w:pPr>
              <w:pStyle w:val="Compact"/>
              <w:jc w:val="left"/>
            </w:pPr>
            <w:r>
              <w:t xml:space="preserve">Enhanced education on the importance of breastfeeding as a family planning method especially among women in rural regions</w:t>
            </w:r>
          </w:p>
        </w:tc>
      </w:tr>
      <w:tr>
        <w:tc>
          <w:tcPr/>
          <w:p>
            <w:pPr>
              <w:pStyle w:val="Compact"/>
              <w:jc w:val="left"/>
            </w:pPr>
            <w:r>
              <w:t xml:space="preserve">North-West</w:t>
            </w:r>
          </w:p>
        </w:tc>
        <w:tc>
          <w:tcPr/>
          <w:p>
            <w:pPr>
              <w:pStyle w:val="Compact"/>
              <w:jc w:val="left"/>
            </w:pPr>
            <w:r>
              <w:t xml:space="preserve">Heightened awareness and sponsorship on the use of Contraception</w:t>
            </w:r>
          </w:p>
        </w:tc>
        <w:tc>
          <w:tcPr/>
          <w:p>
            <w:pPr>
              <w:pStyle w:val="Compact"/>
              <w:jc w:val="left"/>
            </w:pPr>
            <w:r>
              <w:t xml:space="preserve">Advocacy for delayed sexual exposure through eradication of child marriage prevalent in this region</w:t>
            </w:r>
          </w:p>
        </w:tc>
        <w:tc>
          <w:tcPr/>
          <w:p>
            <w:pPr>
              <w:pStyle w:val="Compact"/>
              <w:jc w:val="left"/>
            </w:pPr>
            <w:r>
              <w:t xml:space="preserve">Enhanced education on the importance of breastfeeding as a family planning method especially among women in rural regions</w:t>
            </w:r>
          </w:p>
        </w:tc>
      </w:tr>
      <w:tr>
        <w:tc>
          <w:tcPr/>
          <w:p>
            <w:pPr>
              <w:pStyle w:val="Compact"/>
              <w:jc w:val="left"/>
            </w:pPr>
            <w:r>
              <w:t xml:space="preserve">South-East</w:t>
            </w:r>
          </w:p>
        </w:tc>
        <w:tc>
          <w:tcPr/>
          <w:p>
            <w:pPr>
              <w:pStyle w:val="Compact"/>
              <w:jc w:val="left"/>
            </w:pPr>
            <w:r>
              <w:t xml:space="preserve">Enhanced education and promotion of the importance of breastfeeding as a family planning method especially among high income, educated women residing in urban regions.</w:t>
            </w:r>
          </w:p>
        </w:tc>
        <w:tc>
          <w:tcPr/>
          <w:p>
            <w:pPr>
              <w:pStyle w:val="Compact"/>
              <w:jc w:val="left"/>
            </w:pPr>
            <w:r>
              <w:t xml:space="preserve">Continued sponsorship and promotion Contraception use</w:t>
            </w:r>
          </w:p>
        </w:tc>
        <w:tc>
          <w:tcPr/>
          <w:p>
            <w:pPr>
              <w:pStyle w:val="Compact"/>
              <w:jc w:val="left"/>
            </w:pPr>
            <w:r>
              <w:t xml:space="preserve">Promotion of delayed Sexual exposure</w:t>
            </w:r>
          </w:p>
        </w:tc>
      </w:tr>
      <w:tr>
        <w:tc>
          <w:tcPr/>
          <w:p>
            <w:pPr>
              <w:pStyle w:val="Compact"/>
              <w:jc w:val="left"/>
            </w:pPr>
            <w:r>
              <w:t xml:space="preserve">South-South</w:t>
            </w:r>
          </w:p>
        </w:tc>
        <w:tc>
          <w:tcPr/>
          <w:p>
            <w:pPr>
              <w:pStyle w:val="Compact"/>
              <w:jc w:val="left"/>
            </w:pPr>
            <w:r>
              <w:t xml:space="preserve">Enhanced education and promotion of the importance of breastfeeding as a family planning method especially among high income, educated women residing in urban regions.</w:t>
            </w:r>
          </w:p>
        </w:tc>
        <w:tc>
          <w:tcPr/>
          <w:p>
            <w:pPr>
              <w:pStyle w:val="Compact"/>
              <w:jc w:val="left"/>
            </w:pPr>
            <w:r>
              <w:t xml:space="preserve">Promotion of delayed Sexual exposure</w:t>
            </w:r>
          </w:p>
        </w:tc>
        <w:tc>
          <w:tcPr/>
          <w:p>
            <w:pPr>
              <w:pStyle w:val="Compact"/>
              <w:jc w:val="left"/>
            </w:pPr>
            <w:r>
              <w:t xml:space="preserve">Continued sponsorship and promotion of the use of contraception</w:t>
            </w:r>
          </w:p>
        </w:tc>
      </w:tr>
      <w:tr>
        <w:tc>
          <w:tcPr/>
          <w:p>
            <w:pPr>
              <w:pStyle w:val="Compact"/>
              <w:jc w:val="left"/>
            </w:pPr>
            <w:r>
              <w:t xml:space="preserve">South-West</w:t>
            </w:r>
          </w:p>
        </w:tc>
        <w:tc>
          <w:tcPr/>
          <w:p>
            <w:pPr>
              <w:pStyle w:val="Compact"/>
              <w:jc w:val="left"/>
            </w:pPr>
            <w:r>
              <w:t xml:space="preserve">Enhanced education and promotion of the importance of breastfeeding as a family planning method especially among high income, educated women residing in urban regions.</w:t>
            </w:r>
          </w:p>
        </w:tc>
        <w:tc>
          <w:tcPr/>
          <w:p>
            <w:pPr>
              <w:pStyle w:val="Compact"/>
              <w:jc w:val="left"/>
            </w:pPr>
            <w:r>
              <w:t xml:space="preserve">Promotion of delayed Sexual exposure</w:t>
            </w:r>
          </w:p>
        </w:tc>
        <w:tc>
          <w:tcPr/>
          <w:p>
            <w:pPr>
              <w:pStyle w:val="Compact"/>
              <w:jc w:val="left"/>
            </w:pPr>
            <w:r>
              <w:t xml:space="preserve">Continued sponsorship and promotion of the use of contraception</w:t>
            </w:r>
          </w:p>
        </w:tc>
      </w:tr>
    </w:tbl>
    <w:bookmarkEnd w:id="38"/>
    <w:bookmarkEnd w:id="39"/>
    <w:bookmarkStart w:id="87" w:name="sec-references"/>
    <w:p>
      <w:pPr>
        <w:pStyle w:val="Heading1"/>
      </w:pPr>
      <w:r>
        <w:t xml:space="preserve">3. References</w:t>
      </w:r>
    </w:p>
    <w:bookmarkStart w:id="86" w:name="refs"/>
    <w:bookmarkStart w:id="40" w:name="ref-nationalpopulationcommission2004"/>
    <w:p>
      <w:pPr>
        <w:pStyle w:val="Bibliography"/>
      </w:pPr>
      <w:r>
        <w:t xml:space="preserve">1</w:t>
      </w:r>
      <w:r>
        <w:t xml:space="preserve"> </w:t>
      </w:r>
      <w:r>
        <w:t xml:space="preserve">	</w:t>
      </w:r>
      <w:r>
        <w:t xml:space="preserve">National Population Commission, ORC Macro. Nigeria</w:t>
      </w:r>
      <w:r>
        <w:t xml:space="preserve"> </w:t>
      </w:r>
      <w:r>
        <w:t xml:space="preserve">Demographic</w:t>
      </w:r>
      <w:r>
        <w:t xml:space="preserve"> </w:t>
      </w:r>
      <w:r>
        <w:t xml:space="preserve">and</w:t>
      </w:r>
      <w:r>
        <w:t xml:space="preserve"> </w:t>
      </w:r>
      <w:r>
        <w:t xml:space="preserve">Health Survey</w:t>
      </w:r>
      <w:r>
        <w:t xml:space="preserve"> </w:t>
      </w:r>
      <w:r>
        <w:t xml:space="preserve">2003. NPC; ORC Macro, 2004.</w:t>
      </w:r>
      <w:r>
        <w:t xml:space="preserve"> </w:t>
      </w:r>
    </w:p>
    <w:bookmarkEnd w:id="40"/>
    <w:bookmarkStart w:id="41" w:name="ref-nationalpopulationcommission2009"/>
    <w:p>
      <w:pPr>
        <w:pStyle w:val="Bibliography"/>
      </w:pPr>
      <w:r>
        <w:t xml:space="preserve">2</w:t>
      </w:r>
      <w:r>
        <w:t xml:space="preserve"> </w:t>
      </w:r>
      <w:r>
        <w:t xml:space="preserve">	</w:t>
      </w:r>
      <w:r>
        <w:t xml:space="preserve">National Population Commission, ICF International. Nigeria</w:t>
      </w:r>
      <w:r>
        <w:t xml:space="preserve"> </w:t>
      </w:r>
      <w:r>
        <w:t xml:space="preserve">Demographic</w:t>
      </w:r>
      <w:r>
        <w:t xml:space="preserve"> </w:t>
      </w:r>
      <w:r>
        <w:t xml:space="preserve">and</w:t>
      </w:r>
      <w:r>
        <w:t xml:space="preserve"> </w:t>
      </w:r>
      <w:r>
        <w:t xml:space="preserve">Health Survey</w:t>
      </w:r>
      <w:r>
        <w:t xml:space="preserve"> </w:t>
      </w:r>
      <w:r>
        <w:t xml:space="preserve">2008. NPC; ICF International, 2009.</w:t>
      </w:r>
      <w:r>
        <w:t xml:space="preserve"> </w:t>
      </w:r>
    </w:p>
    <w:bookmarkEnd w:id="41"/>
    <w:bookmarkStart w:id="42" w:name="ref-nationalpopulationcommission2014"/>
    <w:p>
      <w:pPr>
        <w:pStyle w:val="Bibliography"/>
      </w:pPr>
      <w:r>
        <w:t xml:space="preserve">3</w:t>
      </w:r>
      <w:r>
        <w:t xml:space="preserve"> </w:t>
      </w:r>
      <w:r>
        <w:t xml:space="preserve">	</w:t>
      </w:r>
      <w:r>
        <w:t xml:space="preserve">National Population Commission, ICF International. Nigeria</w:t>
      </w:r>
      <w:r>
        <w:t xml:space="preserve"> </w:t>
      </w:r>
      <w:r>
        <w:t xml:space="preserve">Demographic</w:t>
      </w:r>
      <w:r>
        <w:t xml:space="preserve"> </w:t>
      </w:r>
      <w:r>
        <w:t xml:space="preserve">and</w:t>
      </w:r>
      <w:r>
        <w:t xml:space="preserve"> </w:t>
      </w:r>
      <w:r>
        <w:t xml:space="preserve">Health Survey</w:t>
      </w:r>
      <w:r>
        <w:t xml:space="preserve"> </w:t>
      </w:r>
      <w:r>
        <w:t xml:space="preserve">2013. NPC; ICF International, 2014.</w:t>
      </w:r>
      <w:r>
        <w:t xml:space="preserve"> </w:t>
      </w:r>
    </w:p>
    <w:bookmarkEnd w:id="42"/>
    <w:bookmarkStart w:id="43" w:name="ref-nationalpopulationcommission2019"/>
    <w:p>
      <w:pPr>
        <w:pStyle w:val="Bibliography"/>
      </w:pPr>
      <w:r>
        <w:t xml:space="preserve">4</w:t>
      </w:r>
      <w:r>
        <w:t xml:space="preserve"> </w:t>
      </w:r>
      <w:r>
        <w:t xml:space="preserve">	</w:t>
      </w:r>
      <w:r>
        <w:t xml:space="preserve">National Population Commission, ICF International. Nigeria</w:t>
      </w:r>
      <w:r>
        <w:t xml:space="preserve"> </w:t>
      </w:r>
      <w:r>
        <w:t xml:space="preserve">Demographic</w:t>
      </w:r>
      <w:r>
        <w:t xml:space="preserve"> </w:t>
      </w:r>
      <w:r>
        <w:t xml:space="preserve">and</w:t>
      </w:r>
      <w:r>
        <w:t xml:space="preserve"> </w:t>
      </w:r>
      <w:r>
        <w:t xml:space="preserve">Health Survey</w:t>
      </w:r>
      <w:r>
        <w:t xml:space="preserve"> </w:t>
      </w:r>
      <w:r>
        <w:t xml:space="preserve">2018. NPC; ICF International, 2019.</w:t>
      </w:r>
      <w:r>
        <w:t xml:space="preserve"> </w:t>
      </w:r>
    </w:p>
    <w:bookmarkEnd w:id="43"/>
    <w:bookmarkStart w:id="44" w:name="ref-laelago2019"/>
    <w:p>
      <w:pPr>
        <w:pStyle w:val="Bibliography"/>
      </w:pPr>
      <w:r>
        <w:t xml:space="preserve">5</w:t>
      </w:r>
      <w:r>
        <w:t xml:space="preserve"> </w:t>
      </w:r>
      <w:r>
        <w:t xml:space="preserve">	</w:t>
      </w:r>
      <w:r>
        <w:t xml:space="preserve">Laelago T, Habtu Y, Yohannes S. Proximate determinants of fertility in</w:t>
      </w:r>
      <w:r>
        <w:t xml:space="preserve"> </w:t>
      </w:r>
      <w:r>
        <w:t xml:space="preserve">Ethiopia</w:t>
      </w:r>
      <w:r>
        <w:t xml:space="preserve">; an application of revised</w:t>
      </w:r>
      <w:r>
        <w:t xml:space="preserve"> </w:t>
      </w:r>
      <w:r>
        <w:t xml:space="preserve">Bongaarts</w:t>
      </w:r>
      <w:r>
        <w:t xml:space="preserve"> </w:t>
      </w:r>
      <w:r>
        <w:t xml:space="preserve">model.</w:t>
      </w:r>
      <w:r>
        <w:t xml:space="preserve"> </w:t>
      </w:r>
      <w:r>
        <w:rPr>
          <w:iCs/>
          <w:i/>
        </w:rPr>
        <w:t xml:space="preserve">Reproductive health</w:t>
      </w:r>
      <w:r>
        <w:t xml:space="preserve"> </w:t>
      </w:r>
      <w:r>
        <w:t xml:space="preserve">2019;</w:t>
      </w:r>
      <w:r>
        <w:rPr>
          <w:bCs/>
          <w:b/>
        </w:rPr>
        <w:t xml:space="preserve">16</w:t>
      </w:r>
      <w:r>
        <w:t xml:space="preserve">:13.</w:t>
      </w:r>
    </w:p>
    <w:bookmarkEnd w:id="44"/>
    <w:bookmarkStart w:id="46" w:name="ref-bongaarts1978"/>
    <w:p>
      <w:pPr>
        <w:pStyle w:val="Bibliography"/>
      </w:pPr>
      <w:r>
        <w:t xml:space="preserve">6</w:t>
      </w:r>
      <w:r>
        <w:t xml:space="preserve"> </w:t>
      </w:r>
      <w:r>
        <w:t xml:space="preserve">	</w:t>
      </w:r>
      <w:r>
        <w:t xml:space="preserve">Bongaarts J. A</w:t>
      </w:r>
      <w:r>
        <w:t xml:space="preserve"> </w:t>
      </w:r>
      <w:r>
        <w:t xml:space="preserve">Framework</w:t>
      </w:r>
      <w:r>
        <w:t xml:space="preserve"> </w:t>
      </w:r>
      <w:r>
        <w:t xml:space="preserve">for</w:t>
      </w:r>
      <w:r>
        <w:t xml:space="preserve"> </w:t>
      </w:r>
      <w:r>
        <w:t xml:space="preserve">Analyzing</w:t>
      </w:r>
      <w:r>
        <w:t xml:space="preserve"> </w:t>
      </w:r>
      <w:r>
        <w:t xml:space="preserve">the</w:t>
      </w:r>
      <w:r>
        <w:t xml:space="preserve"> </w:t>
      </w:r>
      <w:r>
        <w:t xml:space="preserve">Proximate Determinants</w:t>
      </w:r>
      <w:r>
        <w:t xml:space="preserve"> </w:t>
      </w:r>
      <w:r>
        <w:t xml:space="preserve">of</w:t>
      </w:r>
      <w:r>
        <w:t xml:space="preserve"> </w:t>
      </w:r>
      <w:r>
        <w:t xml:space="preserve">Fertility</w:t>
      </w:r>
      <w:r>
        <w:t xml:space="preserve">.</w:t>
      </w:r>
      <w:r>
        <w:t xml:space="preserve"> </w:t>
      </w:r>
      <w:r>
        <w:rPr>
          <w:iCs/>
          <w:i/>
        </w:rPr>
        <w:t xml:space="preserve">Population and Development Review</w:t>
      </w:r>
      <w:r>
        <w:t xml:space="preserve"> </w:t>
      </w:r>
      <w:r>
        <w:t xml:space="preserve">1978;</w:t>
      </w:r>
      <w:r>
        <w:rPr>
          <w:bCs/>
          <w:b/>
        </w:rPr>
        <w:t xml:space="preserve">4</w:t>
      </w:r>
      <w:r>
        <w:t xml:space="preserve">:105–32. doi:</w:t>
      </w:r>
      <w:hyperlink r:id="rId45">
        <w:r>
          <w:rPr>
            <w:rStyle w:val="Hyperlink"/>
          </w:rPr>
          <w:t xml:space="preserve">10.2307/1972149</w:t>
        </w:r>
      </w:hyperlink>
    </w:p>
    <w:bookmarkEnd w:id="46"/>
    <w:bookmarkStart w:id="48" w:name="ref-stover1998"/>
    <w:p>
      <w:pPr>
        <w:pStyle w:val="Bibliography"/>
      </w:pPr>
      <w:r>
        <w:t xml:space="preserve">7</w:t>
      </w:r>
      <w:r>
        <w:t xml:space="preserve"> </w:t>
      </w:r>
      <w:r>
        <w:t xml:space="preserve">	</w:t>
      </w:r>
      <w:r>
        <w:t xml:space="preserve">Stover J. Revising the</w:t>
      </w:r>
      <w:r>
        <w:t xml:space="preserve"> </w:t>
      </w:r>
      <w:r>
        <w:t xml:space="preserve">Proximate Determinants</w:t>
      </w:r>
      <w:r>
        <w:t xml:space="preserve"> </w:t>
      </w:r>
      <w:r>
        <w:t xml:space="preserve">of</w:t>
      </w:r>
      <w:r>
        <w:t xml:space="preserve"> </w:t>
      </w:r>
      <w:r>
        <w:t xml:space="preserve">Fertility Framework</w:t>
      </w:r>
      <w:r>
        <w:t xml:space="preserve">:</w:t>
      </w:r>
      <w:r>
        <w:t xml:space="preserve"> </w:t>
      </w:r>
      <w:r>
        <w:t xml:space="preserve">What Have We Learned</w:t>
      </w:r>
      <w:r>
        <w:t xml:space="preserve"> </w:t>
      </w:r>
      <w:r>
        <w:t xml:space="preserve">in the past 20</w:t>
      </w:r>
      <w:r>
        <w:t xml:space="preserve"> </w:t>
      </w:r>
      <w:r>
        <w:t xml:space="preserve">Years</w:t>
      </w:r>
      <w:r>
        <w:t xml:space="preserve">?</w:t>
      </w:r>
      <w:r>
        <w:t xml:space="preserve"> </w:t>
      </w:r>
      <w:r>
        <w:rPr>
          <w:iCs/>
          <w:i/>
        </w:rPr>
        <w:t xml:space="preserve">Studies in Family Planning</w:t>
      </w:r>
      <w:r>
        <w:t xml:space="preserve"> </w:t>
      </w:r>
      <w:r>
        <w:t xml:space="preserve">1998;</w:t>
      </w:r>
      <w:r>
        <w:rPr>
          <w:bCs/>
          <w:b/>
        </w:rPr>
        <w:t xml:space="preserve">29</w:t>
      </w:r>
      <w:r>
        <w:t xml:space="preserve">:255–67. doi:</w:t>
      </w:r>
      <w:hyperlink r:id="rId47">
        <w:r>
          <w:rPr>
            <w:rStyle w:val="Hyperlink"/>
          </w:rPr>
          <w:t xml:space="preserve">10.2307/172272</w:t>
        </w:r>
      </w:hyperlink>
    </w:p>
    <w:bookmarkEnd w:id="48"/>
    <w:bookmarkStart w:id="49" w:name="ref-bongaarts2015"/>
    <w:p>
      <w:pPr>
        <w:pStyle w:val="Bibliography"/>
      </w:pPr>
      <w:r>
        <w:t xml:space="preserve">8</w:t>
      </w:r>
      <w:r>
        <w:t xml:space="preserve"> </w:t>
      </w:r>
      <w:r>
        <w:t xml:space="preserve">	</w:t>
      </w:r>
      <w:r>
        <w:t xml:space="preserve">Bongaarts J. Modeling the fertility impact of the proximate determinants:</w:t>
      </w:r>
      <w:r>
        <w:t xml:space="preserve"> </w:t>
      </w:r>
      <w:r>
        <w:t xml:space="preserve">Time</w:t>
      </w:r>
      <w:r>
        <w:t xml:space="preserve"> </w:t>
      </w:r>
      <w:r>
        <w:t xml:space="preserve">for a tune-up.</w:t>
      </w:r>
      <w:r>
        <w:t xml:space="preserve"> </w:t>
      </w:r>
      <w:r>
        <w:rPr>
          <w:iCs/>
          <w:i/>
        </w:rPr>
        <w:t xml:space="preserve">Demographic Research</w:t>
      </w:r>
      <w:r>
        <w:t xml:space="preserve"> </w:t>
      </w:r>
      <w:r>
        <w:t xml:space="preserve">2015;</w:t>
      </w:r>
      <w:r>
        <w:rPr>
          <w:bCs/>
          <w:b/>
        </w:rPr>
        <w:t xml:space="preserve">33</w:t>
      </w:r>
      <w:r>
        <w:t xml:space="preserve">:535–60.</w:t>
      </w:r>
    </w:p>
    <w:bookmarkEnd w:id="49"/>
    <w:bookmarkStart w:id="50" w:name="ref-palamuleni2017"/>
    <w:p>
      <w:pPr>
        <w:pStyle w:val="Bibliography"/>
      </w:pPr>
      <w:r>
        <w:t xml:space="preserve">9</w:t>
      </w:r>
      <w:r>
        <w:t xml:space="preserve"> </w:t>
      </w:r>
      <w:r>
        <w:t xml:space="preserve">	</w:t>
      </w:r>
      <w:r>
        <w:t xml:space="preserve">Palamuleni ME. Determinants of fertility decline in</w:t>
      </w:r>
      <w:r>
        <w:t xml:space="preserve"> </w:t>
      </w:r>
      <w:r>
        <w:t xml:space="preserve">Namibia</w:t>
      </w:r>
      <w:r>
        <w:t xml:space="preserve">: An analysis of the proximate determinants. 2017.</w:t>
      </w:r>
    </w:p>
    <w:bookmarkEnd w:id="50"/>
    <w:bookmarkStart w:id="51" w:name="ref-chola2016"/>
    <w:p>
      <w:pPr>
        <w:pStyle w:val="Bibliography"/>
      </w:pPr>
      <w:r>
        <w:t xml:space="preserve">10</w:t>
      </w:r>
      <w:r>
        <w:t xml:space="preserve"> </w:t>
      </w:r>
      <w:r>
        <w:t xml:space="preserve">	</w:t>
      </w:r>
      <w:r>
        <w:t xml:space="preserve">Chola M, Michelo C. Proximate determinants of fertility in</w:t>
      </w:r>
      <w:r>
        <w:t xml:space="preserve"> </w:t>
      </w:r>
      <w:r>
        <w:t xml:space="preserve">Zambia</w:t>
      </w:r>
      <w:r>
        <w:t xml:space="preserve">:</w:t>
      </w:r>
      <w:r>
        <w:t xml:space="preserve"> </w:t>
      </w:r>
      <w:r>
        <w:t xml:space="preserve">Analysis</w:t>
      </w:r>
      <w:r>
        <w:t xml:space="preserve"> </w:t>
      </w:r>
      <w:r>
        <w:t xml:space="preserve">of the 2007</w:t>
      </w:r>
      <w:r>
        <w:t xml:space="preserve"> </w:t>
      </w:r>
      <w:r>
        <w:t xml:space="preserve">Zambia Demographic</w:t>
      </w:r>
      <w:r>
        <w:t xml:space="preserve"> </w:t>
      </w:r>
      <w:r>
        <w:t xml:space="preserve">and</w:t>
      </w:r>
      <w:r>
        <w:t xml:space="preserve"> </w:t>
      </w:r>
      <w:r>
        <w:t xml:space="preserve">Health Survey</w:t>
      </w:r>
      <w:r>
        <w:t xml:space="preserve">.</w:t>
      </w:r>
      <w:r>
        <w:t xml:space="preserve"> </w:t>
      </w:r>
      <w:r>
        <w:rPr>
          <w:iCs/>
          <w:i/>
        </w:rPr>
        <w:t xml:space="preserve">International Journal of Population Research</w:t>
      </w:r>
      <w:r>
        <w:t xml:space="preserve"> </w:t>
      </w:r>
      <w:r>
        <w:t xml:space="preserve">2016;</w:t>
      </w:r>
      <w:r>
        <w:rPr>
          <w:bCs/>
          <w:b/>
        </w:rPr>
        <w:t xml:space="preserve">2016</w:t>
      </w:r>
      <w:r>
        <w:t xml:space="preserve">.</w:t>
      </w:r>
    </w:p>
    <w:bookmarkEnd w:id="51"/>
    <w:bookmarkStart w:id="52" w:name="ref-odimegwu1996"/>
    <w:p>
      <w:pPr>
        <w:pStyle w:val="Bibliography"/>
      </w:pPr>
      <w:r>
        <w:t xml:space="preserve">11</w:t>
      </w:r>
      <w:r>
        <w:t xml:space="preserve"> </w:t>
      </w:r>
      <w:r>
        <w:t xml:space="preserve">	</w:t>
      </w:r>
      <w:r>
        <w:t xml:space="preserve">Odimegwu CO, Zerai A. Understanding the proximate determinants of fertility of a</w:t>
      </w:r>
      <w:r>
        <w:t xml:space="preserve"> </w:t>
      </w:r>
      <w:r>
        <w:t xml:space="preserve">Nigerian</w:t>
      </w:r>
      <w:r>
        <w:t xml:space="preserve"> </w:t>
      </w:r>
      <w:r>
        <w:t xml:space="preserve">ethnic group.</w:t>
      </w:r>
      <w:r>
        <w:t xml:space="preserve"> </w:t>
      </w:r>
      <w:r>
        <w:rPr>
          <w:iCs/>
          <w:i/>
        </w:rPr>
        <w:t xml:space="preserve">Genus</w:t>
      </w:r>
      <w:r>
        <w:t xml:space="preserve"> </w:t>
      </w:r>
      <w:r>
        <w:t xml:space="preserve">1996;67–87.</w:t>
      </w:r>
    </w:p>
    <w:bookmarkEnd w:id="52"/>
    <w:bookmarkStart w:id="53" w:name="ref-chimere-dan1990"/>
    <w:p>
      <w:pPr>
        <w:pStyle w:val="Bibliography"/>
      </w:pPr>
      <w:r>
        <w:t xml:space="preserve">12</w:t>
      </w:r>
      <w:r>
        <w:t xml:space="preserve"> </w:t>
      </w:r>
      <w:r>
        <w:t xml:space="preserve">	</w:t>
      </w:r>
      <w:r>
        <w:t xml:space="preserve">Chimere-Dan O. Proximate determinants of fertility in</w:t>
      </w:r>
      <w:r>
        <w:t xml:space="preserve"> </w:t>
      </w:r>
      <w:r>
        <w:t xml:space="preserve">Nigeria</w:t>
      </w:r>
      <w:r>
        <w:t xml:space="preserve">.</w:t>
      </w:r>
      <w:r>
        <w:t xml:space="preserve"> </w:t>
      </w:r>
      <w:r>
        <w:rPr>
          <w:iCs/>
          <w:i/>
        </w:rPr>
        <w:t xml:space="preserve">Social biology</w:t>
      </w:r>
      <w:r>
        <w:t xml:space="preserve"> </w:t>
      </w:r>
      <w:r>
        <w:t xml:space="preserve">1990;</w:t>
      </w:r>
      <w:r>
        <w:rPr>
          <w:bCs/>
          <w:b/>
        </w:rPr>
        <w:t xml:space="preserve">37</w:t>
      </w:r>
      <w:r>
        <w:t xml:space="preserve">:162–71.</w:t>
      </w:r>
    </w:p>
    <w:bookmarkEnd w:id="53"/>
    <w:bookmarkStart w:id="54" w:name="ref-jolly1993"/>
    <w:p>
      <w:pPr>
        <w:pStyle w:val="Bibliography"/>
      </w:pPr>
      <w:r>
        <w:t xml:space="preserve">13</w:t>
      </w:r>
      <w:r>
        <w:t xml:space="preserve"> </w:t>
      </w:r>
      <w:r>
        <w:t xml:space="preserve">	</w:t>
      </w:r>
      <w:r>
        <w:t xml:space="preserve">Jolly CL, Gribble JN. The proximate determinants of fertility.</w:t>
      </w:r>
      <w:r>
        <w:t xml:space="preserve"> </w:t>
      </w:r>
      <w:r>
        <w:rPr>
          <w:iCs/>
          <w:i/>
        </w:rPr>
        <w:t xml:space="preserve">Demographic change in sub-Saharan Africa</w:t>
      </w:r>
      <w:r>
        <w:t xml:space="preserve"> </w:t>
      </w:r>
      <w:r>
        <w:t xml:space="preserve">1993;68–116.</w:t>
      </w:r>
    </w:p>
    <w:bookmarkEnd w:id="54"/>
    <w:bookmarkStart w:id="55" w:name="ref-wusu2019"/>
    <w:p>
      <w:pPr>
        <w:pStyle w:val="Bibliography"/>
      </w:pPr>
      <w:r>
        <w:t xml:space="preserve">14</w:t>
      </w:r>
      <w:r>
        <w:t xml:space="preserve"> </w:t>
      </w:r>
      <w:r>
        <w:t xml:space="preserve">	</w:t>
      </w:r>
      <w:r>
        <w:t xml:space="preserve">Wusu O, Isiugo-Abanihe UC. Consistency of the effects of female education on fertility across the north</w:t>
      </w:r>
      <w:r>
        <w:t xml:space="preserve">south demographic divide in nigeria, 2003</w:t>
      </w:r>
      <w:r>
        <w:t xml:space="preserve">.</w:t>
      </w:r>
      <w:r>
        <w:t xml:space="preserve"> </w:t>
      </w:r>
      <w:r>
        <w:rPr>
          <w:iCs/>
          <w:i/>
        </w:rPr>
        <w:t xml:space="preserve">Journal of biosocial science</w:t>
      </w:r>
      <w:r>
        <w:t xml:space="preserve"> </w:t>
      </w:r>
      <w:r>
        <w:t xml:space="preserve">2019;</w:t>
      </w:r>
      <w:r>
        <w:rPr>
          <w:bCs/>
          <w:b/>
        </w:rPr>
        <w:t xml:space="preserve">51</w:t>
      </w:r>
      <w:r>
        <w:t xml:space="preserve">:138–53.</w:t>
      </w:r>
    </w:p>
    <w:bookmarkEnd w:id="55"/>
    <w:bookmarkStart w:id="56" w:name="ref-alaba2017"/>
    <w:p>
      <w:pPr>
        <w:pStyle w:val="Bibliography"/>
      </w:pPr>
      <w:r>
        <w:t xml:space="preserve">15</w:t>
      </w:r>
      <w:r>
        <w:t xml:space="preserve"> </w:t>
      </w:r>
      <w:r>
        <w:t xml:space="preserve">	</w:t>
      </w:r>
      <w:r>
        <w:t xml:space="preserve">Alaba OO, Olubusoye OE, Olaomi JO. Spatial patterns and determinants of fertility levels among women of childbearing age in</w:t>
      </w:r>
      <w:r>
        <w:t xml:space="preserve"> </w:t>
      </w:r>
      <w:r>
        <w:t xml:space="preserve">Nigeria</w:t>
      </w:r>
      <w:r>
        <w:t xml:space="preserve">.</w:t>
      </w:r>
      <w:r>
        <w:t xml:space="preserve"> </w:t>
      </w:r>
      <w:r>
        <w:rPr>
          <w:iCs/>
          <w:i/>
        </w:rPr>
        <w:t xml:space="preserve">South African Family Practice</w:t>
      </w:r>
      <w:r>
        <w:t xml:space="preserve"> </w:t>
      </w:r>
      <w:r>
        <w:t xml:space="preserve">2017;</w:t>
      </w:r>
      <w:r>
        <w:rPr>
          <w:bCs/>
          <w:b/>
        </w:rPr>
        <w:t xml:space="preserve">59</w:t>
      </w:r>
      <w:r>
        <w:t xml:space="preserve">:143–7.</w:t>
      </w:r>
    </w:p>
    <w:bookmarkEnd w:id="56"/>
    <w:bookmarkStart w:id="57" w:name="ref-akpa2012"/>
    <w:p>
      <w:pPr>
        <w:pStyle w:val="Bibliography"/>
      </w:pPr>
      <w:r>
        <w:t xml:space="preserve">16</w:t>
      </w:r>
      <w:r>
        <w:t xml:space="preserve"> </w:t>
      </w:r>
      <w:r>
        <w:t xml:space="preserve">	</w:t>
      </w:r>
      <w:r>
        <w:t xml:space="preserve">Akpa OM, Ikpotokin O. Modeling the determinants of fertility among women of childbearing age in</w:t>
      </w:r>
      <w:r>
        <w:t xml:space="preserve"> </w:t>
      </w:r>
      <w:r>
        <w:t xml:space="preserve">Nigeria</w:t>
      </w:r>
      <w:r>
        <w:t xml:space="preserve">:</w:t>
      </w:r>
      <w:r>
        <w:t xml:space="preserve"> </w:t>
      </w:r>
      <w:r>
        <w:t xml:space="preserve">Analysis</w:t>
      </w:r>
      <w:r>
        <w:t xml:space="preserve"> </w:t>
      </w:r>
      <w:r>
        <w:t xml:space="preserve">using generalized linear modeling approach.</w:t>
      </w:r>
      <w:r>
        <w:t xml:space="preserve"> </w:t>
      </w:r>
      <w:r>
        <w:rPr>
          <w:iCs/>
          <w:i/>
        </w:rPr>
        <w:t xml:space="preserve">Internafional Journal of Humanifies and Social Science</w:t>
      </w:r>
      <w:r>
        <w:t xml:space="preserve"> </w:t>
      </w:r>
      <w:r>
        <w:t xml:space="preserve">2012;</w:t>
      </w:r>
      <w:r>
        <w:rPr>
          <w:bCs/>
          <w:b/>
        </w:rPr>
        <w:t xml:space="preserve">2</w:t>
      </w:r>
      <w:r>
        <w:t xml:space="preserve">:167–76.</w:t>
      </w:r>
    </w:p>
    <w:bookmarkEnd w:id="57"/>
    <w:bookmarkStart w:id="58" w:name="ref-bankole2015"/>
    <w:p>
      <w:pPr>
        <w:pStyle w:val="Bibliography"/>
      </w:pPr>
      <w:r>
        <w:t xml:space="preserve">17</w:t>
      </w:r>
      <w:r>
        <w:t xml:space="preserve"> </w:t>
      </w:r>
      <w:r>
        <w:t xml:space="preserve">	</w:t>
      </w:r>
      <w:r>
        <w:t xml:space="preserve">Bankole A, Adewole IF, Hussain R,</w:t>
      </w:r>
      <w:r>
        <w:t xml:space="preserve"> </w:t>
      </w:r>
      <w:r>
        <w:rPr>
          <w:iCs/>
          <w:i/>
        </w:rPr>
        <w:t xml:space="preserve">et al.</w:t>
      </w:r>
      <w:r>
        <w:t xml:space="preserve"> The incidence of abortion in</w:t>
      </w:r>
      <w:r>
        <w:t xml:space="preserve"> </w:t>
      </w:r>
      <w:r>
        <w:t xml:space="preserve">Nigeria</w:t>
      </w:r>
      <w:r>
        <w:t xml:space="preserve">.</w:t>
      </w:r>
      <w:r>
        <w:t xml:space="preserve"> </w:t>
      </w:r>
      <w:r>
        <w:rPr>
          <w:iCs/>
          <w:i/>
        </w:rPr>
        <w:t xml:space="preserve">International perspectives on sexual and reproductive health</w:t>
      </w:r>
      <w:r>
        <w:t xml:space="preserve"> </w:t>
      </w:r>
      <w:r>
        <w:t xml:space="preserve">2015;</w:t>
      </w:r>
      <w:r>
        <w:rPr>
          <w:bCs/>
          <w:b/>
        </w:rPr>
        <w:t xml:space="preserve">41</w:t>
      </w:r>
      <w:r>
        <w:t xml:space="preserve">:170.</w:t>
      </w:r>
    </w:p>
    <w:bookmarkEnd w:id="58"/>
    <w:bookmarkStart w:id="59" w:name="ref-unpopulationdivision2014"/>
    <w:p>
      <w:pPr>
        <w:pStyle w:val="Bibliography"/>
      </w:pPr>
      <w:r>
        <w:t xml:space="preserve">18</w:t>
      </w:r>
      <w:r>
        <w:t xml:space="preserve"> </w:t>
      </w:r>
      <w:r>
        <w:t xml:space="preserve">	</w:t>
      </w:r>
      <w:r>
        <w:t xml:space="preserve">Division UP. The</w:t>
      </w:r>
      <w:r>
        <w:t xml:space="preserve"> </w:t>
      </w:r>
      <w:r>
        <w:t xml:space="preserve">Correspondence</w:t>
      </w:r>
      <w:r>
        <w:t xml:space="preserve"> </w:t>
      </w:r>
      <w:r>
        <w:t xml:space="preserve">between</w:t>
      </w:r>
      <w:r>
        <w:t xml:space="preserve"> </w:t>
      </w:r>
      <w:r>
        <w:t xml:space="preserve">Projected Total Fertility</w:t>
      </w:r>
      <w:r>
        <w:t xml:space="preserve"> </w:t>
      </w:r>
      <w:r>
        <w:t xml:space="preserve">and</w:t>
      </w:r>
      <w:r>
        <w:t xml:space="preserve"> </w:t>
      </w:r>
      <w:r>
        <w:t xml:space="preserve">Contraceptive Prevalence Using</w:t>
      </w:r>
      <w:r>
        <w:t xml:space="preserve"> </w:t>
      </w:r>
      <w:r>
        <w:t xml:space="preserve">the</w:t>
      </w:r>
      <w:r>
        <w:t xml:space="preserve"> </w:t>
      </w:r>
      <w:r>
        <w:t xml:space="preserve">Proximate Determinants Framework</w:t>
      </w:r>
      <w:r>
        <w:t xml:space="preserve">.</w:t>
      </w:r>
      <w:r>
        <w:t xml:space="preserve"> </w:t>
      </w:r>
      <w:r>
        <w:t xml:space="preserve">New York</w:t>
      </w:r>
      <w:r>
        <w:t xml:space="preserve">: :</w:t>
      </w:r>
      <w:r>
        <w:t xml:space="preserve"> </w:t>
      </w:r>
      <w:r>
        <w:t xml:space="preserve">United Nations</w:t>
      </w:r>
      <w:r>
        <w:t xml:space="preserve"> 2014.</w:t>
      </w:r>
      <w:r>
        <w:t xml:space="preserve"> </w:t>
      </w:r>
    </w:p>
    <w:bookmarkEnd w:id="59"/>
    <w:bookmarkStart w:id="60" w:name="ref-worldhealthorganization2017"/>
    <w:p>
      <w:pPr>
        <w:pStyle w:val="Bibliography"/>
      </w:pPr>
      <w:r>
        <w:t xml:space="preserve">19</w:t>
      </w:r>
      <w:r>
        <w:t xml:space="preserve"> </w:t>
      </w:r>
      <w:r>
        <w:t xml:space="preserve">	</w:t>
      </w:r>
      <w:r>
        <w:t xml:space="preserve">Organization WH, CCP JH.</w:t>
      </w:r>
      <w:r>
        <w:t xml:space="preserve"> </w:t>
      </w:r>
      <w:r>
        <w:rPr>
          <w:iCs/>
          <w:i/>
        </w:rPr>
        <w:t xml:space="preserve">Family</w:t>
      </w:r>
      <w:r>
        <w:rPr>
          <w:iCs/>
          <w:i/>
        </w:rPr>
        <w:t xml:space="preserve"> </w:t>
      </w:r>
      <w:r>
        <w:rPr>
          <w:iCs/>
          <w:i/>
        </w:rPr>
        <w:t xml:space="preserve">Planning</w:t>
      </w:r>
      <w:r>
        <w:rPr>
          <w:iCs/>
          <w:i/>
        </w:rPr>
        <w:t xml:space="preserve">:</w:t>
      </w:r>
      <w:r>
        <w:rPr>
          <w:iCs/>
          <w:i/>
        </w:rPr>
        <w:t xml:space="preserve"> </w:t>
      </w:r>
      <w:r>
        <w:rPr>
          <w:iCs/>
          <w:i/>
        </w:rPr>
        <w:t xml:space="preserve">A Global Handbook</w:t>
      </w:r>
      <w:r>
        <w:rPr>
          <w:iCs/>
          <w:i/>
        </w:rPr>
        <w:t xml:space="preserve"> </w:t>
      </w:r>
      <w:r>
        <w:rPr>
          <w:iCs/>
          <w:i/>
        </w:rPr>
        <w:t xml:space="preserve">for</w:t>
      </w:r>
      <w:r>
        <w:rPr>
          <w:iCs/>
          <w:i/>
        </w:rPr>
        <w:t xml:space="preserve"> </w:t>
      </w:r>
      <w:r>
        <w:rPr>
          <w:iCs/>
          <w:i/>
        </w:rPr>
        <w:t xml:space="preserve">Providers</w:t>
      </w:r>
      <w:r>
        <w:rPr>
          <w:iCs/>
          <w:i/>
        </w:rPr>
        <w:t xml:space="preserve"> </w:t>
      </w:r>
      <w:r>
        <w:rPr>
          <w:iCs/>
          <w:i/>
        </w:rPr>
        <w:t xml:space="preserve">(2018 update)</w:t>
      </w:r>
      <w:r>
        <w:t xml:space="preserve">. Third.</w:t>
      </w:r>
      <w:r>
        <w:t xml:space="preserve"> </w:t>
      </w:r>
      <w:r>
        <w:t xml:space="preserve">Baltimore and Geneva</w:t>
      </w:r>
      <w:r>
        <w:t xml:space="preserve">: :</w:t>
      </w:r>
      <w:r>
        <w:t xml:space="preserve"> </w:t>
      </w:r>
      <w:r>
        <w:t xml:space="preserve">World Health Organization and Johns Hopkins Bloomberg School of Public Health/Center for Communication Programs</w:t>
      </w:r>
      <w:r>
        <w:t xml:space="preserve"> 2017.</w:t>
      </w:r>
      <w:r>
        <w:t xml:space="preserve"> </w:t>
      </w:r>
    </w:p>
    <w:bookmarkEnd w:id="60"/>
    <w:bookmarkStart w:id="61" w:name="ref-bongaarts1983"/>
    <w:p>
      <w:pPr>
        <w:pStyle w:val="Bibliography"/>
      </w:pPr>
      <w:r>
        <w:t xml:space="preserve">20</w:t>
      </w:r>
      <w:r>
        <w:t xml:space="preserve"> </w:t>
      </w:r>
      <w:r>
        <w:t xml:space="preserve">	</w:t>
      </w:r>
      <w:r>
        <w:t xml:space="preserve">Bongaarts J, Potter R. Fertility, biology, and behavior:</w:t>
      </w:r>
      <w:r>
        <w:t xml:space="preserve"> </w:t>
      </w:r>
      <w:r>
        <w:t xml:space="preserve">An</w:t>
      </w:r>
      <w:r>
        <w:t xml:space="preserve"> </w:t>
      </w:r>
      <w:r>
        <w:t xml:space="preserve">analysis of the proximate determinants. 1983.</w:t>
      </w:r>
    </w:p>
    <w:bookmarkEnd w:id="61"/>
    <w:bookmarkStart w:id="62" w:name="ref-johnson2011"/>
    <w:p>
      <w:pPr>
        <w:pStyle w:val="Bibliography"/>
      </w:pPr>
      <w:r>
        <w:t xml:space="preserve">21</w:t>
      </w:r>
      <w:r>
        <w:t xml:space="preserve"> </w:t>
      </w:r>
      <w:r>
        <w:t xml:space="preserve">	</w:t>
      </w:r>
      <w:r>
        <w:t xml:space="preserve">Johnson K, Abderrahim N, Rutstein SO.</w:t>
      </w:r>
      <w:r>
        <w:t xml:space="preserve"> </w:t>
      </w:r>
      <w:r>
        <w:rPr>
          <w:iCs/>
          <w:i/>
        </w:rPr>
        <w:t xml:space="preserve">Changes in the direct and indirect determinants of fertility in sub-</w:t>
      </w:r>
      <w:r>
        <w:rPr>
          <w:iCs/>
          <w:i/>
        </w:rPr>
        <w:t xml:space="preserve">Saharan Africa</w:t>
      </w:r>
      <w:r>
        <w:t xml:space="preserve">.</w:t>
      </w:r>
      <w:r>
        <w:t xml:space="preserve"> </w:t>
      </w:r>
      <w:r>
        <w:t xml:space="preserve">ICF Macro</w:t>
      </w:r>
      <w:r>
        <w:t xml:space="preserve"> 2011.</w:t>
      </w:r>
      <w:r>
        <w:t xml:space="preserve"> </w:t>
      </w:r>
    </w:p>
    <w:bookmarkEnd w:id="62"/>
    <w:bookmarkStart w:id="63" w:name="ref-avenirhealth2017a"/>
    <w:p>
      <w:pPr>
        <w:pStyle w:val="Bibliography"/>
      </w:pPr>
      <w:r>
        <w:t xml:space="preserve">22</w:t>
      </w:r>
      <w:r>
        <w:t xml:space="preserve"> </w:t>
      </w:r>
      <w:r>
        <w:t xml:space="preserve">	</w:t>
      </w:r>
      <w:r>
        <w:t xml:space="preserve">Health A. Family</w:t>
      </w:r>
      <w:r>
        <w:t xml:space="preserve"> </w:t>
      </w:r>
      <w:r>
        <w:t xml:space="preserve">Planning Effort Index</w:t>
      </w:r>
      <w:r>
        <w:t xml:space="preserve"> </w:t>
      </w:r>
      <w:r>
        <w:t xml:space="preserve">(</w:t>
      </w:r>
      <w:r>
        <w:t xml:space="preserve">FPE</w:t>
      </w:r>
      <w:r>
        <w:t xml:space="preserve">). 2017.</w:t>
      </w:r>
    </w:p>
    <w:bookmarkEnd w:id="63"/>
    <w:bookmarkStart w:id="64" w:name="ref-avenirhealth2017"/>
    <w:p>
      <w:pPr>
        <w:pStyle w:val="Bibliography"/>
      </w:pPr>
      <w:r>
        <w:t xml:space="preserve">23</w:t>
      </w:r>
      <w:r>
        <w:t xml:space="preserve"> </w:t>
      </w:r>
      <w:r>
        <w:t xml:space="preserve">	</w:t>
      </w:r>
      <w:r>
        <w:t xml:space="preserve">Health A. National</w:t>
      </w:r>
      <w:r>
        <w:t xml:space="preserve"> </w:t>
      </w:r>
      <w:r>
        <w:t xml:space="preserve">Composite Index</w:t>
      </w:r>
      <w:r>
        <w:t xml:space="preserve"> </w:t>
      </w:r>
      <w:r>
        <w:t xml:space="preserve">on</w:t>
      </w:r>
      <w:r>
        <w:t xml:space="preserve"> </w:t>
      </w:r>
      <w:r>
        <w:t xml:space="preserve">Family Planning</w:t>
      </w:r>
      <w:r>
        <w:t xml:space="preserve"> </w:t>
      </w:r>
      <w:r>
        <w:t xml:space="preserve">(</w:t>
      </w:r>
      <w:r>
        <w:t xml:space="preserve">NCIFP</w:t>
      </w:r>
      <w:r>
        <w:t xml:space="preserve">). 2017.</w:t>
      </w:r>
    </w:p>
    <w:bookmarkEnd w:id="64"/>
    <w:bookmarkStart w:id="65" w:name="ref-awoyemi2014"/>
    <w:p>
      <w:pPr>
        <w:pStyle w:val="Bibliography"/>
      </w:pPr>
      <w:r>
        <w:t xml:space="preserve">24</w:t>
      </w:r>
      <w:r>
        <w:t xml:space="preserve"> </w:t>
      </w:r>
      <w:r>
        <w:t xml:space="preserve">	</w:t>
      </w:r>
      <w:r>
        <w:t xml:space="preserve">Awoyemi BO, Novignon J. Demand for abortion and post abortion care in</w:t>
      </w:r>
      <w:r>
        <w:t xml:space="preserve"> </w:t>
      </w:r>
      <w:r>
        <w:t xml:space="preserve">Ibadan</w:t>
      </w:r>
      <w:r>
        <w:t xml:space="preserve">,</w:t>
      </w:r>
      <w:r>
        <w:t xml:space="preserve"> </w:t>
      </w:r>
      <w:r>
        <w:t xml:space="preserve">Nigeria</w:t>
      </w:r>
      <w:r>
        <w:t xml:space="preserve">.</w:t>
      </w:r>
      <w:r>
        <w:t xml:space="preserve"> </w:t>
      </w:r>
      <w:r>
        <w:rPr>
          <w:iCs/>
          <w:i/>
        </w:rPr>
        <w:t xml:space="preserve">Health economics review</w:t>
      </w:r>
      <w:r>
        <w:t xml:space="preserve"> </w:t>
      </w:r>
      <w:r>
        <w:t xml:space="preserve">2014;</w:t>
      </w:r>
      <w:r>
        <w:rPr>
          <w:bCs/>
          <w:b/>
        </w:rPr>
        <w:t xml:space="preserve">4</w:t>
      </w:r>
      <w:r>
        <w:t xml:space="preserve">:3.</w:t>
      </w:r>
    </w:p>
    <w:bookmarkEnd w:id="65"/>
    <w:bookmarkStart w:id="66" w:name="ref-ibrahim2012"/>
    <w:p>
      <w:pPr>
        <w:pStyle w:val="Bibliography"/>
      </w:pPr>
      <w:r>
        <w:t xml:space="preserve">25</w:t>
      </w:r>
      <w:r>
        <w:t xml:space="preserve"> </w:t>
      </w:r>
      <w:r>
        <w:t xml:space="preserve">	</w:t>
      </w:r>
      <w:r>
        <w:t xml:space="preserve">Ibrahim IA, Onwudiegwu U. Sociodemographic determinants of complicated unsafe abortions in a semi-urban</w:t>
      </w:r>
      <w:r>
        <w:t xml:space="preserve"> </w:t>
      </w:r>
      <w:r>
        <w:t xml:space="preserve">Nigerian</w:t>
      </w:r>
      <w:r>
        <w:t xml:space="preserve"> </w:t>
      </w:r>
      <w:r>
        <w:t xml:space="preserve">town: A four-year review.</w:t>
      </w:r>
      <w:r>
        <w:t xml:space="preserve"> </w:t>
      </w:r>
      <w:r>
        <w:rPr>
          <w:iCs/>
          <w:i/>
        </w:rPr>
        <w:t xml:space="preserve">West Indian Medical Journal</w:t>
      </w:r>
      <w:r>
        <w:t xml:space="preserve"> </w:t>
      </w:r>
      <w:r>
        <w:t xml:space="preserve">2012;</w:t>
      </w:r>
      <w:r>
        <w:rPr>
          <w:bCs/>
          <w:b/>
        </w:rPr>
        <w:t xml:space="preserve">61</w:t>
      </w:r>
      <w:r>
        <w:t xml:space="preserve">:163–7.</w:t>
      </w:r>
    </w:p>
    <w:bookmarkEnd w:id="66"/>
    <w:bookmarkStart w:id="67" w:name="ref-lamina2015"/>
    <w:p>
      <w:pPr>
        <w:pStyle w:val="Bibliography"/>
      </w:pPr>
      <w:r>
        <w:t xml:space="preserve">26</w:t>
      </w:r>
      <w:r>
        <w:t xml:space="preserve"> </w:t>
      </w:r>
      <w:r>
        <w:t xml:space="preserve">	</w:t>
      </w:r>
      <w:r>
        <w:t xml:space="preserve">Lamina MA. Prevalence of abortion and contraceptive practice among women seeking repeat induced abortion in</w:t>
      </w:r>
      <w:r>
        <w:t xml:space="preserve"> </w:t>
      </w:r>
      <w:r>
        <w:t xml:space="preserve">Western Nigeria</w:t>
      </w:r>
      <w:r>
        <w:t xml:space="preserve">.</w:t>
      </w:r>
      <w:r>
        <w:t xml:space="preserve"> </w:t>
      </w:r>
      <w:r>
        <w:rPr>
          <w:iCs/>
          <w:i/>
        </w:rPr>
        <w:t xml:space="preserve">Journal of pregnancy</w:t>
      </w:r>
      <w:r>
        <w:t xml:space="preserve"> </w:t>
      </w:r>
      <w:r>
        <w:t xml:space="preserve">2015;</w:t>
      </w:r>
      <w:r>
        <w:rPr>
          <w:bCs/>
          <w:b/>
        </w:rPr>
        <w:t xml:space="preserve">2015</w:t>
      </w:r>
      <w:r>
        <w:t xml:space="preserve">.</w:t>
      </w:r>
    </w:p>
    <w:bookmarkEnd w:id="67"/>
    <w:bookmarkStart w:id="68" w:name="ref-nationalpopulationcommission2000"/>
    <w:p>
      <w:pPr>
        <w:pStyle w:val="Bibliography"/>
      </w:pPr>
      <w:r>
        <w:t xml:space="preserve">27</w:t>
      </w:r>
      <w:r>
        <w:t xml:space="preserve"> </w:t>
      </w:r>
      <w:r>
        <w:t xml:space="preserve">	</w:t>
      </w:r>
      <w:r>
        <w:t xml:space="preserve">Commission NP. Nigeria</w:t>
      </w:r>
      <w:r>
        <w:t xml:space="preserve"> </w:t>
      </w:r>
      <w:r>
        <w:t xml:space="preserve">Demographic</w:t>
      </w:r>
      <w:r>
        <w:t xml:space="preserve"> </w:t>
      </w:r>
      <w:r>
        <w:t xml:space="preserve">and</w:t>
      </w:r>
      <w:r>
        <w:t xml:space="preserve"> </w:t>
      </w:r>
      <w:r>
        <w:t xml:space="preserve">Health Survey</w:t>
      </w:r>
      <w:r>
        <w:t xml:space="preserve"> </w:t>
      </w:r>
      <w:r>
        <w:t xml:space="preserve">1999.</w:t>
      </w:r>
      <w:r>
        <w:t xml:space="preserve"> </w:t>
      </w:r>
      <w:r>
        <w:t xml:space="preserve">Abuja, Nigeria and Rockville, Maryland</w:t>
      </w:r>
      <w:r>
        <w:t xml:space="preserve">: 2000.</w:t>
      </w:r>
      <w:r>
        <w:t xml:space="preserve"> </w:t>
      </w:r>
    </w:p>
    <w:bookmarkEnd w:id="68"/>
    <w:bookmarkStart w:id="70" w:name="ref-adebowale2019"/>
    <w:p>
      <w:pPr>
        <w:pStyle w:val="Bibliography"/>
      </w:pPr>
      <w:r>
        <w:t xml:space="preserve">28</w:t>
      </w:r>
      <w:r>
        <w:t xml:space="preserve"> </w:t>
      </w:r>
      <w:r>
        <w:t xml:space="preserve">	</w:t>
      </w:r>
      <w:r>
        <w:t xml:space="preserve">Adebowale AS. Ethnic disparities in fertility and its determinants in</w:t>
      </w:r>
      <w:r>
        <w:t xml:space="preserve"> </w:t>
      </w:r>
      <w:r>
        <w:t xml:space="preserve">Nigeria</w:t>
      </w:r>
      <w:r>
        <w:t xml:space="preserve">.</w:t>
      </w:r>
      <w:r>
        <w:t xml:space="preserve"> </w:t>
      </w:r>
      <w:r>
        <w:rPr>
          <w:iCs/>
          <w:i/>
        </w:rPr>
        <w:t xml:space="preserve">Fertil Res Pract</w:t>
      </w:r>
      <w:r>
        <w:t xml:space="preserve"> </w:t>
      </w:r>
      <w:r>
        <w:t xml:space="preserve">2019;</w:t>
      </w:r>
      <w:r>
        <w:rPr>
          <w:bCs/>
          <w:b/>
        </w:rPr>
        <w:t xml:space="preserve">5</w:t>
      </w:r>
      <w:r>
        <w:t xml:space="preserve">:3. doi:</w:t>
      </w:r>
      <w:hyperlink r:id="rId69">
        <w:r>
          <w:rPr>
            <w:rStyle w:val="Hyperlink"/>
          </w:rPr>
          <w:t xml:space="preserve">10.1186/s40738-019-0055-y</w:t>
        </w:r>
      </w:hyperlink>
    </w:p>
    <w:bookmarkEnd w:id="70"/>
    <w:bookmarkStart w:id="71" w:name="ref-adiri2010"/>
    <w:p>
      <w:pPr>
        <w:pStyle w:val="Bibliography"/>
      </w:pPr>
      <w:r>
        <w:t xml:space="preserve">29</w:t>
      </w:r>
      <w:r>
        <w:t xml:space="preserve"> </w:t>
      </w:r>
      <w:r>
        <w:t xml:space="preserve">	</w:t>
      </w:r>
      <w:r>
        <w:t xml:space="preserve">Adiri F, Ibrahim HI, Ajayi V,</w:t>
      </w:r>
      <w:r>
        <w:t xml:space="preserve"> </w:t>
      </w:r>
      <w:r>
        <w:rPr>
          <w:iCs/>
          <w:i/>
        </w:rPr>
        <w:t xml:space="preserve">et al.</w:t>
      </w:r>
      <w:r>
        <w:t xml:space="preserve"> Fertility behaviour of men and women in three communities in</w:t>
      </w:r>
      <w:r>
        <w:t xml:space="preserve"> </w:t>
      </w:r>
      <w:r>
        <w:t xml:space="preserve">Kaduna</w:t>
      </w:r>
      <w:r>
        <w:t xml:space="preserve"> </w:t>
      </w:r>
      <w:r>
        <w:t xml:space="preserve">state,</w:t>
      </w:r>
      <w:r>
        <w:t xml:space="preserve"> </w:t>
      </w:r>
      <w:r>
        <w:t xml:space="preserve">Nigeria</w:t>
      </w:r>
      <w:r>
        <w:t xml:space="preserve">.</w:t>
      </w:r>
      <w:r>
        <w:t xml:space="preserve"> </w:t>
      </w:r>
      <w:r>
        <w:rPr>
          <w:iCs/>
          <w:i/>
        </w:rPr>
        <w:t xml:space="preserve">African Journal of Reproductive Health</w:t>
      </w:r>
      <w:r>
        <w:t xml:space="preserve"> </w:t>
      </w:r>
      <w:r>
        <w:t xml:space="preserve">2010;</w:t>
      </w:r>
      <w:r>
        <w:rPr>
          <w:bCs/>
          <w:b/>
        </w:rPr>
        <w:t xml:space="preserve">14</w:t>
      </w:r>
      <w:r>
        <w:t xml:space="preserve">:97–105.</w:t>
      </w:r>
    </w:p>
    <w:bookmarkEnd w:id="71"/>
    <w:bookmarkStart w:id="72" w:name="ref-solanke2015"/>
    <w:p>
      <w:pPr>
        <w:pStyle w:val="Bibliography"/>
      </w:pPr>
      <w:r>
        <w:t xml:space="preserve">30</w:t>
      </w:r>
      <w:r>
        <w:t xml:space="preserve"> </w:t>
      </w:r>
      <w:r>
        <w:t xml:space="preserve">	</w:t>
      </w:r>
      <w:r>
        <w:t xml:space="preserve">Solanke BL. Marriage age, fertility behavior, and women’s empowerment in</w:t>
      </w:r>
      <w:r>
        <w:t xml:space="preserve"> </w:t>
      </w:r>
      <w:r>
        <w:t xml:space="preserve">Nigeria</w:t>
      </w:r>
      <w:r>
        <w:t xml:space="preserve">.</w:t>
      </w:r>
      <w:r>
        <w:t xml:space="preserve"> </w:t>
      </w:r>
      <w:r>
        <w:rPr>
          <w:iCs/>
          <w:i/>
        </w:rPr>
        <w:t xml:space="preserve">SAGE Open</w:t>
      </w:r>
      <w:r>
        <w:t xml:space="preserve"> </w:t>
      </w:r>
      <w:r>
        <w:t xml:space="preserve">2015;</w:t>
      </w:r>
      <w:r>
        <w:rPr>
          <w:bCs/>
          <w:b/>
        </w:rPr>
        <w:t xml:space="preserve">5</w:t>
      </w:r>
      <w:r>
        <w:t xml:space="preserve">:2158244015617989.</w:t>
      </w:r>
    </w:p>
    <w:bookmarkEnd w:id="72"/>
    <w:bookmarkStart w:id="73" w:name="ref-goldstone2018"/>
    <w:p>
      <w:pPr>
        <w:pStyle w:val="Bibliography"/>
      </w:pPr>
      <w:r>
        <w:t xml:space="preserve">31</w:t>
      </w:r>
      <w:r>
        <w:t xml:space="preserve"> </w:t>
      </w:r>
      <w:r>
        <w:t xml:space="preserve">	</w:t>
      </w:r>
      <w:r>
        <w:t xml:space="preserve">Goldstone JA, Korotaev A, Shulgin S,</w:t>
      </w:r>
      <w:r>
        <w:t xml:space="preserve"> </w:t>
      </w:r>
      <w:r>
        <w:rPr>
          <w:iCs/>
          <w:i/>
        </w:rPr>
        <w:t xml:space="preserve">et al.</w:t>
      </w:r>
      <w:r>
        <w:t xml:space="preserve"> Why</w:t>
      </w:r>
      <w:r>
        <w:t xml:space="preserve"> </w:t>
      </w:r>
      <w:r>
        <w:t xml:space="preserve">Does High African Fertility Persist</w:t>
      </w:r>
      <w:r>
        <w:t xml:space="preserve">?</w:t>
      </w:r>
      <w:r>
        <w:t xml:space="preserve"> </w:t>
      </w:r>
      <w:r>
        <w:rPr>
          <w:iCs/>
          <w:i/>
        </w:rPr>
        <w:t xml:space="preserve">Center for the Study of Social Change, Institutions, and Policy, Working paper</w:t>
      </w:r>
      <w:r>
        <w:t xml:space="preserve"> </w:t>
      </w:r>
      <w:r>
        <w:t xml:space="preserve">2018.</w:t>
      </w:r>
    </w:p>
    <w:bookmarkEnd w:id="73"/>
    <w:bookmarkStart w:id="75" w:name="ref-mberu2014"/>
    <w:p>
      <w:pPr>
        <w:pStyle w:val="Bibliography"/>
      </w:pPr>
      <w:r>
        <w:t xml:space="preserve">32</w:t>
      </w:r>
      <w:r>
        <w:t xml:space="preserve"> </w:t>
      </w:r>
      <w:r>
        <w:t xml:space="preserve">	</w:t>
      </w:r>
      <w:r>
        <w:t xml:space="preserve">Mberu BU, Reed HE. Understanding</w:t>
      </w:r>
      <w:r>
        <w:t xml:space="preserve"> </w:t>
      </w:r>
      <w:r>
        <w:t xml:space="preserve">Subgroup Fertility Differentials</w:t>
      </w:r>
      <w:r>
        <w:t xml:space="preserve"> </w:t>
      </w:r>
      <w:r>
        <w:t xml:space="preserve">in</w:t>
      </w:r>
      <w:r>
        <w:t xml:space="preserve"> </w:t>
      </w:r>
      <w:r>
        <w:t xml:space="preserve">Nigeria</w:t>
      </w:r>
      <w:r>
        <w:t xml:space="preserve">.</w:t>
      </w:r>
      <w:r>
        <w:t xml:space="preserve"> </w:t>
      </w:r>
      <w:r>
        <w:rPr>
          <w:iCs/>
          <w:i/>
        </w:rPr>
        <w:t xml:space="preserve">Popul Rev</w:t>
      </w:r>
      <w:r>
        <w:t xml:space="preserve"> </w:t>
      </w:r>
      <w:r>
        <w:t xml:space="preserve">2014;</w:t>
      </w:r>
      <w:r>
        <w:rPr>
          <w:bCs/>
          <w:b/>
        </w:rPr>
        <w:t xml:space="preserve">53</w:t>
      </w:r>
      <w:r>
        <w:t xml:space="preserve">:23–46. doi:</w:t>
      </w:r>
      <w:hyperlink r:id="rId74">
        <w:r>
          <w:rPr>
            <w:rStyle w:val="Hyperlink"/>
          </w:rPr>
          <w:t xml:space="preserve">10.1353/prv.2014.0006</w:t>
        </w:r>
      </w:hyperlink>
    </w:p>
    <w:bookmarkEnd w:id="75"/>
    <w:bookmarkStart w:id="77" w:name="ref-asa2018"/>
    <w:p>
      <w:pPr>
        <w:pStyle w:val="Bibliography"/>
      </w:pPr>
      <w:r>
        <w:t xml:space="preserve">33</w:t>
      </w:r>
      <w:r>
        <w:t xml:space="preserve"> </w:t>
      </w:r>
      <w:r>
        <w:t xml:space="preserve">	</w:t>
      </w:r>
      <w:r>
        <w:t xml:space="preserve">Asa S, Titilayo A, Kupoluyi J. Assessment of Contraceptive Use by Marriage Type Among Sexually Active Men in Nigeria.</w:t>
      </w:r>
      <w:r>
        <w:t xml:space="preserve"> </w:t>
      </w:r>
      <w:r>
        <w:rPr>
          <w:iCs/>
          <w:i/>
        </w:rPr>
        <w:t xml:space="preserve">International Quarterly of Community Health Education</w:t>
      </w:r>
      <w:r>
        <w:t xml:space="preserve"> </w:t>
      </w:r>
      <w:r>
        <w:t xml:space="preserve">2018;</w:t>
      </w:r>
      <w:r>
        <w:rPr>
          <w:bCs/>
          <w:b/>
        </w:rPr>
        <w:t xml:space="preserve">38</w:t>
      </w:r>
      <w:r>
        <w:t xml:space="preserve">:181–94. doi:</w:t>
      </w:r>
      <w:hyperlink r:id="rId76">
        <w:r>
          <w:rPr>
            <w:rStyle w:val="Hyperlink"/>
          </w:rPr>
          <w:t xml:space="preserve">10.1177/0272684x17749800</w:t>
        </w:r>
      </w:hyperlink>
    </w:p>
    <w:bookmarkEnd w:id="77"/>
    <w:bookmarkStart w:id="79" w:name="ref-dev2019"/>
    <w:p>
      <w:pPr>
        <w:pStyle w:val="Bibliography"/>
      </w:pPr>
      <w:r>
        <w:t xml:space="preserve">34</w:t>
      </w:r>
      <w:r>
        <w:t xml:space="preserve"> </w:t>
      </w:r>
      <w:r>
        <w:t xml:space="preserve">	</w:t>
      </w:r>
      <w:r>
        <w:t xml:space="preserve">Dev R, Kohler P, Feder M,</w:t>
      </w:r>
      <w:r>
        <w:t xml:space="preserve"> </w:t>
      </w:r>
      <w:r>
        <w:rPr>
          <w:iCs/>
          <w:i/>
        </w:rPr>
        <w:t xml:space="preserve">et al.</w:t>
      </w:r>
      <w:r>
        <w:t xml:space="preserve"> A systematic review and meta-analysis of postpartum contraceptive use among women in low- and middle-income countries.</w:t>
      </w:r>
      <w:r>
        <w:t xml:space="preserve"> </w:t>
      </w:r>
      <w:r>
        <w:rPr>
          <w:iCs/>
          <w:i/>
        </w:rPr>
        <w:t xml:space="preserve">Reproductive Health</w:t>
      </w:r>
      <w:r>
        <w:t xml:space="preserve"> </w:t>
      </w:r>
      <w:r>
        <w:t xml:space="preserve">2019;</w:t>
      </w:r>
      <w:r>
        <w:rPr>
          <w:bCs/>
          <w:b/>
        </w:rPr>
        <w:t xml:space="preserve">16</w:t>
      </w:r>
      <w:r>
        <w:t xml:space="preserve">. doi:</w:t>
      </w:r>
      <w:hyperlink r:id="rId78">
        <w:r>
          <w:rPr>
            <w:rStyle w:val="Hyperlink"/>
          </w:rPr>
          <w:t xml:space="preserve">10.1186/s12978-019-0824-4</w:t>
        </w:r>
      </w:hyperlink>
    </w:p>
    <w:bookmarkEnd w:id="79"/>
    <w:bookmarkStart w:id="80" w:name="ref-unpopulationdivision2002"/>
    <w:p>
      <w:pPr>
        <w:pStyle w:val="Bibliography"/>
      </w:pPr>
      <w:r>
        <w:t xml:space="preserve">35</w:t>
      </w:r>
      <w:r>
        <w:t xml:space="preserve"> </w:t>
      </w:r>
      <w:r>
        <w:t xml:space="preserve">	</w:t>
      </w:r>
      <w:r>
        <w:t xml:space="preserve">Division UP. Fertility levels and trends in countries with intermediate levels of fertility. 2002.</w:t>
      </w:r>
    </w:p>
    <w:bookmarkEnd w:id="80"/>
    <w:bookmarkStart w:id="81" w:name="ref-rutaremwa2015"/>
    <w:p>
      <w:pPr>
        <w:pStyle w:val="Bibliography"/>
      </w:pPr>
      <w:r>
        <w:t xml:space="preserve">36</w:t>
      </w:r>
      <w:r>
        <w:t xml:space="preserve"> </w:t>
      </w:r>
      <w:r>
        <w:t xml:space="preserve">	</w:t>
      </w:r>
      <w:r>
        <w:t xml:space="preserve">Rutaremwa G, Kabagenyi A, Wandera SO,</w:t>
      </w:r>
      <w:r>
        <w:t xml:space="preserve"> </w:t>
      </w:r>
      <w:r>
        <w:rPr>
          <w:iCs/>
          <w:i/>
        </w:rPr>
        <w:t xml:space="preserve">et al.</w:t>
      </w:r>
      <w:r>
        <w:t xml:space="preserve"> Predictors of modern contraceptive use during the postpartum period among women in</w:t>
      </w:r>
      <w:r>
        <w:t xml:space="preserve"> </w:t>
      </w:r>
      <w:r>
        <w:t xml:space="preserve">Uganda</w:t>
      </w:r>
      <w:r>
        <w:t xml:space="preserve">: A population-based cross sectional study.</w:t>
      </w:r>
      <w:r>
        <w:t xml:space="preserve"> </w:t>
      </w:r>
      <w:r>
        <w:rPr>
          <w:iCs/>
          <w:i/>
        </w:rPr>
        <w:t xml:space="preserve">BMC public health</w:t>
      </w:r>
      <w:r>
        <w:t xml:space="preserve"> </w:t>
      </w:r>
      <w:r>
        <w:t xml:space="preserve">2015;</w:t>
      </w:r>
      <w:r>
        <w:rPr>
          <w:bCs/>
          <w:b/>
        </w:rPr>
        <w:t xml:space="preserve">15</w:t>
      </w:r>
      <w:r>
        <w:t xml:space="preserve">:262.</w:t>
      </w:r>
    </w:p>
    <w:bookmarkEnd w:id="81"/>
    <w:bookmarkStart w:id="83" w:name="ref-ross2012"/>
    <w:p>
      <w:pPr>
        <w:pStyle w:val="Bibliography"/>
      </w:pPr>
      <w:r>
        <w:t xml:space="preserve">37</w:t>
      </w:r>
      <w:r>
        <w:t xml:space="preserve"> </w:t>
      </w:r>
      <w:r>
        <w:t xml:space="preserve">	</w:t>
      </w:r>
      <w:r>
        <w:t xml:space="preserve">ROSS J, HARDEE K. ACCESS TO CONTRACEPTIVE METHODS AND PREVALENCE OF USE.</w:t>
      </w:r>
      <w:r>
        <w:t xml:space="preserve"> </w:t>
      </w:r>
      <w:r>
        <w:rPr>
          <w:iCs/>
          <w:i/>
        </w:rPr>
        <w:t xml:space="preserve">Journal of Biosocial Science</w:t>
      </w:r>
      <w:r>
        <w:t xml:space="preserve"> </w:t>
      </w:r>
      <w:r>
        <w:t xml:space="preserve">2012;</w:t>
      </w:r>
      <w:r>
        <w:rPr>
          <w:bCs/>
          <w:b/>
        </w:rPr>
        <w:t xml:space="preserve">45</w:t>
      </w:r>
      <w:r>
        <w:t xml:space="preserve">:761–78. doi:</w:t>
      </w:r>
      <w:hyperlink r:id="rId82">
        <w:r>
          <w:rPr>
            <w:rStyle w:val="Hyperlink"/>
          </w:rPr>
          <w:t xml:space="preserve">10.1017/s0021932012000715</w:t>
        </w:r>
      </w:hyperlink>
    </w:p>
    <w:bookmarkEnd w:id="83"/>
    <w:bookmarkStart w:id="85" w:name="ref-avenirhealth2016"/>
    <w:p>
      <w:pPr>
        <w:pStyle w:val="Bibliography"/>
      </w:pPr>
      <w:r>
        <w:t xml:space="preserve">38</w:t>
      </w:r>
      <w:r>
        <w:t xml:space="preserve"> </w:t>
      </w:r>
      <w:r>
        <w:t xml:space="preserve">	</w:t>
      </w:r>
      <w:r>
        <w:t xml:space="preserve">Avenir Health. Family planning program effort scores in 2014. 2016.</w:t>
      </w:r>
      <w:r>
        <w:t xml:space="preserve"> </w:t>
      </w:r>
      <w:hyperlink r:id="rId84">
        <w:r>
          <w:rPr>
            <w:rStyle w:val="Hyperlink"/>
          </w:rPr>
          <w:t xml:space="preserve">https://track20.org/download/pdf/FPE%20Policy%20Briefs%202014/FPE%20brief%202014%20Nigeria.pdf</w:t>
        </w:r>
      </w:hyperlink>
    </w:p>
    <w:bookmarkEnd w:id="85"/>
    <w:bookmarkEnd w:id="86"/>
    <w:bookmarkEnd w:id="87"/>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0" Target="media/rId20.png" /><Relationship Type="http://schemas.openxmlformats.org/officeDocument/2006/relationships/hyperlink" Id="rId82" Target="https://doi.org/10.1017/s0021932012000715" TargetMode="External" /><Relationship Type="http://schemas.openxmlformats.org/officeDocument/2006/relationships/hyperlink" Id="rId76" Target="https://doi.org/10.1177/0272684x17749800" TargetMode="External" /><Relationship Type="http://schemas.openxmlformats.org/officeDocument/2006/relationships/hyperlink" Id="rId78" Target="https://doi.org/10.1186/s12978-019-0824-4" TargetMode="External" /><Relationship Type="http://schemas.openxmlformats.org/officeDocument/2006/relationships/hyperlink" Id="rId69" Target="https://doi.org/10.1186/s40738-019-0055-y" TargetMode="External" /><Relationship Type="http://schemas.openxmlformats.org/officeDocument/2006/relationships/hyperlink" Id="rId74" Target="https://doi.org/10.1353/prv.2014.0006" TargetMode="External" /><Relationship Type="http://schemas.openxmlformats.org/officeDocument/2006/relationships/hyperlink" Id="rId47" Target="https://doi.org/10.2307/172272" TargetMode="External" /><Relationship Type="http://schemas.openxmlformats.org/officeDocument/2006/relationships/hyperlink" Id="rId45" Target="https://doi.org/10.2307/1972149" TargetMode="External" /><Relationship Type="http://schemas.openxmlformats.org/officeDocument/2006/relationships/hyperlink" Id="rId84" Target="https://track20.org/download/pdf/FPE%20Policy%20Briefs%202014/FPE%20brief%202014%20Nigeria.pdf"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17/s0021932012000715" TargetMode="External" /><Relationship Type="http://schemas.openxmlformats.org/officeDocument/2006/relationships/hyperlink" Id="rId76" Target="https://doi.org/10.1177/0272684x17749800" TargetMode="External" /><Relationship Type="http://schemas.openxmlformats.org/officeDocument/2006/relationships/hyperlink" Id="rId78" Target="https://doi.org/10.1186/s12978-019-0824-4" TargetMode="External" /><Relationship Type="http://schemas.openxmlformats.org/officeDocument/2006/relationships/hyperlink" Id="rId69" Target="https://doi.org/10.1186/s40738-019-0055-y" TargetMode="External" /><Relationship Type="http://schemas.openxmlformats.org/officeDocument/2006/relationships/hyperlink" Id="rId74" Target="https://doi.org/10.1353/prv.2014.0006" TargetMode="External" /><Relationship Type="http://schemas.openxmlformats.org/officeDocument/2006/relationships/hyperlink" Id="rId47" Target="https://doi.org/10.2307/172272" TargetMode="External" /><Relationship Type="http://schemas.openxmlformats.org/officeDocument/2006/relationships/hyperlink" Id="rId45" Target="https://doi.org/10.2307/1972149" TargetMode="External" /><Relationship Type="http://schemas.openxmlformats.org/officeDocument/2006/relationships/hyperlink" Id="rId84" Target="https://track20.org/download/pdf/FPE%20Policy%20Briefs%202014/FPE%20brief%202014%20Nigeri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Biological and Behavioural Determinants of Fertility in Nigeria</dc:title>
  <dc:creator>Edifofon Akpan; Olumide Taiwo; Chidinma Oli; Abdulafeez Adefabi</dc:creator>
  <cp:keywords/>
  <dcterms:created xsi:type="dcterms:W3CDTF">2023-05-16T14:32:09Z</dcterms:created>
  <dcterms:modified xsi:type="dcterms:W3CDTF">2023-05-16T14:32:09Z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resources/bmj.csl</vt:lpwstr>
  </property>
  <property fmtid="{D5CDD505-2E9C-101B-9397-08002B2CF9AE}" pid="10" name="date-format">
    <vt:lpwstr>dddd, MMMM D, YYYY</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Working Paper</vt:lpwstr>
  </property>
  <property fmtid="{D5CDD505-2E9C-101B-9397-08002B2CF9AE}" pid="18" name="toc-location">
    <vt:lpwstr>left</vt:lpwstr>
  </property>
  <property fmtid="{D5CDD505-2E9C-101B-9397-08002B2CF9AE}" pid="19" name="toc-title">
    <vt:lpwstr>Table of Contents</vt:lpwstr>
  </property>
  <property fmtid="{D5CDD505-2E9C-101B-9397-08002B2CF9AE}" pid="20" name="toccolor">
    <vt:lpwstr>blue</vt:lpwstr>
  </property>
</Properties>
</file>