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z" ContentType="image/svg+xml"/>
  <Override PartName="/word/media/rId33.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Methods:</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Results:</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Conclusion:</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r>
        <w:br w:type="page"/>
      </w:r>
    </w:p>
    <w:bookmarkStart w:id="20"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Bankole et al. (</w:t>
      </w:r>
      <w:hyperlink w:anchor="ref-bankole2015">
        <w:r>
          <w:rPr>
            <w:rStyle w:val="Hyperlink"/>
          </w:rPr>
          <w:t xml:space="preserve">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 </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0"/>
    <w:bookmarkStart w:id="25"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 (Arksey and O’Malley, 2005).</w:t>
      </w:r>
    </w:p>
    <w:bookmarkStart w:id="21" w:name="search-strategy"/>
    <w:p>
      <w:pPr>
        <w:pStyle w:val="Heading2"/>
      </w:pPr>
      <w:r>
        <w:t xml:space="preserve">2.1 Search strategy</w:t>
      </w:r>
    </w:p>
    <w:p>
      <w:pPr>
        <w:pStyle w:val="FirstParagraph"/>
      </w:pPr>
      <w:r>
        <w:t xml:space="preserve">We systematically searched PUBMED and EMBASE, including available data from the Nigerian Demographic Health Surveys (NDHS). The search strategy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Each database was approached slightly differently according to its unique search configuration (see Appendix 1).</w:t>
      </w:r>
    </w:p>
    <w:bookmarkEnd w:id="21"/>
    <w:bookmarkStart w:id="22" w:name="eligibility-criteria"/>
    <w:p>
      <w:pPr>
        <w:pStyle w:val="Heading2"/>
      </w:pPr>
      <w:r>
        <w:t xml:space="preserve">2.2 Eligibility criteria</w:t>
      </w:r>
    </w:p>
    <w:p>
      <w:pPr>
        <w:pStyle w:val="FirstParagraph"/>
      </w:pPr>
      <w:r>
        <w:t xml:space="preserve">We included original studies relating to LARCs, including but not limited to access, use, safety, efficacy, and policy issues.</w:t>
      </w:r>
    </w:p>
    <w:p>
      <w:pPr>
        <w:pStyle w:val="BodyText"/>
      </w:pPr>
      <w:r>
        <w:t xml:space="preserve">2.3.1. Outcome: Studies assessing the effect of LARCs on non-pregnancy-related outcomes were excluded. For instance, we screened out papers investigating the impact of LARCs on electrolyte levels.</w:t>
      </w:r>
    </w:p>
    <w:p>
      <w:pPr>
        <w:pStyle w:val="BodyText"/>
      </w:pPr>
      <w:r>
        <w:t xml:space="preserve">2.3.2. Study type: Abstract-only articles, reviews, and commentaries.</w:t>
      </w:r>
    </w:p>
    <w:p>
      <w:pPr>
        <w:pStyle w:val="BodyText"/>
      </w:pPr>
      <w:r>
        <w:t xml:space="preserve">2.3.3. Region: Studies not conducted in Nigeria.</w:t>
      </w:r>
    </w:p>
    <w:p>
      <w:pPr>
        <w:pStyle w:val="BodyText"/>
      </w:pPr>
      <w:r>
        <w:t xml:space="preserve">2.3.4. Language: Studies not published in English</w:t>
      </w:r>
    </w:p>
    <w:bookmarkEnd w:id="22"/>
    <w:bookmarkStart w:id="23" w:name="study-selection"/>
    <w:p>
      <w:pPr>
        <w:pStyle w:val="Heading2"/>
      </w:pPr>
      <w:r>
        <w:t xml:space="preserve">2.3 Study selection</w:t>
      </w:r>
    </w:p>
    <w:p>
      <w:pPr>
        <w:pStyle w:val="FirstParagraph"/>
      </w:pPr>
      <w:r>
        <w:t xml:space="preserve">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 The two-phased screening was conducted by two reviewers independently. Any disagreements on selected studies were discussed and resolved unanimously.</w:t>
      </w:r>
    </w:p>
    <w:bookmarkEnd w:id="23"/>
    <w:bookmarkStart w:id="24" w:name="data-extraction"/>
    <w:p>
      <w:pPr>
        <w:pStyle w:val="Heading2"/>
      </w:pPr>
      <w:r>
        <w:t xml:space="preserve">2.4 Data extraction</w:t>
      </w:r>
    </w:p>
    <w:bookmarkEnd w:id="24"/>
    <w:bookmarkEnd w:id="25"/>
    <w:bookmarkStart w:id="43" w:name="sec-results"/>
    <w:p>
      <w:pPr>
        <w:pStyle w:val="Heading1"/>
      </w:pPr>
      <w:r>
        <w:t xml:space="preserve">3. Results</w:t>
      </w:r>
    </w:p>
    <w:bookmarkStart w:id="30" w:name="characteristics-of-studies"/>
    <w:p>
      <w:pPr>
        <w:pStyle w:val="Heading2"/>
      </w:pPr>
      <w:r>
        <w:t xml:space="preserve">3.1 Characteristics of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(Figure 1).</w:t>
      </w:r>
    </w:p>
    <w:tbl>
      <w:tblPr>
        <w:tblStyle w:val="Table"/>
        <w:tblW w:type="pct" w:w="5000"/>
        <w:tblLook w:firstRow="0" w:lastRow="0" w:firstColumn="0" w:lastColumn="0" w:noHBand="0" w:noVBand="0" w:val="0000"/>
        <w:jc w:val="start"/>
      </w:tblPr>
      <w:tblGrid>
        <w:gridCol w:w="7920"/>
      </w:tblGrid>
      <w:tr>
        <w:tc>
          <w:tcPr/>
          <w:bookmarkStart w:id="29" w:name="fig-larcs-prisma-flow"/>
          <w:p>
            <w:pPr>
              <w:jc w:val="center"/>
            </w:pPr>
            <w:r>
              <w:drawing>
                <wp:inline>
                  <wp:extent cx="5943600" cy="5038658"/>
                  <wp:effectExtent b="0" l="0" r="0" t="0"/>
                  <wp:docPr descr="" title="" id="27" name="Picture"/>
                  <a:graphic>
                    <a:graphicData uri="http://schemas.openxmlformats.org/drawingml/2006/picture">
                      <pic:pic>
                        <pic:nvPicPr>
                          <pic:cNvPr descr="figures/larcs-prisma-flow.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29"/>
        </w:tc>
      </w:tr>
    </w:tbl>
    <w:bookmarkEnd w:id="30"/>
    <w:bookmarkStart w:id="31" w:name="Xdcc902ccfdb2b06aef88be19b13f30f6a583fc9"/>
    <w:p>
      <w:pPr>
        <w:pStyle w:val="Heading2"/>
      </w:pPr>
      <w:r>
        <w:t xml:space="preserve">3.2 Knowledge, Awareness and Attitude towards LARCs:</w:t>
      </w:r>
    </w:p>
    <w:p>
      <w:pPr>
        <w:pStyle w:val="FirstParagraph"/>
      </w:pPr>
      <w:r>
        <w:t xml:space="preserve">The Knowledge of long-acting reversible contraception was relatively low in comparison with other Sub-Saharan African countries; nevertheless, there have been remarkable improvement.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 For instance,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w:t>
      </w:r>
    </w:p>
    <w:p>
      <w:pPr>
        <w:pStyle w:val="BodyText"/>
      </w:pPr>
      <w:r>
        <w:t xml:space="preserve">Awareness of LARCs varied with geographical location, wealth quintile and education levels. Women living in rural, and less literate North East and North West zones were least likely to be informed on any method of long-acting contraception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  In contrast, women residing in urban Southern regions, (especially South West) were well-educated on the different LARCs available to them . Expectedly, low levels of education and household income led to reduced knowledge and awareness of LARCs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 radio/television/newspapers/magazines, school lectures/workshops/seminars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is interesting because first, it indicates the importance of ensuring that non-medical personnel have access to the right information on LARCs since most women are more likely to get their foremost information from informal sources</w:t>
      </w:r>
      <w:r>
        <w:t xml:space="preserve"> </w:t>
      </w:r>
      <w:r>
        <w:t xml:space="preserve">(</w:t>
      </w:r>
      <w:hyperlink w:anchor="ref-olukoya1991">
        <w:r>
          <w:rPr>
            <w:rStyle w:val="Hyperlink"/>
          </w:rPr>
          <w:t xml:space="preserve">Olukoya 1991</w:t>
        </w:r>
      </w:hyperlink>
      <w:r>
        <w:t xml:space="preserve">)</w:t>
      </w:r>
      <w:r>
        <w:t xml:space="preserve">. Second, it also suggests that organizing community-directed outreaches centered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w:t>
      </w:r>
    </w:p>
    <w:p>
      <w:pPr>
        <w:pStyle w:val="BodyText"/>
      </w:pPr>
      <w:r>
        <w:t xml:space="preserve">In a slightly different pattern, female students sourced their information on LARCs primarily from social media, lectures, seminars, friends, family and secondarily, from health workers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w:t>
      </w:r>
      <w:r>
        <w:t xml:space="preserve"> </w:t>
      </w:r>
      <w:r>
        <w:t xml:space="preserve">(</w:t>
      </w:r>
      <w:hyperlink w:anchor="ref-olusegun2012">
        <w:r>
          <w:rPr>
            <w:rStyle w:val="Hyperlink"/>
          </w:rPr>
          <w:t xml:space="preserve">Olusegun, Ololade, and Ireti 2012</w:t>
        </w:r>
      </w:hyperlink>
      <w:r>
        <w:t xml:space="preserve">)</w:t>
      </w:r>
      <w:r>
        <w:t xml:space="preserve">.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Copper T, Depo Provera®, Noristerat® and Implanon® were the most popular brands of LARCs</w:t>
      </w:r>
      <w:r>
        <w:t xml:space="preserve"> </w:t>
      </w:r>
      <w:r>
        <w:t xml:space="preserve">(</w:t>
      </w:r>
      <w:hyperlink w:anchor="ref-olusegun2012">
        <w:r>
          <w:rPr>
            <w:rStyle w:val="Hyperlink"/>
          </w:rPr>
          <w:t xml:space="preserve">Olusegun, Ololade, and Ireti 2012</w:t>
        </w:r>
      </w:hyperlink>
      <w:r>
        <w:t xml:space="preserve">)</w:t>
      </w:r>
      <w:r>
        <w:t xml:space="preserve"> </w:t>
      </w:r>
      <w:r>
        <w:t xml:space="preserve">among female students. Female students who had previous induced abortion were significantly more knowledgable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w:t>
      </w:r>
      <w:r>
        <w:t xml:space="preserve"> </w:t>
      </w:r>
      <w:r>
        <w:t xml:space="preserve">(</w:t>
      </w:r>
      <w:hyperlink w:anchor="ref-olusegun2012">
        <w:r>
          <w:rPr>
            <w:rStyle w:val="Hyperlink"/>
          </w:rPr>
          <w:t xml:space="preserve">Olusegun, Ololade, and Ireti 2012</w:t>
        </w:r>
      </w:hyperlink>
      <w:r>
        <w:t xml:space="preserve">)</w:t>
      </w:r>
      <w:r>
        <w:t xml:space="preserve">.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Different studies had contrasting views on the influence of religion on the knowledge of LARCs. Some studies reported the effect of religious beliefs on the knowledge, awareness and subsequent use of LARCs. For instance, Christian women were reportedly more aware of LARCs than women belonging to other religions in Nigeria (Ayangade, 1984; Egede et al., 2015; Naghma-E-Rehan et al., 1984; Olaleye et al., 2014; Onwuzurike &amp; Uzochukwu, 2001; Orji &amp; Onwudiegwu, 2002; Ugboaja et al., 2011). However, this maybe not be a true reflection nationally, as due cognizance must be taken of a possible confounding of Christianity being the predominant religion in the regions of some of these studies (Adeyemi et al., 2008; Onwuzurike &amp; Uzochukwu, 2001; Ugboaja et al., 2011).  In contrast, two studies conducted by Aduloju et al  in 2021, and Orji and Odimegwu in 2002 (2021; 2002) stated that religion, did not have any statistical significance (P &gt; 0.05) on the knowledge and awareness of LARCs.</w:t>
      </w:r>
    </w:p>
    <w:p>
      <w:pPr>
        <w:pStyle w:val="BodyText"/>
      </w:pPr>
      <w:r>
        <w:t xml:space="preserve">The gap between the Knowledge of LARCs and its actual usage was widen (Adegbola &amp; Okunowo, 2009; Olusegun et al., 2012; Omu &amp; Unuigbe, 1986; Orji &amp; Onwudiegwu, 2002). The implication of this is that awareness alone does not determine the utilization of LARCs by Nigerian women (Adegbola &amp; Okunowo, 2009; Olusegun et al., 2012; Omu &amp; Unuigbe, 1986; Orji &amp; Onwudiegwu, 2002). The common reasons for this gap include: lack of knowledge on provider centers, distance from the source of LARCs, adequate information on the benefits of LARCs, fear of possible side effects, fear of the procedure, husband disapproval, religion and culture (Aduloju et al., 2021; Olusegun et al., 2012; Onwuzurike &amp; Uzochukwu, 2001) Figure 2: Knowledge of LARC methods   </w:t>
      </w:r>
    </w:p>
    <w:p>
      <w:pPr>
        <w:pStyle w:val="BodyText"/>
      </w:pPr>
      <w:r>
        <w:t xml:space="preserve">Source: NDHS 2003, NDHS 2008, NDHS 2013 &amp; NDHS 2018</w:t>
      </w:r>
    </w:p>
    <w:p>
      <w:pPr>
        <w:pStyle w:val="BodyText"/>
      </w:pPr>
      <w:r>
        <w:t xml:space="preserve">The acceptance and use of LARCs was largely dependent on the attitude of women (Aduloju et al., 2021).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 (Aduloju et al., 2021; Egede et al., 2015). Some women frowned at LARCs because they viewed regulating their fertility as an unhealthy immoral behavior which is an affront to the God-given blessing of fertility (Renne, 1997; Udigwe et al., 2002; Ukaegbu, 1977)</w:t>
      </w:r>
    </w:p>
    <w:p>
      <w:pPr>
        <w:pStyle w:val="BodyText"/>
      </w:pPr>
      <w:r>
        <w:t xml:space="preserve">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 (Renne, 1997).</w:t>
      </w:r>
    </w:p>
    <w:bookmarkEnd w:id="31"/>
    <w:bookmarkStart w:id="32" w:name="access-to-larcs"/>
    <w:p>
      <w:pPr>
        <w:pStyle w:val="Heading2"/>
      </w:pPr>
      <w:r>
        <w:t xml:space="preserve">3.3 Access to LARCs</w:t>
      </w:r>
    </w:p>
    <w:p>
      <w:pPr>
        <w:pStyle w:val="FirstParagraph"/>
      </w:pPr>
      <w:r>
        <w:t xml:space="preserve">Nigerian women seek long-acting reversible contraception from both public and private sectors (Federal Ministry of Health, 2014; National Population Commission &amp; ICF International, 2019; National Population Commission &amp; International, 2009, 2014; National Population Commission &amp; Macro, 2004). Government hospitals, government health centers and family planning clinics were major public health outlets for LARCs  (Egede et al., 2015; National Population Commission &amp; ICF International, 2019; National Population Commission &amp; International, 2009, 2014; National Population Commission &amp; Macro, 2004).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 (Ayangade, 1984; National Population Commission &amp; ICF International, 2019; National Population Commission &amp; International, 2009, 2014; National Population Commission &amp; Macro, 2004). LARCs such as IUDs, Implants, and Injectables were primarily sourced from the public sector because they require trained service delivery (Federal Ministry of Health, 2014; National Population Commission &amp; ICF International, 2019; National Population Commission &amp; International, 2009, 2014; National Population Commission &amp; Macro, 2004).</w:t>
      </w:r>
    </w:p>
    <w:p>
      <w:pPr>
        <w:pStyle w:val="BodyText"/>
      </w:pPr>
      <w:r>
        <w:t xml:space="preserve">The ease of accessing LARCs, proximity of service providers and level of confidentiality offered by service providers were key considerations in choosing where to get LARCs, given that some women used LARCs without their husband’s knowledge or approval (Egede et al., 2015)(Onwujekwe et al., 2013).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 (Oye-Adeniran et al., 2005).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 (Egede et al., 2015; Onwujekwe et al., 2013; Oye-Adeniran et al., 2005).</w:t>
      </w:r>
    </w:p>
    <w:p>
      <w:pPr>
        <w:pStyle w:val="BodyText"/>
      </w:pPr>
      <w:r>
        <w:t xml:space="preserve">Figure 3: Source of LARCs (Public Sector)</w:t>
      </w:r>
    </w:p>
    <w:p>
      <w:pPr>
        <w:pStyle w:val="BodyText"/>
      </w:pPr>
      <w:r>
        <w:t xml:space="preserve">Source: NDHS 2018</w:t>
      </w:r>
    </w:p>
    <w:p>
      <w:pPr>
        <w:pStyle w:val="BodyText"/>
      </w:pPr>
      <w:r>
        <w:t xml:space="preserve">Figure 4: Source of LARCs (Private Sector)                                                                                                          </w:t>
      </w:r>
    </w:p>
    <w:p>
      <w:pPr>
        <w:pStyle w:val="BodyText"/>
      </w:pPr>
      <w:r>
        <w:t xml:space="preserve">Source: NDHS, 2018</w:t>
      </w:r>
    </w:p>
    <w:p>
      <w:pPr>
        <w:pStyle w:val="BodyText"/>
      </w:pPr>
      <w:r>
        <w:t xml:space="preserve">There were geographical differences in accessing LARCs. Urban dwellers procured LARCs from government hospitals, private clinics, and pharmacy shops with qualified pharmacists (Onwujekwe et al., 2013). In contrast, rural dwellers got theirs mostly from patent medicine dealers (Onwujekwe et al., 2013),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 (Monjok et al., 2010) .</w:t>
      </w:r>
    </w:p>
    <w:p>
      <w:pPr>
        <w:pStyle w:val="BodyText"/>
      </w:pPr>
      <w:r>
        <w:t xml:space="preserve">Most women held the opinion that LARCs were not easily accessible (</w:t>
      </w:r>
      <w:r>
        <w:rPr>
          <w:iCs/>
          <w:i/>
        </w:rPr>
        <w:t xml:space="preserve">Federal Ministry of Health</w:t>
      </w:r>
      <w:r>
        <w:t xml:space="preserve">, 2013). However, the proportion of women who thought that LARCs were not readily accessible decreased consistently with increase in educational status and residence in urban areas (</w:t>
      </w:r>
      <w:r>
        <w:rPr>
          <w:iCs/>
          <w:i/>
        </w:rPr>
        <w:t xml:space="preserve">Federal Ministry of Health</w:t>
      </w:r>
      <w:r>
        <w:t xml:space="preserve">, 2013).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 (The RESPOND Project, 2013), there are certain barriers to accessing the wide variety of LARCs available. First, is the reduced availability of LARCs in certain family planning clinics (Oye-Adeniran et al., 2005; The RESPOND Project, 2013).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 (The RESPOND Project, 2013)</w:t>
      </w:r>
    </w:p>
    <w:p>
      <w:pPr>
        <w:pStyle w:val="BodyText"/>
      </w:pPr>
      <w:r>
        <w:t xml:space="preserve"> —Service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 (The RESPOND Project, 2013). Second, some family planning clinics are in a poor state of repair, and many had either no or only intermittent electricity all of which discourages women (The RESPOND Project, 2013).</w:t>
      </w:r>
    </w:p>
    <w:p>
      <w:pPr>
        <w:pStyle w:val="BodyText"/>
      </w:pPr>
      <w:r>
        <w:t xml:space="preserve">The third barrier to accessing LARCs is the shortage of skilled providers to deliver LARC services (Federal Ministry of Health, 2014). For instance, although the policy that permits Community Health Extension Workers (CHEWs) to deliver Injectables was approved in 2012, only few CHEWs have received formal training on how to deliver the method properly (Federal Ministry of Health, 2014). Regarding other LARCs, Implants were introduced on a larger scale in the public sector only in 2006, and it is plausible that many providers who received training are no longer practicing in the public system (Federal Ministry of Health, 2014). Many experienced Family Planning (FP) providers cited the lack of continuing education and training as the reason for the rather reduced skill set in administering LARCs, pointing to the 1980s as the last time that large-scale FP training efforts were in place (Federal Ministry of Health, 2014).</w:t>
      </w:r>
    </w:p>
    <w:bookmarkEnd w:id="32"/>
    <w:bookmarkStart w:id="37" w:name="utilizationgeopolitical-prevalence"/>
    <w:p>
      <w:pPr>
        <w:pStyle w:val="Heading2"/>
      </w:pPr>
      <w:r>
        <w:t xml:space="preserve">3.4 Utilization/Geopolitical Prevalence</w:t>
      </w:r>
    </w:p>
    <w:p>
      <w:pPr>
        <w:pStyle w:val="FirstParagraph"/>
      </w:pPr>
      <w:r>
        <w:t xml:space="preserve">The contraceptive prevalence (CPR) of LARCs remain low relative to other short-acting contraceptives. Nevertheless, the CPR of LARCs increased steadily from 2.7 percent in 2003 to 7.4 percent in 2018 among married women using contraceptives (National Population Commission &amp; ICF International, 2019; National Population Commission &amp; Macro, 2004). Nationally, about 14.8 percent of women currently using any method of contraception used LARCs (Bolarinwa &amp; Olagunju, 2020). The prevalence LARCs was highest among women aged 35 years and above and lowest among those aged 15-24 (National Population Commission &amp; ICF International, 2019; National Population Commission &amp; International, 2009, 2014; National Population Commission &amp; Macro, 2004; Ugboaja et al., 2011). Injectables and IUDs were the most frequently used LARC (Adegbola &amp; Okunowo, 2009; National Population Commission &amp; ICF International, 2019; National Population Commission &amp; International, 2009, 2014; National Population Commission &amp; Macro, 2004; Okunlola et al., 2006, 2009; Onwuhafua et al., 2005; Ozumba &amp; Ibekwe, 2001; Udigwe et al., 2002; Ugboaja et al., 2011)</w:t>
      </w:r>
    </w:p>
    <w:p>
      <w:pPr>
        <w:pStyle w:val="BodyText"/>
      </w:pPr>
      <w:r>
        <w:t xml:space="preserve">Use of LARCs varied with residence, region, level of education, number of living children, and economic status of the household (National Population Commission &amp; ICF International, 2019; National Population Commission &amp; International, 2009, 2014; National Population Commission &amp; Macro, 2004). Married women residing in urban areas were more likely to use LARCs than their rural counterparts (National Population Commission &amp; ICF International, 2019; National Population Commission &amp; International, 2009, 2014; National Population Commission &amp; Macro, 2004; Onwuhafua et al., 2005). The limited use of LARCs in rural areas persists for various reasons ranging from unavailability of the LARC methods to lack of proﬁciency in administering LARCs by rural care providers (Onwuhafua et al., 2005). The South-West zone had the highest proportion of women using LARCs, followed by the South-South zone (</w:t>
      </w:r>
      <w:r>
        <w:rPr>
          <w:iCs/>
          <w:i/>
        </w:rPr>
        <w:t xml:space="preserve">Federal Ministry of Health</w:t>
      </w:r>
      <w:r>
        <w:t xml:space="preserve">, 2013; National Population Commission &amp; ICF International, 2019; National Population Commission &amp; International, 2009, 2014; National Population Commission &amp; Macro, 2004). The lowest proportion of married women using any LARC method were in the North-East (</w:t>
      </w:r>
      <w:r>
        <w:rPr>
          <w:iCs/>
          <w:i/>
        </w:rPr>
        <w:t xml:space="preserve">Federal Ministry of Health</w:t>
      </w:r>
      <w:r>
        <w:t xml:space="preserve">, 2013; National Population Commission &amp; ICF International, 2019; National Population Commission &amp; International, 2009, 2014; National Population Commission &amp; Macro, 2004). LARC use increased with educational attainment across all geopolitical zones (Adeyemi et al., 2008; Adeyemi &amp; Adekanle, 2012; National Population Commission &amp; ICF International, 2019; National Population Commission &amp; International, 2009, 2014; National Population Commission &amp; Macro, 2004). By wealth quintile, women in the lowest quintile were least likely to use long-acting reversible contraception and women in the highest quintile were most likely to use them (National Population Commission &amp; ICF International, 2019; National Population Commission &amp; International, 2009, 2014; National Population Commission &amp; Macro, 2004).</w:t>
      </w:r>
    </w:p>
    <w:p>
      <w:pPr>
        <w:pStyle w:val="BodyText"/>
      </w:pPr>
      <w:r>
        <w:t xml:space="preserve">Use of LARCs was relatively low among singles compared to married women (Ijarotimi et al., 2015; Olaleye et al., 2014; Oye-Adeniran et al., 2005). This may be because single women are less likely to source for contraception openly because of cultural and religious prohibition of premarital sex in Nigeria (Ijarotimi et al., 2015).</w:t>
      </w:r>
    </w:p>
    <w:p>
      <w:pPr>
        <w:pStyle w:val="BodyText"/>
      </w:pPr>
      <w:r>
        <w:t xml:space="preserve">The uptake of LARCs increased with parity; women do not begin to use LARCs until they have had at least one child (Aduloju et al., 2021; Ijarotimi et al., 2015; Konje et al., 1998; National Population Commission &amp; ICF International, 2019; National Population Commission &amp; International, 2009, 2014; National Population Commission &amp; Macro, 2004; Udigwe et al., 2002).</w:t>
      </w:r>
    </w:p>
    <w:p>
      <w:pPr>
        <w:pStyle w:val="BodyText"/>
      </w:pPr>
      <w:r>
        <w:t xml:space="preserve">An attribute pointing to the reproductive need of women with less than 3 children and the popular consideration of LARC methods as an alternative to the sterilization method (Aduloju et al., 2021; Ijarotimi et al., 2015).</w:t>
      </w:r>
    </w:p>
    <w:p>
      <w:pPr>
        <w:pStyle w:val="BodyText"/>
      </w:pPr>
      <w:r>
        <w:t xml:space="preserve">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 (Adinma et al., 1998; Aduloju et al., 2021; Egede et al., 2015; Ojo et al., 2020;</w:t>
      </w:r>
      <w:r>
        <w:t xml:space="preserve"> </w:t>
      </w:r>
      <w:r>
        <w:t xml:space="preserve">‘</w:t>
      </w:r>
      <w:r>
        <w:t xml:space="preserve">Views on Family Planning and Long-Acting and Permanent Methods</w:t>
      </w:r>
      <w:r>
        <w:t xml:space="preserve">’</w:t>
      </w:r>
      <w:r>
        <w:t xml:space="preserve">, 2013).</w:t>
      </w:r>
    </w:p>
    <w:p>
      <w:pPr>
        <w:pStyle w:val="BodyText"/>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 (Adinma et al., 1998; Aduloju et al., 2021; Egede et al., 2015; Eke &amp; Alabi-Isama, 2011;</w:t>
      </w:r>
      <w:r>
        <w:t xml:space="preserve"> </w:t>
      </w:r>
      <w:r>
        <w:rPr>
          <w:iCs/>
          <w:i/>
        </w:rPr>
        <w:t xml:space="preserve">Federal Ministry of Health</w:t>
      </w:r>
      <w:r>
        <w:t xml:space="preserve">, 2013; Ikechebelu et al., 2005; Inyang-Etoh &amp; Abah, 2017; Konje et al., 1998; Naghma-E-Rehan et al., 1984; Ojo et al., 2020; Omu &amp; Unuigbe, 1986; Onwuhafua et al., 2005; Orji &amp; Onwudiegwu, 2002; Udigwe et al., 2002; Ugboaja et al., 2011; Ukaegbu, 1977). In their study, Eke &amp; Alabi-Isama (2011) reported that most adolescent females thought that LARCs should not be used by unmarried women. </w:t>
      </w:r>
    </w:p>
    <w:p>
      <w:pPr>
        <w:pStyle w:val="BodyText"/>
      </w:pPr>
      <w:r>
        <w:t xml:space="preserve">Most women thought that negotiating and deciding with their husbands prior the use of any LARC method was necessary (</w:t>
      </w:r>
      <w:r>
        <w:rPr>
          <w:iCs/>
          <w:i/>
        </w:rPr>
        <w:t xml:space="preserve">Federal Ministry of Health</w:t>
      </w:r>
      <w:r>
        <w:t xml:space="preserve">, 2013; The RESPOND Project, 2013). But in reality, men alone played the dominant role in women’s decision to adopt long-acting reversible contraception and in the choice of method (</w:t>
      </w:r>
      <w:r>
        <w:rPr>
          <w:iCs/>
          <w:i/>
        </w:rPr>
        <w:t xml:space="preserve">Federal Ministry of Health</w:t>
      </w:r>
      <w:r>
        <w:t xml:space="preserve">, 2013; Omu &amp; Unuigbe, 1986; The RESPOND Project, 2013). The dominant role of men affected the use of LARCs because men generally demonstrated less favorable attitudes toward family planning than women and were less knowledgeable about LARCs (The RESPOND Project, 2013). Hence, a woman’s ability to control her fertility and her choice of long-acting reversible contraception were partly determined by her empowerment status and self-image (National Population Commission &amp; ICF International, 2019; National Population Commission &amp; International, 2009, 2014; National Population Commission &amp; Macro, 2004). A woman who is unable to control her life may be less likely to feel she can make and carry out decisions about her fertility (National Population Commission &amp; ICF International, 2019; National Population Commission &amp; International, 2009, 2014; National Population Commission &amp; Macro, 2004).</w:t>
      </w:r>
    </w:p>
    <w:p>
      <w:pPr>
        <w:pStyle w:val="BodyText"/>
      </w:pPr>
      <w:r>
        <w:t xml:space="preserve">Depo Provera® and Noristerat® were the most commonly used brands of Injectables (National Population Commission &amp; International, 2009, 2014). Depo Provera® was largely used by women in the South-East and North-West zones, while Noristerat® was primarily used by women in the North-East (National Population Commission &amp; International, 2009, 2014). Notably, Depo Provera was the brand of choice for women in the lowest, second and fourth wealth quintile, who had either secondary, primary or no education (National Population Commission &amp; International, 2009, 2014). Conversely, the use of Noristerat® increased with educational attainment and wealth status (National Population Commission &amp; International, 2009, 2014).</w:t>
      </w:r>
    </w:p>
    <w:p>
      <w:pPr>
        <w:pStyle w:val="BodyText"/>
      </w:pPr>
      <w:r>
        <w:t xml:space="preserve">Overtime, the use of Implants, particularly Implanon® and Jadelle® became popular (National Population Commission &amp; ICF International, 2019; National Population Commission &amp; International, 2009, 2014; National Population Commission &amp; Macro, 2004; Tunau et al., 2019). It even seems that Implants have slowly replaced IUDs which were commonly used earlier (National Population Commission &amp; ICF International, 2019; National Population Commission &amp; International, 2009, 2014; National Population Commission &amp; Macro, 2004; Tunau et al., 2019).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 (Ojo et al., 2020). Non-literate women appeared to be suspicious of new methods and therefore shunned the method (Mutihir &amp; Duru, 2008). Specifically, young Nigerian women with desire for future fertility formed significant proportion of Implanon® acceptors (Roberts et al., 2015).</w:t>
      </w:r>
    </w:p>
    <w:p>
      <w:pPr>
        <w:pStyle w:val="BodyText"/>
      </w:pPr>
      <w:r>
        <w:t xml:space="preserve">IUDs are quite common and widely used in Nigeria, particularly by older married women aged 35 and above (National Population Commission &amp; ICF International, 2019; National Population Commission &amp; International, 2009, 2014; National Population Commission &amp; Macro, 2004; Oye-Adeniran et al., 2005) but are gradually losing their appeal. They were least commonly used in Northern Nigeria. Religious constraints seem to be the major propeller behind this; Muslim women while not considering family planning as un-Islamic, often view the insertion of an external object into their body to be sacrilegious (Naghma-E-Rehan et al., 1984).  Although still used in other regions in Nigeria, IUDs are gradually losing favor in the South-Western region (Ameh &amp; Sule, 2007; National Population Commission &amp; ICF International, 2019; National Population Commission &amp; International, 2009, 2014; National Population Commission &amp; Macro, 2004). The need for their husband’s consent maybe one of the primary reasons for the general decline in the application of IUDs. The thread from the IUDs often give women away when using them without their husband’s consent (F. O. Ezugwu &amp; Anya, 2005). The most common reason for discontinuation was a desire for pregnancy, especially among those younger than 35 years (Oye-Adeniran et al., 2005). Married women were more likely to use IUDs than singles, as most singles opt for other forms of contraception (E. C. Ezugwu et al., 2020).</w:t>
      </w:r>
    </w:p>
    <w:p>
      <w:pPr>
        <w:pStyle w:val="BodyText"/>
      </w:pPr>
      <w:r>
        <w:t xml:space="preserve">Nigerian women are most often not aware or have misconceptions on the benefits and side effects of long-acting reversible contraception (</w:t>
      </w:r>
      <w:r>
        <w:rPr>
          <w:iCs/>
          <w:i/>
        </w:rPr>
        <w:t xml:space="preserve">Federal Ministry of Health</w:t>
      </w:r>
      <w:r>
        <w:t xml:space="preserve">, 2013). Hence, the need to heighten awareness, to enable women make informed decisions while choosing a LARC method. Women who used injectables and IUDs were more informed on the side effects of these methods, what to do if they experienced side effects and other methods of long-acting contraception available to them than women who opted for Implants (National Population Commission &amp; ICF International, 2019; National Population Commission &amp; International, 2009, 2014; National Population Commission &amp; Macro, 2004). LARC users were least likely to receive information about side effects or safety issues from a private medical facility than from a government hospital (National Population Commission &amp; ICF International, 2019; National Population Commission &amp; International, 2009, 2014; National Population Commission &amp; Macro, 2004). The same was true of information on what to do if they experienced side effects. (National Population Commission &amp; ICF International, 2019; National Population Commission &amp; International, 2009, 2014; National Population Commission &amp; Macro, 2004).</w:t>
      </w:r>
    </w:p>
    <w:p>
      <w:pPr>
        <w:pStyle w:val="BodyText"/>
      </w:pPr>
      <w:r>
        <w:t xml:space="preserve">Although some women were not current users, they indicated interest in using Injectables and IUDs in the future (</w:t>
      </w:r>
      <w:r>
        <w:rPr>
          <w:iCs/>
          <w:i/>
        </w:rPr>
        <w:t xml:space="preserve">Federal Ministry of Health</w:t>
      </w:r>
      <w:r>
        <w:t xml:space="preserve">, 2013; The RESPOND Project, 2013). The proportion of Nigerian women who were non-users, but intend to use a modern method of contraception (such as LARCs) in the future was lowest in the North-East. This was the same for uneducated women living in rural areas (</w:t>
      </w:r>
      <w:r>
        <w:rPr>
          <w:iCs/>
          <w:i/>
        </w:rPr>
        <w:t xml:space="preserve">Federal Ministry of Health</w:t>
      </w:r>
      <w:r>
        <w:t xml:space="preserve">, 2013).  Knowledge of this is crucial in order to meet the rising demand for LARCs by Nigerian women. These statistics confirm that demand generation will be a critical component of meeting the national contraceptive prevalence goal (Federal Ministry of Health, 2014).</w:t>
      </w:r>
    </w:p>
    <w:tbl>
      <w:tblPr>
        <w:tblStyle w:val="Table"/>
        <w:tblW w:type="pct" w:w="5000"/>
        <w:tblLook w:firstRow="0" w:lastRow="0" w:firstColumn="0" w:lastColumn="0" w:noHBand="0" w:noVBand="0" w:val="0000"/>
        <w:jc w:val="start"/>
      </w:tblPr>
      <w:tblGrid>
        <w:gridCol w:w="7920"/>
      </w:tblGrid>
      <w:tr>
        <w:tc>
          <w:tcPr/>
          <w:bookmarkStart w:id="36" w:name="fig-larcs-use-map"/>
          <w:p>
            <w:pPr>
              <w:jc w:val="center"/>
            </w:pPr>
            <w:r>
              <w:drawing>
                <wp:inline>
                  <wp:extent cx="5943600" cy="4953000"/>
                  <wp:effectExtent b="0" l="0" r="0" t="0"/>
                  <wp:docPr descr="" title="" id="34" name="Picture"/>
                  <a:graphic>
                    <a:graphicData uri="http://schemas.openxmlformats.org/drawingml/2006/picture">
                      <pic:pic>
                        <pic:nvPicPr>
                          <pic:cNvPr descr="figures/larcs-use-map.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 distribution of long-acting reversible contraception use by state in 2018</w:t>
            </w:r>
          </w:p>
          <w:bookmarkEnd w:id="36"/>
        </w:tc>
      </w:tr>
    </w:tbl>
    <w:bookmarkEnd w:id="37"/>
    <w:bookmarkStart w:id="38" w:name="profile-of-women-using-larcs"/>
    <w:p>
      <w:pPr>
        <w:pStyle w:val="Heading2"/>
      </w:pPr>
      <w:r>
        <w:t xml:space="preserve">3.5 Profile of women using LARCs</w:t>
      </w:r>
    </w:p>
    <w:p>
      <w:pPr>
        <w:pStyle w:val="FirstParagraph"/>
      </w:pPr>
      <w:r>
        <w:t xml:space="preserve">LARCs were predominantly used by highly educated women aged 25 and above, residing in urban regions and married. Concerning the household wealth-index, women from poor households (lowest and second wealth quintiles) subscribed less to the different LARC methods compared to women from middle and wealthy households (middle, fourth and highest wealth quintiles) (Bolarinwa &amp; Olagunju, 2020; Ijarotimi et al., 2015; National Population Commission &amp; ICF International, 2019; National Population Commission &amp; International, 2009, 2014; National Population Commission &amp; Macro, 2004; Ugboaja et al., 2011). Women aged 25 years and above were more likely to use a LARC method compared to women aged 15–24 years (Bolarinwa &amp; Olagunju, 2020; Ijarotimi et al., 2015; National Population Commission &amp; ICF International, 2019; National Population Commission &amp; International, 2009, 2014; National Population Commission &amp; Macro, 2004; Udigwe et al., 2002; Ugboaja et al., 2011). Additionally, women who had 1–4 children subscribed further to LARC methods as opposed to women with no children (Bolarinwa &amp; Olagunju, 2020) (Bolarinwa &amp; Olagunju, 2020; Ijarotimi et al., 2015; National Population Commission &amp; ICF International, 2019; National Population Commission &amp; International, 2009, 2014; National Population Commission &amp; Macro, 2004; Ugboaja et al., 2011).</w:t>
      </w:r>
    </w:p>
    <w:bookmarkEnd w:id="38"/>
    <w:bookmarkStart w:id="39" w:name="effectiveness"/>
    <w:p>
      <w:pPr>
        <w:pStyle w:val="Heading2"/>
      </w:pPr>
      <w:r>
        <w:t xml:space="preserve">3.6 Effectiveness</w:t>
      </w:r>
    </w:p>
    <w:p>
      <w:pPr>
        <w:pStyle w:val="FirstParagraph"/>
      </w:pPr>
      <w:r>
        <w:t xml:space="preserve">Generally, LARCs were found to be a highly effective method of birth control, with several studies reporting no accidental pregnancies (Pearl index= 0) (Abasiattai et al., 2010; Abasiattai, A. M. et al., 2008; Adeyemi &amp; Adekanle, 2012; Aisien, 2007; Akadri &amp; Odelola, 2017; Balogun et al., 2014; Enyindah &amp; Kasso, 2011; Ezegwui et al., 2011; Fakeye, 1991; Falase et al., 1989; Farr et al., 1996; Ladipo et al., 1993; Oyediran &amp; Akinla, 1980; Roberts et al., 2015). While there were a few reports of unintended pregnancies, the failure rate was very minimal, ranging from 0.07 percent to 1.5 percent (Adegbola &amp; Ogedengbe, 2008; Chigbu et al., 2010; Enyindah et al., 2012; F. O. Ezugwu &amp; Anya, 2005; Hu et al., 2012; Mutihir et al., 2010; Obi &amp; Anya, 2000; Ojule et al., 2010). Although a relatively high failure rate of 3.7 percent was reported among IUD users in Abia State (Chigbu et al., 2010), unexpected pregnancy was observed in just one out of the 27 IUD users. Larger studies, however, revealed that IUDs, particularly Copper T-380A, were effective in over 99 percent of users (Abasiattai, A. M. et al., 2008; Adegbola &amp; Ogedengbe, 2008; Enyindah &amp; Kasso, 2011; Fakeye, 1991; Farr et al., 1996; Obi &amp; Anya, 2000). Similar high rates were found among users of progesterone-only injectables, notably Depot Medroxyprogesterone acetate (DMPA) (Abasiattai et al., 2010; Adeyemi &amp; Adekanle, 2012; Akadri &amp; Odelola, 2017; Chigbu et al., 2010; F. O. Ezugwu &amp; Anya, 2005; Fakeye, 1991; Falase et al., 1989; Hu et al., 2012) and Norethisterone enanthate (NET-EN), and contraceptive subdermal implants, such as Implanon® (Balogun et al., 2014; Ezegwui et al., 2011; Roberts et al., 2015) Jadelle® (Enyindah &amp; Kasso, 2011)  and Norplant® (Aisien, 2007; Ladipo et al., 1993; Mutihir et al., 2010). A study in Jos reported one failure (3.3 percent) among 30 women who requested for and had Implanon® rods removed (Mutihir &amp; Nyango, 2010). However, this failure was due to inadvertent insertion of the implant during pregnancy.</w:t>
      </w:r>
    </w:p>
    <w:p>
      <w:pPr>
        <w:pStyle w:val="BodyText"/>
      </w:pPr>
      <w:r>
        <w:t xml:space="preserve">3.6 Safety Profile and Complications</w:t>
      </w:r>
    </w:p>
    <w:p>
      <w:pPr>
        <w:pStyle w:val="BodyText"/>
      </w:pPr>
      <w:r>
        <w:t xml:space="preserve">While LARCs were generally reported to be safe, the chief complaints were menstrual abnormalities (Adaji et al., 2005; Adegbola &amp; Ogedengbe, 2008; Adeyemi &amp; Adekanle, 2012; Aisien, 2007; Balogun et al., 2014; Chigbu et al., 2010; Ekabua &amp; Itam, 2007; Enyindah &amp; Kasso, 2011; F. O. Ezugwu &amp; Anya, 2005; Falase et al., 1989; Farr et al., 1996; Hu et al., 2012; Mutihir et al., 2006; Obi &amp; Anya, 2000; Ojule et al., 2010; Okunlola et al., 2009; Roberts et al., 2015). Secondary amenorrhea was the most prevalent menstrual disturbance among women using progesterone-only injectables (Aisien, 2007; Ekabua &amp; Itam, 2007; Enyindah et al., 2012; F. O. Ezugwu &amp; Anya, 2005; Okunlola et al., 2006; Sagay et al., 2008) and reported to a lesser extent by users of IUDs (Abasiattai, A. M. et al., 2008; Enyindah et al., 2012; Okunlola et al., 2009) and subdermal implants (Balogun et al., 2014; Ekabua &amp; Itam, 2007; Roberts et al., 2015). One study in Enugu, however, reported amenorrhea as the main side effect experienced by Jadelle® users (Enyindah &amp; Kasso, 2011). Other menstrual disturbances associated with the use of LARCs include irregular bleeding, heavy/prolonged bleeding, and dysmenorrhea. Also frequently reported complaints were lower abdominal pain (Abasiattai et al., 2010; Abasiattai, A. M. et al., 2008; Aisien, 2007; Chigbu et al., 2010; Enyindah et al., 2012; Falase et al., 1989; Hu et al., 2012; Okunlola et al., 2009) and vaginal discharge. Breast pain was also reported with the use of implants (Aisien, 2007; Balogun et al., 2014). There were also considerable cases of weight gain (Abasiattai et al., 2010; Chigbu et al., 2010; Falase et al., 1989; Hu et al., 2012) and a far lesser proportion of weight loss (Chigbu et al., 2010; Hu et al., 2012) among women using contraceptive injectables. Interestingly, there were a few reports of weight gain in users of IUDs and Implant, with one study in Jos reporting an average weight gain of 2.6kg among users of Copper T-380A (Mutihir et al., 2006). Meanwhile, Sagay et al. suggested that Norplant tends to prolong PR and QRS electrocardiogram intervals (Sagay et al., 2008). Similarly, hypertension was associated with the use of injectables (Akadri &amp; Odelola, 2017; Hu et al., 2012; Ojule et al., 2010), though report. Expulsion and missing IUDs were also reported in a few studies(Abasiattai, A. M. et al., 2008; Enyindah et al., 2012; Obi &amp; Anya, 2000; Okunlola et al., 2009).</w:t>
      </w:r>
    </w:p>
    <w:p>
      <w:pPr>
        <w:pStyle w:val="BodyText"/>
      </w:pPr>
      <w:r>
        <w:t xml:space="preserve">3.7 Barriers to use of LARCs</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 [29]. In the North, women rely on CHEWs with at least two years of post-secondary school education as the primary point of care (</w:t>
      </w:r>
      <w:r>
        <w:rPr>
          <w:iCs/>
          <w:i/>
        </w:rPr>
        <w:t xml:space="preserve">Federal Ministry of Health</w:t>
      </w:r>
      <w:r>
        <w:t xml:space="preserve">, 2013). In addition to their primary responsibility in delivering LARCs, these CHEWs often function as the sole staff members of Primary Health Care Centers, providing all the care in the community and sometimes delivering services for which they are not properly trained (</w:t>
      </w:r>
      <w:r>
        <w:rPr>
          <w:iCs/>
          <w:i/>
        </w:rPr>
        <w:t xml:space="preserve">Federal Ministry of Health</w:t>
      </w:r>
      <w:r>
        <w:t xml:space="preserve">, 2013). As at October 2018, 65 percent of Nigerian health facilities have a LARC-trained service provider (Bietsch et al., 2020). But only 36 percent of these facilities provided LARCs to women at the same period. This shortage maybe because many providers who received training are no longer practicing in the public sector or that commodities, tool and job aids for delivering services are unavailable (</w:t>
      </w:r>
      <w:r>
        <w:rPr>
          <w:iCs/>
          <w:i/>
        </w:rPr>
        <w:t xml:space="preserve">Federal Ministry of Health</w:t>
      </w:r>
      <w:r>
        <w:t xml:space="preserve">, 2013; Federal Ministry of Health, 2020).</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 (Camara et al., 2017; Federal Ministry of Health, 2020). A 2017 study which reviewed restrictions to contraceptive access imposed by service providers (nurses/midwives, patent and proprietary medicine vendors, CHEWs and pharmacists), showed that service preferences were given to clients who were married or older than 24yrs (International Planned Parenthood Federation, 2020). Similarly, the performance monitoring for action (PMA) 2020’s Adolescents and Young Adults Health Brief indicated that unmarried individuals might be able to services for male condoms and emergency contraceptives – but are less likely to access same for LARCs (International Planned Parenthood Federation, 2020). As a result, unmarried individuals might choose not to use LARCs or opt for methods that are more likely accessible but less effective (International Planned Parenthood Federation, 2020). The unavailability of adequate youth-friendly Family Planning service points may be the biggest factor in preventing adolescents from accessing LARCs (Federal Ministry of Health, 2020).</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 (Federal Ministry of Health, 2020). Although during pregnancy, women may not actively seek FP information or services, but they often engage proactively with the healthcare system during antenatal care, delivery, postnatal care, and ﬁrst year infant immunizations (Federal Ministry of Health, 2020).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 (Federal Ministry of Health, 2020).</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 (Federal Ministry of Health, 2020).</w:t>
      </w:r>
    </w:p>
    <w:p>
      <w:pPr>
        <w:pStyle w:val="BodyText"/>
      </w:pPr>
      <w:r>
        <w:t xml:space="preserve">Fear of side effects—real or perceived—is another key barrier hindering the use of LARCs. For example, some women fear that some methods cause excessive bleeding and infertility (Inyang-Etoh &amp; Abah, 2017; The RESPOND Project, 2013; Udigwe et al., 2002). There were common beliefs that if a woman does not give birth to all the children in her womb, she may develop cancer (The RESPOND Project, 2013; Ugboaja et al., 2011). Another commonly held opinion is that a couple should not use any family planning methods early in their childbearing years, to avoid infertility. Some men fear that women become promiscuous when they practice family planning (The RESPOND Project, 2013).</w:t>
      </w:r>
    </w:p>
    <w:p>
      <w:pPr>
        <w:pStyle w:val="BodyText"/>
      </w:pPr>
      <w:r>
        <w:t xml:space="preserve">Lack of support from the husband not only hinders initial contraceptive use but may also lead to pre- mature termination of use of a long-acting method (Aduloju et al., 2021; Ikechebelu et al., 2005; Onwuzurike &amp; Uzochukwu, 2001; The RESPOND Project, 2013). To resolve this and achieve their birth-limiting goals, some women use contraceptive methods covertly, although such behavior may result in serious marital disharmony if the husband learns of it (The RESPOND Project, 2013).</w:t>
      </w:r>
    </w:p>
    <w:p>
      <w:pPr>
        <w:pStyle w:val="BodyText"/>
      </w:pPr>
      <w:r>
        <w:t xml:space="preserve">Other barriers to the use of LARCs include cultural bias (certain cultures are highly supportive of large family size), myths and misconceptions about LARCs, gender inequity, religious beliefs, fear of infection and reduction/loss of libido (Adinma et al., 1998; Aduloju et al., 2021; Inyang-Etoh &amp; Abah, 2017; Onwuzurike &amp; Uzochukwu, 2001; The RESPOND Project, 2013; Ugboaja et al., 2011; Ukaegbu, 1977).</w:t>
      </w:r>
    </w:p>
    <w:bookmarkEnd w:id="39"/>
    <w:bookmarkStart w:id="40" w:name="discontinuation"/>
    <w:p>
      <w:pPr>
        <w:pStyle w:val="Heading2"/>
      </w:pPr>
      <w:r>
        <w:t xml:space="preserve">3.7 Discontinuation</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 (Chigbu et al., 2010; Fakeye, 1991; Hu et al., 2012; Ogedengbe et al., 1987). However, in Osogbo a slightly lower rate of 22.4 percent was observed (Adeyemi &amp; Adekanle, 2012). Interestingly, an Enugu study documented a low discontinuation rate (12.8 percent) even at 36 months (Adaji et al., 2005; Adeyemi &amp; Adekanle, 2012; F. O. Ezugwu &amp; Anya, 2005; Falase et al., 1989; Ojule et al., 2010). Compared to injectables, implants and IUDs had better continuity owing to their longer life span. The 12-month discontinuation rate for IUDs was 10%-22% (Adegbola &amp; Ogedengbe, 2008; Fakeye, 1991; Okunlola et al., 2006; Oyediran &amp; Akinla, 1980; van Dierendonck et al., 1992), while those for implants were 1-8 percent for Implanon® (Ezegwui et al., 2011; Mutihir &amp; Duru, 2008)and 5.4-9.8% for Norplant® (Aisien, 2007; Ekabua &amp; Itam, 2007; Fakeye, 1991). Jadelle®, a relatively new contraceptive implant in Nigeria, had no discontinuations among users in Rivers State (Enyindah &amp; Kasso, 2011). Ogedengbe et al. (Ogedengbe et al., 1987), however, observed comparable discontinuation rates between IUDs (45.6%) and Injectables (50.2%). For Norplant®, after 36 months, approximately 11-18% of users had discontinued use (Aisien, 2007; Ekabua &amp; Itam, 2007; Ozumba et al., 1998).</w:t>
      </w:r>
    </w:p>
    <w:p>
      <w:pPr>
        <w:pStyle w:val="BodyText"/>
      </w:pPr>
      <w:r>
        <w:t xml:space="preserve">Similar to other contraceptives, LARCs are not without side effects. Side effects/health concerns were the primary reason for discontinuing LARCs. Common side effects like changes in menstrual cycle, irregular spotting of blood through the vagina and amenorrhea have been associated to the use of progestogen-only methods (Okafor, 2018).  To reduce the occurrence of side-effects and promote use, LARCs should be selected based on informed decisions. This is an important principle in the delivery of LARCs (National Population Commission &amp; ICF International, 2019; National Population Commission &amp; International, 2009, 2014; National Population Commission &amp; Macro, 2004). Women using LARCs should also be counseled, so they can cope easily with side effects, to avoid dissatisfactions and unnecessary discontinuations of the methods (National Population Commission &amp; ICF International, 2019; National Population Commission &amp; International, 2009, 2014; National Population Commission &amp; Macro, 2004).</w:t>
      </w:r>
    </w:p>
    <w:p>
      <w:pPr>
        <w:pStyle w:val="BodyText"/>
      </w:pPr>
      <w:r>
        <w:t xml:space="preserve">The most frequently reported reasons for discontinuing LARCs were the desire for pregnancy (Adegbola &amp; Ogedengbe, 2008; Aisien, 2007; Balogun et al., 2014; Ekabua &amp; Itam, 2007; Enyindah et al., 2012; Mutihir et al., 2010; Mutihir &amp; Nyango, 2010; Ogedengbe et al., 1987; Okunlola et al., 2006; Sagay et al., 2008; van Dierendonck et al., 1992) and menstrual side effects (Adaji et al., 2005; Adeyemi &amp; Adekanle, 2012; Chigbu et al., 2010; Ezegwui et al., 2011; Fakeye, 1991; Falase et al., 1989; Hu et al., 2012; Mutihir &amp; Nyango, 2010; Obi &amp; Anya, 2000; Oyediran &amp; Akinla, 1980; Ozumba et al., 1998). Abnormal menstruation, particularly amenorrhea, was a commonly cited reason by users of contraceptive injectable (Adaji et al., 2005; Adeyemi &amp; Adekanle, 2012; Chigbu et al., 2010; Falase et al., 1989; Hu et al., 2012). Spousal factors such as husband’s objection and husband’s deaths were also linked with discontinuation (F. O. Ezugwu &amp; Anya, 2005). Expulsion of contraceptive devices was also reported among IUD users (Adegbola &amp; Ogedengbe, 2008; Enyindah et al., 2012; Fakeye, 1991; Mutihir et al., 2006; Naghma-E-Rehan et al., 1984; Ogedengbe et al., 1987).</w:t>
      </w:r>
    </w:p>
    <w:bookmarkEnd w:id="40"/>
    <w:bookmarkStart w:id="41" w:name="policies"/>
    <w:p>
      <w:pPr>
        <w:pStyle w:val="Heading2"/>
      </w:pPr>
      <w:r>
        <w:t xml:space="preserve">3.8 Policies</w:t>
      </w:r>
    </w:p>
    <w:p>
      <w:pPr>
        <w:pStyle w:val="FirstParagraph"/>
      </w:pPr>
      <w:r>
        <w:t xml:space="preserve">The Federal Government of Nigeria (FGON) have made considerably good strides in creating an enabling environment for LARCs to thrive (</w:t>
      </w:r>
      <w:r>
        <w:rPr>
          <w:iCs/>
          <w:i/>
        </w:rPr>
        <w:t xml:space="preserve">Federal Ministry of Health</w:t>
      </w:r>
      <w:r>
        <w:t xml:space="preserve">, 2013). For instance, certain positive policy reforms have occurred, notably the Task Shifting and Sharing Policy which allows CHEWs to administer Injectables (they are still restricted from providing IUDs and implants) (Federal Ministry of Health, 2014, 2020). Additional reforms include making LARCs free in public-sector clinics and reforming the nurse/midwife training curriculum to make it proficiency-based and supported by rigorous supervision (</w:t>
      </w:r>
      <w:r>
        <w:rPr>
          <w:iCs/>
          <w:i/>
        </w:rPr>
        <w:t xml:space="preserve">Federal Ministry of Health</w:t>
      </w:r>
      <w:r>
        <w:t xml:space="preserve">, 2013; Shelton &amp; Finkle, 2016). These policy reforms yielded some success in the uptake of LARCs. For instance, between 2008 and 2013, the use of Implants increased from 0.4 to 3.4 percent (National Population Commission and ICF International, 2009, 2014). Nigeria’s Family Planning Effort (FPE) ratings in 2014 also indicate notable progress in Policies and Access (Avenir Health, 2016). Nevertheless, the country’s FPE scores, are still very low compared to other countries in the region (Avenir Health, 2016). Hence, intensive efforts are needed to significantly improve Nigeria’s FP policy and program environment (Avenir Health, 2016).</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 (Federal Ministry of Health, 2014). Other important policies include the National Youth Policy (2009); Gender Policy (2008); National Policy on Health and Development of Adolescents and Young People in Nigeria (2007) and the National School Health Policy (2006). The latter provides the framework for implementing the national school health program (Cortez et al., 2015).</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 (Federal Ministry of Health, 2020).</w:t>
      </w:r>
    </w:p>
    <w:p>
      <w:pPr>
        <w:pStyle w:val="BodyText"/>
      </w:pPr>
      <w:r>
        <w:t xml:space="preserve">However, there are still some gaps in some of the policies, especially pertaining access to family planning services and rights to adolescents and youths (Federal Ministry of Health, 2020).</w:t>
      </w:r>
    </w:p>
    <w:p>
      <w:pPr>
        <w:pStyle w:val="BodyText"/>
      </w:pPr>
      <w:r>
        <w:t xml:space="preserve">Currently, reproductive health policies do not indicate unrestricted access to Family planning (including LARCs) services for youths, without provider discretion, parental or spousal consent (Federal Ministry of Health, 2020).</w:t>
      </w:r>
    </w:p>
    <w:p>
      <w:pPr>
        <w:pStyle w:val="BodyText"/>
      </w:pPr>
      <w:r>
        <w:t xml:space="preserve">. Most policies and national documents are vague on the age of consent for youths (i.e. age of consent) (Power et al., 2021). These documents do not explicitly state the youth’s legal right to freely and independently access a full range of contraceptive services, including LARCs (Federal Ministry of Health, 2020). Hence, health providers choosing to provide service to adolescents and youth are not protected by any policy statement that legally authorizes health providers to offer contraceptive services to this age group (Federal Ministry of Health, 2020).</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 (Federal Ministry of Health, 2020).</w:t>
      </w:r>
    </w:p>
    <w:p>
      <w:pPr>
        <w:pStyle w:val="BodyText"/>
      </w:pPr>
      <w:r>
        <w:t xml:space="preserve">Another policy challenge is the poor translation of existing policies to action (Federal Ministry of Health, 2020). There is a recurrent challenge of timely and effective implementation of most policies/guidelines (Federal Ministry of Health, 2020).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 (Federal Ministry of Health, 2020). Likewise, for the National FP Blueprint, 14 states are yet to domesticate the plan to state level costed implementation plans since its launch in 2014 (Federal Ministry of Health, 2020).</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41"/>
    <w:bookmarkStart w:id="42" w:name="programs-and-initiatives"/>
    <w:p>
      <w:pPr>
        <w:pStyle w:val="Heading2"/>
      </w:pPr>
      <w:r>
        <w:t xml:space="preserve">3.9 Programs and Initiatives</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 (Federal Ministry of Health, 2020). These programs have strikingly increased the provision of LARCs in Nigeria (Shelton &amp; Finkle, 2016).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 (Shelton &amp; Finkle, 2016).</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 (</w:t>
      </w:r>
      <w:r>
        <w:rPr>
          <w:iCs/>
          <w:i/>
        </w:rPr>
        <w:t xml:space="preserve">Nigeria - Kaduna and Lagos Performance Monitoring and Accountability 2020 Survey, Round 2 2015 | GHDx</w:t>
      </w:r>
      <w:r>
        <w:t xml:space="preserve">, n.d.).</w:t>
      </w:r>
    </w:p>
    <w:p>
      <w:pPr>
        <w:pStyle w:val="BodyText"/>
      </w:pPr>
      <w:r>
        <w:t xml:space="preserve">Furthermore, these programs have provided proof for many vague concepts about LARC uptake in Nigeria. First, it can now be firmly stated that LARCs are highly acceptable for Nigerian women desiring contraception (Shelton &amp; Finkle, 2016). Second, promoting equity by providing LARC services in very low-income as well as higher-income clients is highly efficient (Shelton &amp; Finkle, 2016). A precedent, indicates that 75 percent, 53 percent, and 49 percent of Marie Stopes Nigeria’s mobile outreach, Family Health Plus, and social franchising clients, respectively, were from households living on less than US$2.50 per day (Shelton &amp; Finkle, 2016).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 (Shelton &amp; Finkle, 2016). Fourth, the Family Health Plus program showed that despite the public sector’s reputation as a weak service delivery platform, when the private sector works closely with the government, public-sector service delivery on LARCs can be successful (Shelton &amp; Finkle, 2016).</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3914"/>
        <w:gridCol w:w="1274"/>
        <w:gridCol w:w="1183"/>
        <w:gridCol w:w="1547"/>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 LARCs</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 (Shelton &amp; Finkle, 2016).</w:t>
      </w:r>
    </w:p>
    <w:bookmarkEnd w:id="42"/>
    <w:bookmarkEnd w:id="43"/>
    <w:bookmarkStart w:id="44" w:name="sec-discussion"/>
    <w:p>
      <w:pPr>
        <w:pStyle w:val="Heading1"/>
      </w:pPr>
      <w:r>
        <w:t xml:space="preserve">4. Discussion</w:t>
      </w:r>
    </w:p>
    <w:bookmarkEnd w:id="44"/>
    <w:bookmarkStart w:id="99" w:name="sec-references"/>
    <w:p>
      <w:pPr>
        <w:pStyle w:val="Heading1"/>
      </w:pPr>
      <w:r>
        <w:t xml:space="preserve">5. References</w:t>
      </w:r>
    </w:p>
    <w:bookmarkStart w:id="98" w:name="refs"/>
    <w:bookmarkStart w:id="46"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45">
        <w:r>
          <w:rPr>
            <w:rStyle w:val="Hyperlink"/>
          </w:rPr>
          <w:t xml:space="preserve">https://doi.org/10.1371/journal.pone.0217574</w:t>
        </w:r>
      </w:hyperlink>
      <w:r>
        <w:t xml:space="preserve">.</w:t>
      </w:r>
    </w:p>
    <w:bookmarkEnd w:id="46"/>
    <w:bookmarkStart w:id="48"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47">
        <w:r>
          <w:rPr>
            <w:rStyle w:val="Hyperlink"/>
          </w:rPr>
          <w:t xml:space="preserve">https://doi.org/10.1023/A:1006590717562</w:t>
        </w:r>
      </w:hyperlink>
      <w:r>
        <w:t xml:space="preserve">.</w:t>
      </w:r>
    </w:p>
    <w:bookmarkEnd w:id="48"/>
    <w:bookmarkStart w:id="50"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49">
        <w:r>
          <w:rPr>
            <w:rStyle w:val="Hyperlink"/>
          </w:rPr>
          <w:t xml:space="preserve">https://doi.org/10.4103/npmj.npmj_99_17</w:t>
        </w:r>
      </w:hyperlink>
      <w:r>
        <w:t xml:space="preserve">.</w:t>
      </w:r>
    </w:p>
    <w:bookmarkEnd w:id="50"/>
    <w:bookmarkStart w:id="52"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51">
        <w:r>
          <w:rPr>
            <w:rStyle w:val="Hyperlink"/>
          </w:rPr>
          <w:t xml:space="preserve">https://doi.org/10.4314/njcp.v10i3.11329</w:t>
        </w:r>
      </w:hyperlink>
      <w:r>
        <w:t xml:space="preserve">.</w:t>
      </w:r>
    </w:p>
    <w:bookmarkEnd w:id="52"/>
    <w:bookmarkStart w:id="54"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53">
        <w:r>
          <w:rPr>
            <w:rStyle w:val="Hyperlink"/>
          </w:rPr>
          <w:t xml:space="preserve">https://doi.org/10.1371/journal.pone.0220970</w:t>
        </w:r>
      </w:hyperlink>
      <w:r>
        <w:t xml:space="preserve">.</w:t>
      </w:r>
    </w:p>
    <w:bookmarkEnd w:id="54"/>
    <w:bookmarkStart w:id="56"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55">
        <w:r>
          <w:rPr>
            <w:rStyle w:val="Hyperlink"/>
          </w:rPr>
          <w:t xml:space="preserve">https://doi.org/10.1016/j.bpobgyn.2019.12.002</w:t>
        </w:r>
      </w:hyperlink>
      <w:r>
        <w:t xml:space="preserve">.</w:t>
      </w:r>
    </w:p>
    <w:bookmarkEnd w:id="56"/>
    <w:bookmarkStart w:id="58"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57">
        <w:r>
          <w:rPr>
            <w:rStyle w:val="Hyperlink"/>
          </w:rPr>
          <w:t xml:space="preserve">https://doi.org/10.1363/4117015</w:t>
        </w:r>
      </w:hyperlink>
      <w:r>
        <w:t xml:space="preserve">.</w:t>
      </w:r>
    </w:p>
    <w:bookmarkEnd w:id="58"/>
    <w:bookmarkStart w:id="60"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59">
        <w:r>
          <w:rPr>
            <w:rStyle w:val="Hyperlink"/>
          </w:rPr>
          <w:t xml:space="preserve">https://doi.org/10.1363/43e5217</w:t>
        </w:r>
      </w:hyperlink>
      <w:r>
        <w:t xml:space="preserve">.</w:t>
      </w:r>
    </w:p>
    <w:bookmarkEnd w:id="60"/>
    <w:bookmarkStart w:id="62"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61">
        <w:r>
          <w:rPr>
            <w:rStyle w:val="Hyperlink"/>
          </w:rPr>
          <w:t xml:space="preserve">https://doi.org/10.12688/gatesopenres.12902.3</w:t>
        </w:r>
      </w:hyperlink>
      <w:r>
        <w:t xml:space="preserve">.</w:t>
      </w:r>
    </w:p>
    <w:bookmarkEnd w:id="62"/>
    <w:bookmarkStart w:id="64"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63">
        <w:r>
          <w:rPr>
            <w:rStyle w:val="Hyperlink"/>
          </w:rPr>
          <w:t xml:space="preserve">https://doi.org/10.3109/01443615.2010.539720</w:t>
        </w:r>
      </w:hyperlink>
      <w:r>
        <w:t xml:space="preserve">.</w:t>
      </w:r>
    </w:p>
    <w:bookmarkEnd w:id="64"/>
    <w:bookmarkStart w:id="66"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65">
        <w:r>
          <w:rPr>
            <w:rStyle w:val="Hyperlink"/>
          </w:rPr>
          <w:t xml:space="preserve">https://doi.org/10.1080/13625187.2018.1519535</w:t>
        </w:r>
      </w:hyperlink>
      <w:r>
        <w:t xml:space="preserve">.</w:t>
      </w:r>
    </w:p>
    <w:bookmarkEnd w:id="66"/>
    <w:bookmarkStart w:id="68"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67">
        <w:r>
          <w:rPr>
            <w:rStyle w:val="Hyperlink"/>
          </w:rPr>
          <w:t xml:space="preserve">https://doi.org/10.2147/OAJC.S9281</w:t>
        </w:r>
      </w:hyperlink>
      <w:r>
        <w:t xml:space="preserve">.</w:t>
      </w:r>
    </w:p>
    <w:bookmarkEnd w:id="68"/>
    <w:bookmarkStart w:id="70"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69">
        <w:r>
          <w:rPr>
            <w:rStyle w:val="Hyperlink"/>
          </w:rPr>
          <w:t xml:space="preserve">https://doi.org/10.1353/sof.0.0278</w:t>
        </w:r>
      </w:hyperlink>
      <w:r>
        <w:t xml:space="preserve">.</w:t>
      </w:r>
    </w:p>
    <w:bookmarkEnd w:id="70"/>
    <w:bookmarkStart w:id="72"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71">
        <w:r>
          <w:rPr>
            <w:rStyle w:val="Hyperlink"/>
          </w:rPr>
          <w:t xml:space="preserve">https://doi.org/10.1017/S0021932000015261</w:t>
        </w:r>
      </w:hyperlink>
      <w:r>
        <w:t xml:space="preserve">.</w:t>
      </w:r>
    </w:p>
    <w:bookmarkEnd w:id="72"/>
    <w:bookmarkStart w:id="73"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73"/>
    <w:bookmarkStart w:id="74"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74"/>
    <w:bookmarkStart w:id="75" w:name="ref-nationalpopulationcommission2014"/>
    <w:p>
      <w:pPr>
        <w:pStyle w:val="Bibliography"/>
      </w:pPr>
      <w:r>
        <w:t xml:space="preserve">National Population Commission, and ICF International.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75"/>
    <w:bookmarkStart w:id="76"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76"/>
    <w:bookmarkStart w:id="78"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77">
        <w:r>
          <w:rPr>
            <w:rStyle w:val="Hyperlink"/>
          </w:rPr>
          <w:t xml:space="preserve">https://doi.org/10.1016/S0033-3506(05)80617-1</w:t>
        </w:r>
      </w:hyperlink>
      <w:r>
        <w:t xml:space="preserve">.</w:t>
      </w:r>
    </w:p>
    <w:bookmarkEnd w:id="78"/>
    <w:bookmarkStart w:id="80"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79">
        <w:r>
          <w:rPr>
            <w:rStyle w:val="Hyperlink"/>
          </w:rPr>
          <w:t xml:space="preserve">https://doi.org/10.3923/rjmsci.2012.181.186</w:t>
        </w:r>
      </w:hyperlink>
      <w:r>
        <w:t xml:space="preserve">.</w:t>
      </w:r>
    </w:p>
    <w:bookmarkEnd w:id="80"/>
    <w:bookmarkStart w:id="82"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81">
        <w:r>
          <w:rPr>
            <w:rStyle w:val="Hyperlink"/>
          </w:rPr>
          <w:t xml:space="preserve">https://doi.org/10.1080/01443610500171201</w:t>
        </w:r>
      </w:hyperlink>
      <w:r>
        <w:t xml:space="preserve">.</w:t>
      </w:r>
    </w:p>
    <w:bookmarkEnd w:id="82"/>
    <w:bookmarkStart w:id="84"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83">
        <w:r>
          <w:rPr>
            <w:rStyle w:val="Hyperlink"/>
          </w:rPr>
          <w:t xml:space="preserve">https://doi.org/10.4314/ajrh.v5i2.7683</w:t>
        </w:r>
      </w:hyperlink>
      <w:r>
        <w:t xml:space="preserve">.</w:t>
      </w:r>
    </w:p>
    <w:bookmarkEnd w:id="84"/>
    <w:bookmarkStart w:id="86"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85">
        <w:r>
          <w:rPr>
            <w:rStyle w:val="Hyperlink"/>
          </w:rPr>
          <w:t xml:space="preserve">https://doi.org/10.1080/13625180500331259</w:t>
        </w:r>
      </w:hyperlink>
      <w:r>
        <w:t xml:space="preserve">.</w:t>
      </w:r>
    </w:p>
    <w:bookmarkEnd w:id="86"/>
    <w:bookmarkStart w:id="88"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87">
        <w:r>
          <w:rPr>
            <w:rStyle w:val="Hyperlink"/>
          </w:rPr>
          <w:t xml:space="preserve">https://doi.org/10.1007/s13524-019-00816-z</w:t>
        </w:r>
      </w:hyperlink>
      <w:r>
        <w:t xml:space="preserve">.</w:t>
      </w:r>
    </w:p>
    <w:bookmarkEnd w:id="88"/>
    <w:bookmarkStart w:id="90"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89">
        <w:r>
          <w:rPr>
            <w:rStyle w:val="Hyperlink"/>
          </w:rPr>
          <w:t xml:space="preserve">https://doi.org/10.1111/tmi.13586</w:t>
        </w:r>
      </w:hyperlink>
      <w:r>
        <w:t xml:space="preserve">.</w:t>
      </w:r>
    </w:p>
    <w:bookmarkEnd w:id="90"/>
    <w:bookmarkStart w:id="92"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91">
        <w:r>
          <w:rPr>
            <w:rStyle w:val="Hyperlink"/>
          </w:rPr>
          <w:t xml:space="preserve">https://doi.org/10.2307/2137860</w:t>
        </w:r>
      </w:hyperlink>
      <w:r>
        <w:t xml:space="preserve">.</w:t>
      </w:r>
    </w:p>
    <w:bookmarkEnd w:id="92"/>
    <w:bookmarkStart w:id="94"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93">
        <w:r>
          <w:rPr>
            <w:rStyle w:val="Hyperlink"/>
          </w:rPr>
          <w:t xml:space="preserve">https://doi.org/10.1363/3217506</w:t>
        </w:r>
      </w:hyperlink>
      <w:r>
        <w:t xml:space="preserve">.</w:t>
      </w:r>
    </w:p>
    <w:bookmarkEnd w:id="94"/>
    <w:bookmarkStart w:id="95"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95"/>
    <w:bookmarkStart w:id="97"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96">
        <w:r>
          <w:rPr>
            <w:rStyle w:val="Hyperlink"/>
          </w:rPr>
          <w:t xml:space="preserve">https://doi.org/10.3390/ijerph192013027</w:t>
        </w:r>
      </w:hyperlink>
      <w:r>
        <w:t xml:space="preserve">.</w:t>
      </w:r>
    </w:p>
    <w:bookmarkEnd w:id="97"/>
    <w:bookmarkEnd w:id="98"/>
    <w:bookmarkEnd w:id="99"/>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z" /><Relationship Type="http://schemas.openxmlformats.org/officeDocument/2006/relationships/image" Id="rId33" Target="media/rId33.svgz" /><Relationship Type="http://schemas.openxmlformats.org/officeDocument/2006/relationships/hyperlink" Id="rId87" Target="https://doi.org/10.1007/s13524-019-00816-z" TargetMode="External" /><Relationship Type="http://schemas.openxmlformats.org/officeDocument/2006/relationships/hyperlink" Id="rId77" Target="https://doi.org/10.1016/S0033-3506(05)80617-1" TargetMode="External" /><Relationship Type="http://schemas.openxmlformats.org/officeDocument/2006/relationships/hyperlink" Id="rId55" Target="https://doi.org/10.1016/j.bpobgyn.2019.12.002" TargetMode="External" /><Relationship Type="http://schemas.openxmlformats.org/officeDocument/2006/relationships/hyperlink" Id="rId71" Target="https://doi.org/10.1017/S0021932000015261" TargetMode="External" /><Relationship Type="http://schemas.openxmlformats.org/officeDocument/2006/relationships/hyperlink" Id="rId47" Target="https://doi.org/10.1023/A:1006590717562" TargetMode="External" /><Relationship Type="http://schemas.openxmlformats.org/officeDocument/2006/relationships/hyperlink" Id="rId81" Target="https://doi.org/10.1080/01443610500171201" TargetMode="External" /><Relationship Type="http://schemas.openxmlformats.org/officeDocument/2006/relationships/hyperlink" Id="rId85" Target="https://doi.org/10.1080/13625180500331259" TargetMode="External" /><Relationship Type="http://schemas.openxmlformats.org/officeDocument/2006/relationships/hyperlink" Id="rId65" Target="https://doi.org/10.1080/13625187.2018.1519535" TargetMode="External" /><Relationship Type="http://schemas.openxmlformats.org/officeDocument/2006/relationships/hyperlink" Id="rId89" Target="https://doi.org/10.1111/tmi.13586" TargetMode="External" /><Relationship Type="http://schemas.openxmlformats.org/officeDocument/2006/relationships/hyperlink" Id="rId61" Target="https://doi.org/10.12688/gatesopenres.12902.3" TargetMode="External" /><Relationship Type="http://schemas.openxmlformats.org/officeDocument/2006/relationships/hyperlink" Id="rId69" Target="https://doi.org/10.1353/sof.0.0278" TargetMode="External" /><Relationship Type="http://schemas.openxmlformats.org/officeDocument/2006/relationships/hyperlink" Id="rId93" Target="https://doi.org/10.1363/3217506" TargetMode="External" /><Relationship Type="http://schemas.openxmlformats.org/officeDocument/2006/relationships/hyperlink" Id="rId57" Target="https://doi.org/10.1363/4117015" TargetMode="External" /><Relationship Type="http://schemas.openxmlformats.org/officeDocument/2006/relationships/hyperlink" Id="rId59" Target="https://doi.org/10.1363/43e5217" TargetMode="External" /><Relationship Type="http://schemas.openxmlformats.org/officeDocument/2006/relationships/hyperlink" Id="rId45" Target="https://doi.org/10.1371/journal.pone.0217574" TargetMode="External" /><Relationship Type="http://schemas.openxmlformats.org/officeDocument/2006/relationships/hyperlink" Id="rId53" Target="https://doi.org/10.1371/journal.pone.0220970" TargetMode="External" /><Relationship Type="http://schemas.openxmlformats.org/officeDocument/2006/relationships/hyperlink" Id="rId67" Target="https://doi.org/10.2147/OAJC.S9281" TargetMode="External" /><Relationship Type="http://schemas.openxmlformats.org/officeDocument/2006/relationships/hyperlink" Id="rId91" Target="https://doi.org/10.2307/2137860" TargetMode="External" /><Relationship Type="http://schemas.openxmlformats.org/officeDocument/2006/relationships/hyperlink" Id="rId63" Target="https://doi.org/10.3109/01443615.2010.539720" TargetMode="External" /><Relationship Type="http://schemas.openxmlformats.org/officeDocument/2006/relationships/hyperlink" Id="rId96" Target="https://doi.org/10.3390/ijerph192013027" TargetMode="External" /><Relationship Type="http://schemas.openxmlformats.org/officeDocument/2006/relationships/hyperlink" Id="rId79" Target="https://doi.org/10.3923/rjmsci.2012.181.186" TargetMode="External" /><Relationship Type="http://schemas.openxmlformats.org/officeDocument/2006/relationships/hyperlink" Id="rId49" Target="https://doi.org/10.4103/npmj.npmj_99_17" TargetMode="External" /><Relationship Type="http://schemas.openxmlformats.org/officeDocument/2006/relationships/hyperlink" Id="rId83" Target="https://doi.org/10.4314/ajrh.v5i2.7683" TargetMode="External" /><Relationship Type="http://schemas.openxmlformats.org/officeDocument/2006/relationships/hyperlink" Id="rId51" Target="https://doi.org/10.4314/njcp.v10i3.11329"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7/s13524-019-00816-z" TargetMode="External" /><Relationship Type="http://schemas.openxmlformats.org/officeDocument/2006/relationships/hyperlink" Id="rId77" Target="https://doi.org/10.1016/S0033-3506(05)80617-1" TargetMode="External" /><Relationship Type="http://schemas.openxmlformats.org/officeDocument/2006/relationships/hyperlink" Id="rId55" Target="https://doi.org/10.1016/j.bpobgyn.2019.12.002" TargetMode="External" /><Relationship Type="http://schemas.openxmlformats.org/officeDocument/2006/relationships/hyperlink" Id="rId71" Target="https://doi.org/10.1017/S0021932000015261" TargetMode="External" /><Relationship Type="http://schemas.openxmlformats.org/officeDocument/2006/relationships/hyperlink" Id="rId47" Target="https://doi.org/10.1023/A:1006590717562" TargetMode="External" /><Relationship Type="http://schemas.openxmlformats.org/officeDocument/2006/relationships/hyperlink" Id="rId81" Target="https://doi.org/10.1080/01443610500171201" TargetMode="External" /><Relationship Type="http://schemas.openxmlformats.org/officeDocument/2006/relationships/hyperlink" Id="rId85" Target="https://doi.org/10.1080/13625180500331259" TargetMode="External" /><Relationship Type="http://schemas.openxmlformats.org/officeDocument/2006/relationships/hyperlink" Id="rId65" Target="https://doi.org/10.1080/13625187.2018.1519535" TargetMode="External" /><Relationship Type="http://schemas.openxmlformats.org/officeDocument/2006/relationships/hyperlink" Id="rId89" Target="https://doi.org/10.1111/tmi.13586" TargetMode="External" /><Relationship Type="http://schemas.openxmlformats.org/officeDocument/2006/relationships/hyperlink" Id="rId61" Target="https://doi.org/10.12688/gatesopenres.12902.3" TargetMode="External" /><Relationship Type="http://schemas.openxmlformats.org/officeDocument/2006/relationships/hyperlink" Id="rId69" Target="https://doi.org/10.1353/sof.0.0278" TargetMode="External" /><Relationship Type="http://schemas.openxmlformats.org/officeDocument/2006/relationships/hyperlink" Id="rId93" Target="https://doi.org/10.1363/3217506" TargetMode="External" /><Relationship Type="http://schemas.openxmlformats.org/officeDocument/2006/relationships/hyperlink" Id="rId57" Target="https://doi.org/10.1363/4117015" TargetMode="External" /><Relationship Type="http://schemas.openxmlformats.org/officeDocument/2006/relationships/hyperlink" Id="rId59" Target="https://doi.org/10.1363/43e5217" TargetMode="External" /><Relationship Type="http://schemas.openxmlformats.org/officeDocument/2006/relationships/hyperlink" Id="rId45" Target="https://doi.org/10.1371/journal.pone.0217574" TargetMode="External" /><Relationship Type="http://schemas.openxmlformats.org/officeDocument/2006/relationships/hyperlink" Id="rId53" Target="https://doi.org/10.1371/journal.pone.0220970" TargetMode="External" /><Relationship Type="http://schemas.openxmlformats.org/officeDocument/2006/relationships/hyperlink" Id="rId67" Target="https://doi.org/10.2147/OAJC.S9281" TargetMode="External" /><Relationship Type="http://schemas.openxmlformats.org/officeDocument/2006/relationships/hyperlink" Id="rId91" Target="https://doi.org/10.2307/2137860" TargetMode="External" /><Relationship Type="http://schemas.openxmlformats.org/officeDocument/2006/relationships/hyperlink" Id="rId63" Target="https://doi.org/10.3109/01443615.2010.539720" TargetMode="External" /><Relationship Type="http://schemas.openxmlformats.org/officeDocument/2006/relationships/hyperlink" Id="rId96" Target="https://doi.org/10.3390/ijerph192013027" TargetMode="External" /><Relationship Type="http://schemas.openxmlformats.org/officeDocument/2006/relationships/hyperlink" Id="rId79" Target="https://doi.org/10.3923/rjmsci.2012.181.186" TargetMode="External" /><Relationship Type="http://schemas.openxmlformats.org/officeDocument/2006/relationships/hyperlink" Id="rId49" Target="https://doi.org/10.4103/npmj.npmj_99_17" TargetMode="External" /><Relationship Type="http://schemas.openxmlformats.org/officeDocument/2006/relationships/hyperlink" Id="rId83" Target="https://doi.org/10.4314/ajrh.v5i2.7683" TargetMode="External" /><Relationship Type="http://schemas.openxmlformats.org/officeDocument/2006/relationships/hyperlink" Id="rId51" Target="https://doi.org/10.4314/njcp.v10i3.113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2023-05-11T14:45:07Z</dcterms:created>
  <dcterms:modified xsi:type="dcterms:W3CDTF">2023-05-11T14:45:07Z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2023</vt:lpwstr>
  </property>
  <property fmtid="{D5CDD505-2E9C-101B-9397-08002B2CF9AE}" pid="10" name="date-format">
    <vt:lpwstr>MMM YYYY</vt:lpwstr>
  </property>
  <property fmtid="{D5CDD505-2E9C-101B-9397-08002B2CF9AE}" pid="11" name="date-modified">
    <vt:lpwstr>May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Working Paper</vt:lpwstr>
  </property>
  <property fmtid="{D5CDD505-2E9C-101B-9397-08002B2CF9AE}" pid="19" name="toc-location">
    <vt:lpwstr>left</vt:lpwstr>
  </property>
  <property fmtid="{D5CDD505-2E9C-101B-9397-08002B2CF9AE}" pid="20" name="toc-title">
    <vt:lpwstr>Table of Contents</vt:lpwstr>
  </property>
  <property fmtid="{D5CDD505-2E9C-101B-9397-08002B2CF9AE}" pid="21" name="toccolor">
    <vt:lpwstr>blue</vt:lpwstr>
  </property>
</Properties>
</file>