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647F3F" w14:paraId="536C2A2A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1F5C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228DC8AA" w14:textId="77777777" w:rsidR="00647F3F" w:rsidRDefault="00C0205B" w:rsidP="00317ED0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ADEBOWALE SALES PERFORMANCE</w:t>
            </w:r>
          </w:p>
          <w:p w14:paraId="3457E63E" w14:textId="5A9841BF" w:rsidR="00647F3F" w:rsidRPr="00317ED0" w:rsidRDefault="00C0205B" w:rsidP="00317ED0">
            <w:pPr>
              <w:spacing w:before="60"/>
              <w:jc w:val="center"/>
              <w:rPr>
                <w:b/>
                <w:bCs/>
              </w:rPr>
            </w:pPr>
            <w:r w:rsidRPr="00317ED0">
              <w:rPr>
                <w:b/>
                <w:bCs/>
                <w:color w:val="D9DCF2"/>
                <w:sz w:val="24"/>
                <w:szCs w:val="24"/>
              </w:rPr>
              <w:t>Executive Board Report Card</w:t>
            </w:r>
          </w:p>
          <w:p w14:paraId="2B28B31D" w14:textId="1EC7B891" w:rsidR="00647F3F" w:rsidRPr="00317ED0" w:rsidRDefault="00C0205B" w:rsidP="00317ED0">
            <w:pPr>
              <w:spacing w:before="120"/>
              <w:jc w:val="center"/>
              <w:rPr>
                <w:b/>
                <w:bCs/>
              </w:rPr>
            </w:pPr>
            <w:r w:rsidRPr="00317ED0">
              <w:rPr>
                <w:b/>
                <w:bCs/>
                <w:i/>
                <w:iCs/>
                <w:color w:val="BFC3E8"/>
                <w:sz w:val="18"/>
                <w:szCs w:val="18"/>
              </w:rPr>
              <w:t>Prepared for Board Review | Period Covered: FY2020–FY2022 | Source: Power BI Sales Dashboard</w:t>
            </w:r>
          </w:p>
        </w:tc>
      </w:tr>
    </w:tbl>
    <w:p w14:paraId="78F38171" w14:textId="77777777" w:rsidR="00647F3F" w:rsidRDefault="00C0205B">
      <w:pPr>
        <w:pStyle w:val="Heading1"/>
        <w:spacing w:before="320" w:after="140"/>
      </w:pPr>
      <w:r>
        <w:rPr>
          <w:b/>
          <w:bCs/>
          <w:color w:val="1B1F5C"/>
        </w:rPr>
        <w:t>1. Headline KPI Snapshot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7"/>
        <w:gridCol w:w="2607"/>
        <w:gridCol w:w="2608"/>
        <w:gridCol w:w="2608"/>
      </w:tblGrid>
      <w:tr w:rsidR="00647F3F" w14:paraId="276289C1" w14:textId="77777777" w:rsidTr="00317ED0">
        <w:trPr>
          <w:trHeight w:val="937"/>
        </w:trPr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B9C177" w14:textId="77777777" w:rsidR="00647F3F" w:rsidRDefault="00C0205B">
            <w:pPr>
              <w:jc w:val="center"/>
            </w:pPr>
            <w:r>
              <w:rPr>
                <w:b/>
                <w:bCs/>
                <w:color w:val="1B1F5C"/>
                <w:sz w:val="30"/>
                <w:szCs w:val="30"/>
              </w:rPr>
              <w:t>₦3.11M</w:t>
            </w:r>
          </w:p>
          <w:p w14:paraId="613FBDFB" w14:textId="55C04578" w:rsidR="00317ED0" w:rsidRPr="00317ED0" w:rsidRDefault="00C0205B" w:rsidP="00317ED0">
            <w:pPr>
              <w:spacing w:before="40"/>
              <w:jc w:val="center"/>
              <w:rPr>
                <w:b/>
                <w:bCs/>
                <w:color w:val="666666"/>
                <w:sz w:val="18"/>
                <w:szCs w:val="18"/>
              </w:rPr>
            </w:pPr>
            <w:r w:rsidRPr="00317ED0">
              <w:rPr>
                <w:b/>
                <w:bCs/>
                <w:color w:val="666666"/>
                <w:sz w:val="18"/>
                <w:szCs w:val="18"/>
              </w:rPr>
              <w:t>Total Revenue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683886" w14:textId="77777777" w:rsidR="00647F3F" w:rsidRDefault="00C0205B">
            <w:pPr>
              <w:jc w:val="center"/>
            </w:pPr>
            <w:r>
              <w:rPr>
                <w:b/>
                <w:bCs/>
                <w:color w:val="1B1F5C"/>
                <w:sz w:val="30"/>
                <w:szCs w:val="30"/>
              </w:rPr>
              <w:t>₦2.17M</w:t>
            </w:r>
          </w:p>
          <w:p w14:paraId="6A4D4D8F" w14:textId="77777777" w:rsidR="00647F3F" w:rsidRPr="00317ED0" w:rsidRDefault="00C0205B">
            <w:pPr>
              <w:spacing w:before="40"/>
              <w:jc w:val="center"/>
              <w:rPr>
                <w:b/>
                <w:bCs/>
              </w:rPr>
            </w:pPr>
            <w:r w:rsidRPr="00317ED0">
              <w:rPr>
                <w:b/>
                <w:bCs/>
                <w:color w:val="666666"/>
                <w:sz w:val="18"/>
                <w:szCs w:val="18"/>
              </w:rPr>
              <w:t>Total Cost</w:t>
            </w: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40D94F" w14:textId="77777777" w:rsidR="00317ED0" w:rsidRDefault="00317ED0">
            <w:pPr>
              <w:jc w:val="center"/>
              <w:rPr>
                <w:b/>
                <w:bCs/>
                <w:color w:val="1B1F5C"/>
                <w:sz w:val="30"/>
                <w:szCs w:val="30"/>
              </w:rPr>
            </w:pPr>
          </w:p>
          <w:p w14:paraId="32A561D5" w14:textId="5424AE55" w:rsidR="00647F3F" w:rsidRDefault="00C0205B">
            <w:pPr>
              <w:jc w:val="center"/>
            </w:pPr>
            <w:r>
              <w:rPr>
                <w:b/>
                <w:bCs/>
                <w:color w:val="1B1F5C"/>
                <w:sz w:val="30"/>
                <w:szCs w:val="30"/>
              </w:rPr>
              <w:t>₦931.91K</w:t>
            </w:r>
          </w:p>
          <w:p w14:paraId="0DA6FE06" w14:textId="77777777" w:rsidR="00647F3F" w:rsidRPr="00317ED0" w:rsidRDefault="00C0205B">
            <w:pPr>
              <w:spacing w:before="40"/>
              <w:jc w:val="center"/>
              <w:rPr>
                <w:b/>
                <w:bCs/>
              </w:rPr>
            </w:pPr>
            <w:r w:rsidRPr="00317ED0">
              <w:rPr>
                <w:b/>
                <w:bCs/>
                <w:color w:val="666666"/>
                <w:sz w:val="18"/>
                <w:szCs w:val="18"/>
              </w:rPr>
              <w:t>Total Profit</w:t>
            </w:r>
          </w:p>
          <w:p w14:paraId="5A6BF742" w14:textId="5F5ED52B" w:rsidR="00647F3F" w:rsidRDefault="00647F3F">
            <w:pPr>
              <w:jc w:val="center"/>
            </w:pPr>
          </w:p>
        </w:tc>
        <w:tc>
          <w:tcPr>
            <w:tcW w:w="12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F978F6" w14:textId="77777777" w:rsidR="00647F3F" w:rsidRDefault="00C0205B">
            <w:pPr>
              <w:jc w:val="center"/>
            </w:pPr>
            <w:r>
              <w:rPr>
                <w:b/>
                <w:bCs/>
                <w:color w:val="1B1F5C"/>
                <w:sz w:val="30"/>
                <w:szCs w:val="30"/>
              </w:rPr>
              <w:t>250</w:t>
            </w:r>
          </w:p>
          <w:p w14:paraId="4FA27B57" w14:textId="77777777" w:rsidR="00647F3F" w:rsidRPr="00317ED0" w:rsidRDefault="00C0205B">
            <w:pPr>
              <w:spacing w:before="40"/>
              <w:jc w:val="center"/>
              <w:rPr>
                <w:b/>
                <w:bCs/>
              </w:rPr>
            </w:pPr>
            <w:r w:rsidRPr="00317ED0">
              <w:rPr>
                <w:b/>
                <w:bCs/>
                <w:color w:val="666666"/>
                <w:sz w:val="18"/>
                <w:szCs w:val="18"/>
              </w:rPr>
              <w:t>Total Customers</w:t>
            </w:r>
          </w:p>
        </w:tc>
      </w:tr>
    </w:tbl>
    <w:p w14:paraId="3300DF45" w14:textId="77777777" w:rsidR="00647F3F" w:rsidRDefault="00C0205B">
      <w:pPr>
        <w:pStyle w:val="Heading1"/>
        <w:spacing w:before="320" w:after="140"/>
      </w:pPr>
      <w:r>
        <w:rPr>
          <w:b/>
          <w:bCs/>
          <w:color w:val="1B1F5C"/>
        </w:rPr>
        <w:t>2. Performance Scorecard</w:t>
      </w:r>
    </w:p>
    <w:p w14:paraId="43821CC1" w14:textId="5C7D8785" w:rsidR="00647F3F" w:rsidRDefault="00C0205B" w:rsidP="008C1A04">
      <w:pPr>
        <w:spacing w:after="120"/>
        <w:jc w:val="both"/>
      </w:pPr>
      <w:r>
        <w:rPr>
          <w:sz w:val="21"/>
          <w:szCs w:val="21"/>
        </w:rPr>
        <w:t>Each area of the dashboard is graded against what it tells the business</w:t>
      </w:r>
      <w:r w:rsidR="00432E06">
        <w:rPr>
          <w:sz w:val="21"/>
          <w:szCs w:val="21"/>
        </w:rPr>
        <w:t xml:space="preserve"> owner</w:t>
      </w:r>
      <w:r>
        <w:rPr>
          <w:sz w:val="21"/>
          <w:szCs w:val="21"/>
        </w:rPr>
        <w:t>, with a status rating reflecting whether the board should treat it as a strength, something to monitor, or an area requiring intervention.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1043"/>
        <w:gridCol w:w="1669"/>
        <w:gridCol w:w="5006"/>
      </w:tblGrid>
      <w:tr w:rsidR="00647F3F" w14:paraId="4745A0B2" w14:textId="77777777">
        <w:trPr>
          <w:tblHeader/>
        </w:trPr>
        <w:tc>
          <w:tcPr>
            <w:tcW w:w="13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1F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5E4E9" w14:textId="77777777" w:rsidR="00647F3F" w:rsidRDefault="00C0205B">
            <w:r>
              <w:rPr>
                <w:b/>
                <w:bCs/>
                <w:color w:val="FFFFFF"/>
                <w:sz w:val="19"/>
                <w:szCs w:val="19"/>
              </w:rPr>
              <w:t>Performance Area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1F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BC5D1" w14:textId="77777777" w:rsidR="00647F3F" w:rsidRDefault="00C0205B">
            <w:r>
              <w:rPr>
                <w:b/>
                <w:bCs/>
                <w:color w:val="FFFFFF"/>
                <w:sz w:val="19"/>
                <w:szCs w:val="19"/>
              </w:rPr>
              <w:t>Grade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1F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0B07B" w14:textId="77777777" w:rsidR="00647F3F" w:rsidRDefault="00C0205B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1F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F1215" w14:textId="77777777" w:rsidR="00647F3F" w:rsidRDefault="00C0205B">
            <w:r>
              <w:rPr>
                <w:b/>
                <w:bCs/>
                <w:color w:val="FFFFFF"/>
                <w:sz w:val="19"/>
                <w:szCs w:val="19"/>
              </w:rPr>
              <w:t>Board Commentary</w:t>
            </w:r>
          </w:p>
        </w:tc>
      </w:tr>
      <w:tr w:rsidR="00647F3F" w14:paraId="7D155E2B" w14:textId="77777777">
        <w:tc>
          <w:tcPr>
            <w:tcW w:w="13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2AA2C" w14:textId="77777777" w:rsidR="00647F3F" w:rsidRDefault="00C0205B">
            <w:r>
              <w:rPr>
                <w:b/>
                <w:bCs/>
              </w:rPr>
              <w:t>Revenue Trend (Yearly)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74E34" w14:textId="77777777" w:rsidR="00647F3F" w:rsidRDefault="00C0205B">
            <w:pPr>
              <w:jc w:val="center"/>
            </w:pPr>
            <w:r>
              <w:rPr>
                <w:b/>
                <w:bCs/>
                <w:color w:val="C62828"/>
                <w:sz w:val="22"/>
                <w:szCs w:val="22"/>
              </w:rPr>
              <w:t>D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FC9CC" w14:textId="77777777" w:rsidR="00647F3F" w:rsidRDefault="00C0205B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Needs Attention</w:t>
            </w:r>
          </w:p>
        </w:tc>
        <w:tc>
          <w:tcPr>
            <w:tcW w:w="2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D9E0D" w14:textId="77777777" w:rsidR="00647F3F" w:rsidRDefault="00C0205B" w:rsidP="008C1A04">
            <w:pPr>
              <w:jc w:val="both"/>
            </w:pPr>
            <w:r>
              <w:rPr>
                <w:sz w:val="19"/>
                <w:szCs w:val="19"/>
              </w:rPr>
              <w:t>Revenue declined for two straight years: ₦1.15M (2020) → ₦0.99M (2021) → ₦0.96M (2022), a cumulative drop of ~16.5% from peak. This is the single most concerning trend on the dashboard and warrants a root-cause discussion (market conditions, pricing, channel mix, or lost customers).</w:t>
            </w:r>
          </w:p>
        </w:tc>
      </w:tr>
      <w:tr w:rsidR="00647F3F" w14:paraId="4B66C770" w14:textId="77777777">
        <w:tc>
          <w:tcPr>
            <w:tcW w:w="13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A84CB" w14:textId="77777777" w:rsidR="00647F3F" w:rsidRDefault="00C0205B">
            <w:r>
              <w:rPr>
                <w:b/>
                <w:bCs/>
              </w:rPr>
              <w:t>Customer Volume (Monthly)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52C3F" w14:textId="77777777" w:rsidR="00647F3F" w:rsidRDefault="00C0205B">
            <w:pPr>
              <w:jc w:val="center"/>
            </w:pPr>
            <w:r>
              <w:rPr>
                <w:b/>
                <w:bCs/>
                <w:color w:val="B26A00"/>
                <w:sz w:val="22"/>
                <w:szCs w:val="22"/>
              </w:rPr>
              <w:t>C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F582F" w14:textId="77777777" w:rsidR="00647F3F" w:rsidRDefault="00C0205B">
            <w:pPr>
              <w:jc w:val="center"/>
            </w:pPr>
            <w:r>
              <w:rPr>
                <w:b/>
                <w:bCs/>
                <w:color w:val="B26A00"/>
                <w:sz w:val="18"/>
                <w:szCs w:val="18"/>
              </w:rPr>
              <w:t>Watch</w:t>
            </w:r>
          </w:p>
        </w:tc>
        <w:tc>
          <w:tcPr>
            <w:tcW w:w="2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6E11B" w14:textId="77777777" w:rsidR="00647F3F" w:rsidRPr="008C1A04" w:rsidRDefault="00C0205B" w:rsidP="008C1A04">
            <w:pPr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Only three months are currently visualized (May 90 → June 82 → July 78), and the trend is downward each month (-8.9% </w:t>
            </w:r>
            <w:proofErr w:type="spellStart"/>
            <w:r>
              <w:rPr>
                <w:sz w:val="19"/>
                <w:szCs w:val="19"/>
              </w:rPr>
              <w:t>May→June</w:t>
            </w:r>
            <w:proofErr w:type="spellEnd"/>
            <w:r>
              <w:rPr>
                <w:sz w:val="19"/>
                <w:szCs w:val="19"/>
              </w:rPr>
              <w:t xml:space="preserve">, -4.9% </w:t>
            </w:r>
            <w:proofErr w:type="spellStart"/>
            <w:r>
              <w:rPr>
                <w:sz w:val="19"/>
                <w:szCs w:val="19"/>
              </w:rPr>
              <w:t>June→July</w:t>
            </w:r>
            <w:proofErr w:type="spellEnd"/>
            <w:r>
              <w:rPr>
                <w:sz w:val="19"/>
                <w:szCs w:val="19"/>
              </w:rPr>
              <w:t>). Confirm whether this reflects the full year or a partial data load — if it's the complete picture, this is a retention concern layered on top of the revenue decline.</w:t>
            </w:r>
          </w:p>
        </w:tc>
      </w:tr>
      <w:tr w:rsidR="00647F3F" w14:paraId="19C8C3C0" w14:textId="77777777">
        <w:tc>
          <w:tcPr>
            <w:tcW w:w="13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DEC7A" w14:textId="77777777" w:rsidR="00647F3F" w:rsidRDefault="00C0205B">
            <w:r>
              <w:rPr>
                <w:b/>
                <w:bCs/>
              </w:rPr>
              <w:t>Profitability by Brand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5E786" w14:textId="77777777" w:rsidR="00647F3F" w:rsidRDefault="00C0205B">
            <w:pPr>
              <w:jc w:val="center"/>
            </w:pPr>
            <w:r>
              <w:rPr>
                <w:b/>
                <w:bCs/>
                <w:color w:val="B26A00"/>
                <w:sz w:val="22"/>
                <w:szCs w:val="22"/>
              </w:rPr>
              <w:t>B-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FEC67" w14:textId="77777777" w:rsidR="00647F3F" w:rsidRDefault="00C0205B">
            <w:pPr>
              <w:jc w:val="center"/>
            </w:pPr>
            <w:r>
              <w:rPr>
                <w:b/>
                <w:bCs/>
                <w:color w:val="B26A00"/>
                <w:sz w:val="18"/>
                <w:szCs w:val="18"/>
              </w:rPr>
              <w:t>Watch</w:t>
            </w:r>
          </w:p>
        </w:tc>
        <w:tc>
          <w:tcPr>
            <w:tcW w:w="2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CF465" w14:textId="77777777" w:rsidR="00647F3F" w:rsidRPr="008C1A04" w:rsidRDefault="00C0205B" w:rsidP="008C1A04">
            <w:pPr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Apple leads (₦197K) with a fairly even, gently declining tail down to Dell (₦126K) — a spread of ~36% between top and bottom brand, not a single standout loss-maker. Healthy diversification, but no brand is materially outperforming to double down on. Figures now tie out to the corrected Profit KPI.</w:t>
            </w:r>
          </w:p>
        </w:tc>
      </w:tr>
      <w:tr w:rsidR="00647F3F" w14:paraId="222B48F1" w14:textId="77777777">
        <w:tc>
          <w:tcPr>
            <w:tcW w:w="13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A564B" w14:textId="77777777" w:rsidR="00647F3F" w:rsidRDefault="00C0205B">
            <w:r>
              <w:rPr>
                <w:b/>
                <w:bCs/>
              </w:rPr>
              <w:t>Product Mix (Color)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D6845" w14:textId="77777777" w:rsidR="00647F3F" w:rsidRDefault="00C0205B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5DD8E" w14:textId="77777777" w:rsidR="00647F3F" w:rsidRDefault="00C0205B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Strong</w:t>
            </w:r>
          </w:p>
        </w:tc>
        <w:tc>
          <w:tcPr>
            <w:tcW w:w="2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17D29" w14:textId="77777777" w:rsidR="00647F3F" w:rsidRPr="008C1A04" w:rsidRDefault="00C0205B" w:rsidP="008C1A04">
            <w:pPr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White (6K units) leads Black (4K) and Gray (5K) — a reasonably balanced 3-way split with no </w:t>
            </w:r>
            <w:proofErr w:type="gramStart"/>
            <w:r>
              <w:rPr>
                <w:sz w:val="19"/>
                <w:szCs w:val="19"/>
              </w:rPr>
              <w:t>single color</w:t>
            </w:r>
            <w:proofErr w:type="gramEnd"/>
            <w:r>
              <w:rPr>
                <w:sz w:val="19"/>
                <w:szCs w:val="19"/>
              </w:rPr>
              <w:t xml:space="preserve"> creating inventory concentration risk. Useful for merchandising/stocking decisions.</w:t>
            </w:r>
          </w:p>
        </w:tc>
      </w:tr>
      <w:tr w:rsidR="00647F3F" w14:paraId="3DE07770" w14:textId="77777777">
        <w:tc>
          <w:tcPr>
            <w:tcW w:w="13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9FE1E" w14:textId="77777777" w:rsidR="00647F3F" w:rsidRDefault="00C0205B">
            <w:r>
              <w:rPr>
                <w:b/>
                <w:bCs/>
              </w:rPr>
              <w:t>Profit by Income Level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6CA6C" w14:textId="77777777" w:rsidR="00647F3F" w:rsidRDefault="00C0205B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05F15" w14:textId="77777777" w:rsidR="00647F3F" w:rsidRDefault="00C0205B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Strong</w:t>
            </w:r>
          </w:p>
        </w:tc>
        <w:tc>
          <w:tcPr>
            <w:tcW w:w="2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C9E44" w14:textId="77777777" w:rsidR="00647F3F" w:rsidRPr="008C1A04" w:rsidRDefault="00C0205B" w:rsidP="008C1A04">
            <w:pPr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Medium-income customers generate the most profit (₦347K), ahead of High (₦302K) and Low (₦283K) segments. The spread is narrow (~18% top-to-bottom), meaning profit isn't overly dependent on one customer segment — a resilient mix. Figures now tie out to the corrected Profit KPI.</w:t>
            </w:r>
          </w:p>
        </w:tc>
      </w:tr>
      <w:tr w:rsidR="00647F3F" w14:paraId="47044515" w14:textId="77777777">
        <w:tc>
          <w:tcPr>
            <w:tcW w:w="13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2CA45" w14:textId="77777777" w:rsidR="00647F3F" w:rsidRDefault="00C0205B">
            <w:r>
              <w:rPr>
                <w:b/>
                <w:bCs/>
              </w:rPr>
              <w:t>Profit Margin % by Unit Cost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696F3" w14:textId="77777777" w:rsidR="00647F3F" w:rsidRDefault="00C0205B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B+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9D8F8" w14:textId="77777777" w:rsidR="00647F3F" w:rsidRDefault="00C0205B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Strong</w:t>
            </w:r>
          </w:p>
        </w:tc>
        <w:tc>
          <w:tcPr>
            <w:tcW w:w="2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58321" w14:textId="77777777" w:rsidR="00647F3F" w:rsidRPr="008C1A04" w:rsidRDefault="00C0205B" w:rsidP="008C1A04">
            <w:pPr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Now correctly formatted and ranges 87.70%–93.35% across the unit cost spectrum (₦50–₦250) — a tight, stable band. This is a notably high margin; recommend a quick sanity check against category norms, but as displayed there is no red flag and no unit-cost tier is eroding margin materially.</w:t>
            </w:r>
          </w:p>
        </w:tc>
      </w:tr>
      <w:tr w:rsidR="00647F3F" w14:paraId="0E816191" w14:textId="77777777">
        <w:tc>
          <w:tcPr>
            <w:tcW w:w="13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B0409" w14:textId="77777777" w:rsidR="00647F3F" w:rsidRDefault="00C0205B">
            <w:r>
              <w:rPr>
                <w:b/>
                <w:bCs/>
              </w:rPr>
              <w:t>Data Reliability</w:t>
            </w:r>
          </w:p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672BC" w14:textId="77777777" w:rsidR="00647F3F" w:rsidRDefault="00C0205B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A-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C693D" w14:textId="77777777" w:rsidR="00647F3F" w:rsidRDefault="00C0205B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Strong</w:t>
            </w:r>
          </w:p>
        </w:tc>
        <w:tc>
          <w:tcPr>
            <w:tcW w:w="2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E4C49" w14:textId="77777777" w:rsidR="00647F3F" w:rsidRDefault="00C0205B" w:rsidP="008C1A04">
            <w:pPr>
              <w:jc w:val="both"/>
            </w:pPr>
            <w:r>
              <w:rPr>
                <w:sz w:val="19"/>
                <w:szCs w:val="19"/>
              </w:rPr>
              <w:t>All three cross-checks now agree: Revenue − Cost ≈ Profit KPI, Brand-level profit sums to the Profit KPI, and Income-Level profit sums to the Profit KPI. The margin chart's earlier formatting defect has also been resolved. Figures are validated for board circulation.</w:t>
            </w:r>
          </w:p>
        </w:tc>
      </w:tr>
    </w:tbl>
    <w:p w14:paraId="1488B160" w14:textId="77777777" w:rsidR="00647F3F" w:rsidRDefault="00647F3F">
      <w:pPr>
        <w:spacing w:before="220"/>
      </w:pPr>
    </w:p>
    <w:p w14:paraId="5B095E1B" w14:textId="77777777" w:rsidR="00647F3F" w:rsidRDefault="00C0205B">
      <w:pPr>
        <w:pStyle w:val="Heading1"/>
        <w:spacing w:before="320" w:after="140"/>
      </w:pPr>
      <w:r>
        <w:rPr>
          <w:b/>
          <w:bCs/>
          <w:color w:val="1B1F5C"/>
        </w:rPr>
        <w:t>3. Key Findings for the Board</w:t>
      </w:r>
    </w:p>
    <w:p w14:paraId="116C0E6C" w14:textId="77777777" w:rsidR="00647F3F" w:rsidRDefault="00C0205B" w:rsidP="008C1A04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Data integrity issues flagged in the prior report card are resolved: Profit now correctly reconciles to Revenue minus Cost, and the margin chart displays properly formatted percentages. Figures in this revision are validated.</w:t>
      </w:r>
    </w:p>
    <w:p w14:paraId="79720C30" w14:textId="77777777" w:rsidR="00647F3F" w:rsidRDefault="00C0205B" w:rsidP="008C1A04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Two-year revenue decline (2020→2022, -16.5%) remains the top-line risk and still anchors the board discussion — the correction did not change this underlying trend, only the reliability of the profit figures around it.</w:t>
      </w:r>
    </w:p>
    <w:p w14:paraId="274A8E2B" w14:textId="77777777" w:rsidR="00647F3F" w:rsidRDefault="00C0205B" w:rsidP="008C1A04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Customer engagement is trending down month-over-month in the visualized window (May-July), consistent with — and possibly a leading indicator of — the revenue decline. This is unchanged and still warrants investigation.</w:t>
      </w:r>
    </w:p>
    <w:p w14:paraId="723CBD7E" w14:textId="77777777" w:rsidR="00647F3F" w:rsidRDefault="00C0205B" w:rsidP="008C1A04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Profitability is not overly concentrated: brand, color, and income-level splits are all reasonably even, meaning the business isn't exposed to a single point of failure in its product or customer mix.</w:t>
      </w:r>
    </w:p>
    <w:p w14:paraId="1F3E7B9E" w14:textId="77777777" w:rsidR="00647F3F" w:rsidRDefault="00C0205B" w:rsidP="008C1A04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Profit margin is stable and high (87.70%–93.35%) across the unit cost range, which is a genuine positive — worth a quick benchmark against category norms simply to confirm it's realistic, not because anything here looks wrong.</w:t>
      </w:r>
    </w:p>
    <w:p w14:paraId="3B192528" w14:textId="77777777" w:rsidR="00647F3F" w:rsidRDefault="00C0205B">
      <w:pPr>
        <w:pStyle w:val="Heading1"/>
        <w:spacing w:before="320" w:after="140"/>
      </w:pPr>
      <w:r>
        <w:rPr>
          <w:b/>
          <w:bCs/>
          <w:color w:val="1B1F5C"/>
        </w:rPr>
        <w:t>4. Recommended Next Steps</w:t>
      </w:r>
    </w:p>
    <w:p w14:paraId="4EB33151" w14:textId="77777777" w:rsidR="00647F3F" w:rsidRDefault="00C0205B" w:rsidP="008C1A04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Data corrections are complete — this revision can proceed to the board.</w:t>
      </w:r>
    </w:p>
    <w:p w14:paraId="4B77DCB2" w14:textId="77777777" w:rsidR="00647F3F" w:rsidRDefault="00C0205B" w:rsidP="008C1A04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Extend the Monthly Customer visual to a full 12-month view (or confirm data load is complete) to assess whether the May–July dip is seasonal or structural.</w:t>
      </w:r>
    </w:p>
    <w:p w14:paraId="505A848F" w14:textId="77777777" w:rsidR="00647F3F" w:rsidRDefault="00C0205B" w:rsidP="008C1A04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Investigate 2021 and 2022 revenue decline by Region and Category (add a drill-down or additional slicer) to identify whether the drop is broad-based or concentrated.</w:t>
      </w:r>
    </w:p>
    <w:p w14:paraId="3B9C515E" w14:textId="77777777" w:rsidR="00647F3F" w:rsidRDefault="00C0205B" w:rsidP="008C1A04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Sanity-check the 87.70%–93.35% margin band against industry/category norms for this product line, simply as a final confidence check before board circulation.</w:t>
      </w:r>
    </w:p>
    <w:p w14:paraId="0ACCDAAE" w14:textId="68D0D9B7" w:rsidR="00C63300" w:rsidRDefault="00C0205B" w:rsidP="00C633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>Consider adding a Sales-vs-Margin scatter view combining Total Sales, Total Profit, and Profit Margin % to identify which brands/segments combine strong volume with strong margin.</w:t>
      </w:r>
    </w:p>
    <w:sectPr w:rsidR="00C63300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170DE"/>
    <w:multiLevelType w:val="hybridMultilevel"/>
    <w:tmpl w:val="724E979C"/>
    <w:lvl w:ilvl="0" w:tplc="E4D2F232">
      <w:start w:val="1"/>
      <w:numFmt w:val="bullet"/>
      <w:lvlText w:val="●"/>
      <w:lvlJc w:val="left"/>
      <w:pPr>
        <w:ind w:left="720" w:hanging="360"/>
      </w:pPr>
    </w:lvl>
    <w:lvl w:ilvl="1" w:tplc="E8580C42">
      <w:start w:val="1"/>
      <w:numFmt w:val="bullet"/>
      <w:lvlText w:val="○"/>
      <w:lvlJc w:val="left"/>
      <w:pPr>
        <w:ind w:left="1440" w:hanging="360"/>
      </w:pPr>
    </w:lvl>
    <w:lvl w:ilvl="2" w:tplc="7E446C6E">
      <w:start w:val="1"/>
      <w:numFmt w:val="bullet"/>
      <w:lvlText w:val="■"/>
      <w:lvlJc w:val="left"/>
      <w:pPr>
        <w:ind w:left="2160" w:hanging="360"/>
      </w:pPr>
    </w:lvl>
    <w:lvl w:ilvl="3" w:tplc="2E62D7EC">
      <w:start w:val="1"/>
      <w:numFmt w:val="bullet"/>
      <w:lvlText w:val="●"/>
      <w:lvlJc w:val="left"/>
      <w:pPr>
        <w:ind w:left="2880" w:hanging="360"/>
      </w:pPr>
    </w:lvl>
    <w:lvl w:ilvl="4" w:tplc="1960B720">
      <w:start w:val="1"/>
      <w:numFmt w:val="bullet"/>
      <w:lvlText w:val="○"/>
      <w:lvlJc w:val="left"/>
      <w:pPr>
        <w:ind w:left="3600" w:hanging="360"/>
      </w:pPr>
    </w:lvl>
    <w:lvl w:ilvl="5" w:tplc="CA245B9A">
      <w:start w:val="1"/>
      <w:numFmt w:val="bullet"/>
      <w:lvlText w:val="■"/>
      <w:lvlJc w:val="left"/>
      <w:pPr>
        <w:ind w:left="4320" w:hanging="360"/>
      </w:pPr>
    </w:lvl>
    <w:lvl w:ilvl="6" w:tplc="90C0AA3C">
      <w:start w:val="1"/>
      <w:numFmt w:val="bullet"/>
      <w:lvlText w:val="●"/>
      <w:lvlJc w:val="left"/>
      <w:pPr>
        <w:ind w:left="5040" w:hanging="360"/>
      </w:pPr>
    </w:lvl>
    <w:lvl w:ilvl="7" w:tplc="43FEF244">
      <w:start w:val="1"/>
      <w:numFmt w:val="bullet"/>
      <w:lvlText w:val="●"/>
      <w:lvlJc w:val="left"/>
      <w:pPr>
        <w:ind w:left="5760" w:hanging="360"/>
      </w:pPr>
    </w:lvl>
    <w:lvl w:ilvl="8" w:tplc="B2EA63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F3F"/>
    <w:rsid w:val="00317ED0"/>
    <w:rsid w:val="00432E06"/>
    <w:rsid w:val="00611C52"/>
    <w:rsid w:val="00647F3F"/>
    <w:rsid w:val="008C1A04"/>
    <w:rsid w:val="00914BD3"/>
    <w:rsid w:val="00B31BB8"/>
    <w:rsid w:val="00C0205B"/>
    <w:rsid w:val="00C63300"/>
    <w:rsid w:val="00D6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CC33"/>
  <w15:docId w15:val="{34453F69-1148-4AEE-B44F-C1182682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Adeyinka Adebowale</cp:lastModifiedBy>
  <cp:revision>11</cp:revision>
  <dcterms:created xsi:type="dcterms:W3CDTF">2026-08-29T11:08:00Z</dcterms:created>
  <dcterms:modified xsi:type="dcterms:W3CDTF">2026-08-29T18:16:00Z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b8cb213e-3fe4-40c4-8770-96d6f19a7654</vt:lpwstr>
  </property>
</Properties>
</file>