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D08EDF">
      <w:pPr>
        <w:pStyle w:val="2"/>
        <w:spacing w:line="360" w:lineRule="auto"/>
        <w:jc w:val="center"/>
        <w:rPr>
          <w:rFonts w:ascii="Times New Roman" w:hAnsi="Times New Roman" w:eastAsia="Times New Roman" w:cs="Times New Roman"/>
          <w:sz w:val="28"/>
          <w:szCs w:val="28"/>
          <w:rtl w:val="0"/>
        </w:rPr>
      </w:pPr>
      <w:r>
        <w:rPr>
          <w:rFonts w:ascii="Times New Roman" w:hAnsi="Times New Roman" w:eastAsia="Times New Roman" w:cs="Times New Roman"/>
          <w:sz w:val="28"/>
          <w:szCs w:val="28"/>
          <w:rtl w:val="0"/>
        </w:rPr>
        <w:t>ASSESS</w:t>
      </w:r>
      <w:r>
        <w:rPr>
          <w:rFonts w:hint="default" w:ascii="Times New Roman" w:hAnsi="Times New Roman" w:eastAsia="Times New Roman" w:cs="Times New Roman"/>
          <w:sz w:val="28"/>
          <w:szCs w:val="28"/>
          <w:rtl w:val="0"/>
          <w:lang w:val="en-US"/>
        </w:rPr>
        <w:t xml:space="preserve">MENT OF </w:t>
      </w:r>
      <w:r>
        <w:rPr>
          <w:rFonts w:ascii="Times New Roman" w:hAnsi="Times New Roman" w:eastAsia="Times New Roman" w:cs="Times New Roman"/>
          <w:sz w:val="28"/>
          <w:szCs w:val="28"/>
          <w:rtl w:val="0"/>
        </w:rPr>
        <w:t xml:space="preserve">THE INFLUENCE OF VACCINE LITERACY ON VACCINE CONFIDENCE AMONGST MOTHERS ATTENDING KULENDE BASIC </w:t>
      </w:r>
    </w:p>
    <w:p w14:paraId="2FDDD601">
      <w:pPr>
        <w:pStyle w:val="2"/>
        <w:spacing w:line="360" w:lineRule="auto"/>
        <w:jc w:val="center"/>
        <w:rPr>
          <w:rFonts w:ascii="Times New Roman" w:hAnsi="Times New Roman" w:eastAsia="Times New Roman" w:cs="Times New Roman"/>
          <w:sz w:val="28"/>
          <w:szCs w:val="28"/>
          <w:rtl w:val="0"/>
        </w:rPr>
      </w:pPr>
    </w:p>
    <w:p w14:paraId="00000001">
      <w:pPr>
        <w:pStyle w:val="2"/>
        <w:spacing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HEALTH CARE ILORIN</w:t>
      </w:r>
    </w:p>
    <w:p w14:paraId="00000002">
      <w:pPr>
        <w:spacing w:line="360" w:lineRule="auto"/>
        <w:rPr>
          <w:rFonts w:ascii="Times New Roman" w:hAnsi="Times New Roman" w:eastAsia="Times New Roman" w:cs="Times New Roman"/>
          <w:sz w:val="28"/>
          <w:szCs w:val="28"/>
        </w:rPr>
      </w:pPr>
    </w:p>
    <w:p w14:paraId="00000003">
      <w:pPr>
        <w:spacing w:line="360" w:lineRule="auto"/>
        <w:rPr>
          <w:rFonts w:ascii="Times New Roman" w:hAnsi="Times New Roman" w:eastAsia="Times New Roman" w:cs="Times New Roman"/>
          <w:sz w:val="28"/>
          <w:szCs w:val="28"/>
        </w:rPr>
      </w:pPr>
    </w:p>
    <w:p w14:paraId="00000004">
      <w:pPr>
        <w:spacing w:line="360" w:lineRule="auto"/>
        <w:ind w:left="2880" w:firstLine="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ADEYEMI KEHINDE DORCAS</w:t>
      </w:r>
    </w:p>
    <w:p w14:paraId="00000005">
      <w:pPr>
        <w:spacing w:line="360" w:lineRule="auto"/>
        <w:ind w:left="3600" w:firstLine="720"/>
        <w:rPr>
          <w:rFonts w:ascii="Times New Roman" w:hAnsi="Times New Roman" w:eastAsia="Times New Roman" w:cs="Times New Roman"/>
          <w:sz w:val="28"/>
          <w:szCs w:val="28"/>
        </w:rPr>
      </w:pPr>
    </w:p>
    <w:p w14:paraId="00000006">
      <w:pPr>
        <w:pStyle w:val="2"/>
        <w:spacing w:line="360" w:lineRule="auto"/>
        <w:jc w:val="center"/>
        <w:rPr>
          <w:rFonts w:hint="default" w:ascii="Times New Roman" w:hAnsi="Times New Roman" w:eastAsia="Times New Roman" w:cs="Times New Roman"/>
          <w:sz w:val="28"/>
          <w:szCs w:val="28"/>
          <w:lang w:val="en-US"/>
        </w:rPr>
      </w:pPr>
      <w:r>
        <w:rPr>
          <w:rFonts w:ascii="Times New Roman" w:hAnsi="Times New Roman" w:eastAsia="Times New Roman" w:cs="Times New Roman"/>
          <w:sz w:val="28"/>
          <w:szCs w:val="28"/>
          <w:rtl w:val="0"/>
        </w:rPr>
        <w:t>EXAM NUMBER:</w:t>
      </w:r>
      <w:r>
        <w:rPr>
          <w:rFonts w:hint="default" w:ascii="Times New Roman" w:hAnsi="Times New Roman" w:eastAsia="Times New Roman" w:cs="Times New Roman"/>
          <w:sz w:val="28"/>
          <w:szCs w:val="28"/>
          <w:rtl w:val="0"/>
          <w:lang w:val="en-US"/>
        </w:rPr>
        <w:t>N/26/21351</w:t>
      </w:r>
    </w:p>
    <w:p w14:paraId="00000007">
      <w:pPr>
        <w:spacing w:after="0" w:line="360" w:lineRule="auto"/>
        <w:ind w:left="2880" w:firstLine="720"/>
        <w:rPr>
          <w:rFonts w:ascii="Times New Roman" w:hAnsi="Times New Roman" w:eastAsia="Times New Roman" w:cs="Times New Roman"/>
          <w:sz w:val="28"/>
          <w:szCs w:val="28"/>
        </w:rPr>
      </w:pPr>
    </w:p>
    <w:p w14:paraId="00000008">
      <w:pPr>
        <w:spacing w:after="0" w:line="360" w:lineRule="auto"/>
        <w:jc w:val="center"/>
        <w:rPr>
          <w:rFonts w:ascii="Times New Roman" w:hAnsi="Times New Roman" w:eastAsia="Times New Roman" w:cs="Times New Roman"/>
          <w:b/>
          <w:bCs/>
          <w:sz w:val="28"/>
          <w:szCs w:val="28"/>
        </w:rPr>
      </w:pPr>
    </w:p>
    <w:p w14:paraId="00000009">
      <w:pPr>
        <w:spacing w:after="0" w:line="360" w:lineRule="auto"/>
        <w:jc w:val="center"/>
        <w:rPr>
          <w:rFonts w:ascii="Times New Roman" w:hAnsi="Times New Roman" w:eastAsia="Times New Roman" w:cs="Times New Roman"/>
          <w:b/>
          <w:bCs/>
          <w:sz w:val="28"/>
          <w:szCs w:val="28"/>
        </w:rPr>
      </w:pPr>
    </w:p>
    <w:p w14:paraId="0000000A">
      <w:pPr>
        <w:spacing w:after="0" w:line="360" w:lineRule="auto"/>
        <w:jc w:val="center"/>
        <w:rPr>
          <w:rFonts w:ascii="Times New Roman" w:hAnsi="Times New Roman" w:eastAsia="Times New Roman" w:cs="Times New Roman"/>
          <w:b/>
          <w:bCs/>
          <w:sz w:val="28"/>
          <w:szCs w:val="28"/>
        </w:rPr>
      </w:pPr>
    </w:p>
    <w:p w14:paraId="0000000B">
      <w:pPr>
        <w:spacing w:after="0" w:line="36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DEPARTMENT OF BASIC NURSING,</w:t>
      </w:r>
    </w:p>
    <w:p w14:paraId="0000000C">
      <w:pPr>
        <w:spacing w:after="0" w:line="36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COLLEGE OF NURSING SCIENCES,</w:t>
      </w:r>
    </w:p>
    <w:p w14:paraId="0000000D">
      <w:pPr>
        <w:spacing w:after="0" w:line="36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UNIVERSITY OF ILORIN TEACHING HOSPITAL,</w:t>
      </w:r>
    </w:p>
    <w:p w14:paraId="0000000E">
      <w:pPr>
        <w:spacing w:after="0" w:line="36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ILORIN, KWARA STATE</w:t>
      </w:r>
    </w:p>
    <w:p w14:paraId="0000000F">
      <w:pPr>
        <w:spacing w:after="0" w:line="360" w:lineRule="auto"/>
        <w:jc w:val="center"/>
        <w:rPr>
          <w:rFonts w:ascii="Times New Roman" w:hAnsi="Times New Roman" w:eastAsia="Times New Roman" w:cs="Times New Roman"/>
          <w:b/>
          <w:bCs/>
          <w:sz w:val="28"/>
          <w:szCs w:val="28"/>
        </w:rPr>
      </w:pPr>
    </w:p>
    <w:p w14:paraId="00000010">
      <w:pPr>
        <w:spacing w:after="0" w:line="360" w:lineRule="auto"/>
        <w:jc w:val="center"/>
        <w:rPr>
          <w:rFonts w:ascii="Times New Roman" w:hAnsi="Times New Roman" w:eastAsia="Times New Roman" w:cs="Times New Roman"/>
          <w:b/>
          <w:bCs/>
          <w:sz w:val="28"/>
          <w:szCs w:val="28"/>
        </w:rPr>
      </w:pPr>
    </w:p>
    <w:p w14:paraId="00000011">
      <w:pPr>
        <w:spacing w:after="0" w:line="360" w:lineRule="auto"/>
        <w:jc w:val="center"/>
        <w:rPr>
          <w:rFonts w:ascii="Times New Roman" w:hAnsi="Times New Roman" w:eastAsia="Times New Roman" w:cs="Times New Roman"/>
          <w:b/>
          <w:bCs/>
          <w:sz w:val="28"/>
          <w:szCs w:val="28"/>
        </w:rPr>
      </w:pPr>
    </w:p>
    <w:p w14:paraId="00000012">
      <w:pPr>
        <w:spacing w:after="0" w:line="360" w:lineRule="auto"/>
        <w:jc w:val="center"/>
        <w:rPr>
          <w:rFonts w:ascii="Times New Roman" w:hAnsi="Times New Roman" w:eastAsia="Times New Roman" w:cs="Times New Roman"/>
          <w:b/>
          <w:bCs/>
          <w:sz w:val="28"/>
          <w:szCs w:val="28"/>
        </w:rPr>
      </w:pPr>
    </w:p>
    <w:p w14:paraId="00000013">
      <w:pPr>
        <w:spacing w:after="0" w:line="360" w:lineRule="auto"/>
        <w:jc w:val="center"/>
        <w:rPr>
          <w:rFonts w:ascii="Times New Roman" w:hAnsi="Times New Roman" w:eastAsia="Times New Roman" w:cs="Times New Roman"/>
          <w:b/>
          <w:bCs/>
          <w:sz w:val="28"/>
          <w:szCs w:val="28"/>
        </w:rPr>
      </w:pPr>
    </w:p>
    <w:p w14:paraId="00000014">
      <w:pPr>
        <w:spacing w:after="0" w:line="36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NOVEMBER, 2026</w:t>
      </w:r>
    </w:p>
    <w:p w14:paraId="00000015">
      <w:pPr>
        <w:spacing w:after="0" w:line="360" w:lineRule="auto"/>
        <w:jc w:val="center"/>
        <w:rPr>
          <w:rFonts w:ascii="Times New Roman" w:hAnsi="Times New Roman" w:eastAsia="Times New Roman" w:cs="Times New Roman"/>
          <w:b/>
          <w:bCs/>
          <w:sz w:val="28"/>
          <w:szCs w:val="28"/>
        </w:rPr>
      </w:pPr>
    </w:p>
    <w:p w14:paraId="00000016">
      <w:pPr>
        <w:spacing w:after="0" w:line="360" w:lineRule="auto"/>
        <w:jc w:val="center"/>
        <w:rPr>
          <w:rFonts w:ascii="Times New Roman" w:hAnsi="Times New Roman" w:eastAsia="Times New Roman" w:cs="Times New Roman"/>
          <w:b/>
          <w:bCs/>
          <w:sz w:val="28"/>
          <w:szCs w:val="28"/>
        </w:rPr>
      </w:pPr>
    </w:p>
    <w:p w14:paraId="00000017">
      <w:pPr>
        <w:pStyle w:val="2"/>
        <w:spacing w:line="360" w:lineRule="auto"/>
        <w:jc w:val="center"/>
        <w:rPr>
          <w:rFonts w:ascii="Times New Roman" w:hAnsi="Times New Roman" w:eastAsia="Times New Roman" w:cs="Times New Roman"/>
          <w:sz w:val="28"/>
          <w:szCs w:val="28"/>
        </w:rPr>
      </w:pPr>
    </w:p>
    <w:p w14:paraId="00000018">
      <w:pPr>
        <w:pStyle w:val="2"/>
        <w:spacing w:line="360" w:lineRule="auto"/>
        <w:jc w:val="center"/>
        <w:rPr>
          <w:rFonts w:ascii="Times New Roman" w:hAnsi="Times New Roman" w:eastAsia="Times New Roman" w:cs="Times New Roman"/>
          <w:sz w:val="28"/>
          <w:szCs w:val="28"/>
        </w:rPr>
      </w:pPr>
    </w:p>
    <w:p w14:paraId="00000019">
      <w:pPr>
        <w:pStyle w:val="2"/>
        <w:spacing w:line="360" w:lineRule="auto"/>
        <w:jc w:val="center"/>
        <w:rPr>
          <w:rFonts w:ascii="Times New Roman" w:hAnsi="Times New Roman" w:eastAsia="Times New Roman" w:cs="Times New Roman"/>
          <w:sz w:val="28"/>
          <w:szCs w:val="28"/>
        </w:rPr>
      </w:pPr>
    </w:p>
    <w:p w14:paraId="0000001A">
      <w:pPr>
        <w:pStyle w:val="2"/>
        <w:spacing w:line="360" w:lineRule="auto"/>
        <w:jc w:val="center"/>
        <w:rPr>
          <w:rFonts w:ascii="Times New Roman" w:hAnsi="Times New Roman" w:eastAsia="Times New Roman" w:cs="Times New Roman"/>
          <w:sz w:val="28"/>
          <w:szCs w:val="28"/>
        </w:rPr>
      </w:pPr>
    </w:p>
    <w:p w14:paraId="0000001B">
      <w:pPr>
        <w:pStyle w:val="2"/>
        <w:spacing w:line="360" w:lineRule="auto"/>
        <w:jc w:val="center"/>
        <w:rPr>
          <w:rFonts w:ascii="Times New Roman" w:hAnsi="Times New Roman" w:eastAsia="Times New Roman" w:cs="Times New Roman"/>
          <w:sz w:val="28"/>
          <w:szCs w:val="28"/>
        </w:rPr>
      </w:pPr>
    </w:p>
    <w:p w14:paraId="0000001C">
      <w:pPr>
        <w:pStyle w:val="2"/>
        <w:spacing w:line="360" w:lineRule="auto"/>
        <w:jc w:val="center"/>
        <w:rPr>
          <w:rFonts w:ascii="Times New Roman" w:hAnsi="Times New Roman" w:eastAsia="Times New Roman" w:cs="Times New Roman"/>
          <w:sz w:val="28"/>
          <w:szCs w:val="28"/>
        </w:rPr>
      </w:pPr>
    </w:p>
    <w:p w14:paraId="0000001D">
      <w:pPr>
        <w:pStyle w:val="2"/>
        <w:spacing w:line="360" w:lineRule="auto"/>
        <w:jc w:val="center"/>
        <w:rPr>
          <w:rFonts w:ascii="Times New Roman" w:hAnsi="Times New Roman" w:eastAsia="Times New Roman" w:cs="Times New Roman"/>
          <w:sz w:val="28"/>
          <w:szCs w:val="28"/>
        </w:rPr>
      </w:pPr>
    </w:p>
    <w:p w14:paraId="0000001E">
      <w:pPr>
        <w:pStyle w:val="2"/>
        <w:spacing w:line="360" w:lineRule="auto"/>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ASSESS</w:t>
      </w:r>
      <w:r>
        <w:rPr>
          <w:rFonts w:hint="default" w:ascii="Times New Roman" w:hAnsi="Times New Roman" w:eastAsia="Times New Roman" w:cs="Times New Roman"/>
          <w:sz w:val="28"/>
          <w:szCs w:val="28"/>
          <w:rtl w:val="0"/>
          <w:lang w:val="en-US"/>
        </w:rPr>
        <w:t>MENT</w:t>
      </w:r>
      <w:r>
        <w:rPr>
          <w:rFonts w:ascii="Times New Roman" w:hAnsi="Times New Roman" w:eastAsia="Times New Roman" w:cs="Times New Roman"/>
          <w:sz w:val="28"/>
          <w:szCs w:val="28"/>
          <w:rtl w:val="0"/>
        </w:rPr>
        <w:t xml:space="preserve"> THE INFLUENCE OF VACCINE LITERACY ON VACCINE CONFIDENCE AMONGST MOTHERS ATTENDING KULENDE BASIC HEALTH </w:t>
      </w:r>
      <w:bookmarkStart w:id="2" w:name="_GoBack"/>
      <w:bookmarkEnd w:id="2"/>
      <w:r>
        <w:rPr>
          <w:rFonts w:ascii="Times New Roman" w:hAnsi="Times New Roman" w:eastAsia="Times New Roman" w:cs="Times New Roman"/>
          <w:sz w:val="28"/>
          <w:szCs w:val="28"/>
          <w:rtl w:val="0"/>
        </w:rPr>
        <w:t>CARE ILORIN</w:t>
      </w:r>
    </w:p>
    <w:p w14:paraId="0000001F">
      <w:pPr>
        <w:spacing w:after="0" w:line="360" w:lineRule="auto"/>
        <w:jc w:val="center"/>
        <w:rPr>
          <w:rFonts w:ascii="Times New Roman" w:hAnsi="Times New Roman" w:eastAsia="Times New Roman" w:cs="Times New Roman"/>
          <w:b/>
          <w:bCs/>
          <w:sz w:val="28"/>
          <w:szCs w:val="28"/>
        </w:rPr>
      </w:pPr>
    </w:p>
    <w:p w14:paraId="00000020">
      <w:pPr>
        <w:spacing w:line="360" w:lineRule="auto"/>
        <w:rPr>
          <w:rFonts w:ascii="Times New Roman" w:hAnsi="Times New Roman" w:eastAsia="Times New Roman" w:cs="Times New Roman"/>
          <w:sz w:val="28"/>
          <w:szCs w:val="28"/>
        </w:rPr>
      </w:pPr>
    </w:p>
    <w:p w14:paraId="00000021">
      <w:pPr>
        <w:spacing w:line="360" w:lineRule="auto"/>
        <w:ind w:left="2880" w:firstLine="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ADEYEMI KEHINDE DORCAS</w:t>
      </w:r>
    </w:p>
    <w:p w14:paraId="00000022">
      <w:pPr>
        <w:spacing w:line="360" w:lineRule="auto"/>
        <w:ind w:left="3600" w:firstLine="720"/>
        <w:rPr>
          <w:rFonts w:ascii="Times New Roman" w:hAnsi="Times New Roman" w:eastAsia="Times New Roman" w:cs="Times New Roman"/>
          <w:sz w:val="28"/>
          <w:szCs w:val="28"/>
        </w:rPr>
      </w:pPr>
    </w:p>
    <w:p w14:paraId="00000024">
      <w:pPr>
        <w:pStyle w:val="2"/>
        <w:spacing w:line="360" w:lineRule="auto"/>
        <w:jc w:val="center"/>
        <w:rPr>
          <w:rFonts w:ascii="Times New Roman" w:hAnsi="Times New Roman" w:eastAsia="Times New Roman" w:cs="Times New Roman"/>
          <w:b/>
          <w:bCs/>
          <w:sz w:val="28"/>
          <w:szCs w:val="28"/>
        </w:rPr>
      </w:pPr>
      <w:r>
        <w:rPr>
          <w:rFonts w:ascii="Times New Roman" w:hAnsi="Times New Roman" w:eastAsia="Times New Roman" w:cs="Times New Roman"/>
          <w:sz w:val="28"/>
          <w:szCs w:val="28"/>
          <w:rtl w:val="0"/>
        </w:rPr>
        <w:t>EXAM NUMBER:</w:t>
      </w:r>
      <w:r>
        <w:rPr>
          <w:rFonts w:hint="default" w:ascii="Times New Roman" w:hAnsi="Times New Roman" w:eastAsia="Times New Roman" w:cs="Times New Roman"/>
          <w:sz w:val="28"/>
          <w:szCs w:val="28"/>
          <w:rtl w:val="0"/>
          <w:lang w:val="en-US"/>
        </w:rPr>
        <w:t xml:space="preserve"> </w:t>
      </w:r>
      <w:r>
        <w:rPr>
          <w:rFonts w:hint="default" w:ascii="Times New Roman" w:hAnsi="Times New Roman" w:eastAsia="Times New Roman" w:cs="Times New Roman"/>
          <w:b/>
          <w:bCs/>
          <w:sz w:val="28"/>
          <w:szCs w:val="28"/>
          <w:rtl w:val="0"/>
          <w:lang w:val="en-US"/>
        </w:rPr>
        <w:t>N/26/21351</w:t>
      </w:r>
    </w:p>
    <w:p w14:paraId="00000025">
      <w:pPr>
        <w:spacing w:after="0" w:line="36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DEPARTMENT OF BASIC NURSING,</w:t>
      </w:r>
    </w:p>
    <w:p w14:paraId="00000026">
      <w:pPr>
        <w:spacing w:after="0" w:line="36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COLLEGE OF NURSING SCIENCES,</w:t>
      </w:r>
    </w:p>
    <w:p w14:paraId="00000027">
      <w:pPr>
        <w:spacing w:after="0" w:line="36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UNIVERSITY OF ILORIN TEACHING HOSPITAL,</w:t>
      </w:r>
    </w:p>
    <w:p w14:paraId="00000028">
      <w:pPr>
        <w:spacing w:after="0" w:line="36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ILORIN, KWARA STATE</w:t>
      </w:r>
    </w:p>
    <w:p w14:paraId="00000029">
      <w:pPr>
        <w:spacing w:after="0" w:line="360" w:lineRule="auto"/>
        <w:jc w:val="center"/>
        <w:rPr>
          <w:rFonts w:ascii="Times New Roman" w:hAnsi="Times New Roman" w:eastAsia="Times New Roman" w:cs="Times New Roman"/>
          <w:b/>
          <w:bCs/>
          <w:sz w:val="28"/>
          <w:szCs w:val="28"/>
        </w:rPr>
      </w:pPr>
    </w:p>
    <w:p w14:paraId="0000002A">
      <w:pPr>
        <w:spacing w:after="0" w:line="360" w:lineRule="auto"/>
        <w:jc w:val="center"/>
        <w:rPr>
          <w:rFonts w:ascii="Times New Roman" w:hAnsi="Times New Roman" w:eastAsia="Times New Roman" w:cs="Times New Roman"/>
          <w:b/>
          <w:bCs/>
          <w:sz w:val="28"/>
          <w:szCs w:val="28"/>
        </w:rPr>
      </w:pPr>
    </w:p>
    <w:p w14:paraId="0000002B">
      <w:pPr>
        <w:spacing w:after="0" w:line="360" w:lineRule="auto"/>
        <w:jc w:val="center"/>
        <w:rPr>
          <w:rFonts w:ascii="Times New Roman" w:hAnsi="Times New Roman" w:eastAsia="Times New Roman" w:cs="Times New Roman"/>
          <w:b/>
          <w:bCs/>
          <w:sz w:val="28"/>
          <w:szCs w:val="28"/>
        </w:rPr>
      </w:pPr>
    </w:p>
    <w:p w14:paraId="0000002C">
      <w:pPr>
        <w:spacing w:after="0" w:line="360" w:lineRule="auto"/>
        <w:jc w:val="center"/>
        <w:rPr>
          <w:rFonts w:ascii="Times New Roman" w:hAnsi="Times New Roman" w:eastAsia="Times New Roman" w:cs="Times New Roman"/>
          <w:b/>
          <w:bCs/>
          <w:sz w:val="28"/>
          <w:szCs w:val="28"/>
        </w:rPr>
      </w:pPr>
    </w:p>
    <w:p w14:paraId="0000002D">
      <w:pPr>
        <w:spacing w:after="0" w:line="360" w:lineRule="auto"/>
        <w:jc w:val="center"/>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IN PARTIAL FULFILMENT OF THE REQUIREMENT OF NURSING AND MIDWIFERY COUNCIL OF NIGERIA FOR THE AWARD OF “REGISTERED NURSE” CERTIFICATE</w:t>
      </w:r>
    </w:p>
    <w:p w14:paraId="00000030">
      <w:pPr>
        <w:spacing w:after="0" w:line="360" w:lineRule="auto"/>
        <w:ind w:left="2160" w:leftChars="0" w:firstLine="720" w:firstLineChars="0"/>
        <w:jc w:val="both"/>
        <w:rPr>
          <w:rFonts w:ascii="Times New Roman" w:hAnsi="Times New Roman" w:eastAsia="Times New Roman" w:cs="Times New Roman"/>
          <w:sz w:val="28"/>
          <w:szCs w:val="28"/>
        </w:rPr>
      </w:pPr>
      <w:r>
        <w:rPr>
          <w:rFonts w:ascii="Times New Roman" w:hAnsi="Times New Roman" w:eastAsia="Times New Roman" w:cs="Times New Roman"/>
          <w:b/>
          <w:bCs/>
          <w:sz w:val="28"/>
          <w:szCs w:val="28"/>
          <w:rtl w:val="0"/>
        </w:rPr>
        <w:t>NOVEMBER, 2026</w:t>
      </w:r>
    </w:p>
    <w:p w14:paraId="00000031">
      <w:pPr>
        <w:spacing w:after="0" w:line="360" w:lineRule="auto"/>
        <w:jc w:val="center"/>
        <w:rPr>
          <w:rFonts w:ascii="Times New Roman" w:hAnsi="Times New Roman" w:eastAsia="Times New Roman" w:cs="Times New Roman"/>
          <w:b/>
          <w:bCs/>
          <w:sz w:val="24"/>
          <w:szCs w:val="24"/>
        </w:rPr>
      </w:pPr>
    </w:p>
    <w:p w14:paraId="00000032">
      <w:pPr>
        <w:spacing w:after="0" w:line="360" w:lineRule="auto"/>
        <w:jc w:val="center"/>
        <w:rPr>
          <w:rFonts w:ascii="Times New Roman" w:hAnsi="Times New Roman" w:eastAsia="Times New Roman" w:cs="Times New Roman"/>
          <w:b/>
          <w:bCs/>
          <w:sz w:val="24"/>
          <w:szCs w:val="24"/>
        </w:rPr>
      </w:pPr>
    </w:p>
    <w:p w14:paraId="00000033">
      <w:pPr>
        <w:spacing w:after="0" w:line="360" w:lineRule="auto"/>
        <w:jc w:val="center"/>
        <w:rPr>
          <w:rFonts w:ascii="Times New Roman" w:hAnsi="Times New Roman" w:eastAsia="Times New Roman" w:cs="Times New Roman"/>
          <w:b/>
          <w:bCs/>
          <w:sz w:val="24"/>
          <w:szCs w:val="24"/>
        </w:rPr>
      </w:pPr>
    </w:p>
    <w:p w14:paraId="00000034">
      <w:pPr>
        <w:spacing w:after="0" w:line="360" w:lineRule="auto"/>
        <w:jc w:val="center"/>
        <w:rPr>
          <w:rFonts w:ascii="Times New Roman" w:hAnsi="Times New Roman" w:eastAsia="Times New Roman" w:cs="Times New Roman"/>
          <w:b/>
          <w:bCs/>
          <w:sz w:val="24"/>
          <w:szCs w:val="24"/>
        </w:rPr>
      </w:pPr>
    </w:p>
    <w:p w14:paraId="00000035">
      <w:pPr>
        <w:spacing w:after="0" w:line="36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DECLARATION</w:t>
      </w:r>
    </w:p>
    <w:p w14:paraId="00000036">
      <w:pPr>
        <w:pStyle w:val="2"/>
        <w:spacing w:line="360" w:lineRule="auto"/>
        <w:jc w:val="center"/>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tl w:val="0"/>
        </w:rPr>
        <w:t xml:space="preserve">This is to declare that this research titled </w:t>
      </w:r>
      <w:r>
        <w:rPr>
          <w:rFonts w:ascii="Times New Roman" w:hAnsi="Times New Roman" w:eastAsia="Times New Roman" w:cs="Times New Roman"/>
          <w:b/>
          <w:bCs/>
          <w:sz w:val="24"/>
          <w:szCs w:val="24"/>
          <w:rtl w:val="0"/>
        </w:rPr>
        <w:t>“ASSES</w:t>
      </w:r>
      <w:r>
        <w:rPr>
          <w:rFonts w:ascii="Times New Roman" w:hAnsi="Times New Roman" w:eastAsia="Times New Roman" w:cs="Times New Roman"/>
          <w:sz w:val="24"/>
          <w:szCs w:val="24"/>
          <w:rtl w:val="0"/>
        </w:rPr>
        <w:t xml:space="preserve">SMENT OF THE </w:t>
      </w:r>
      <w:r>
        <w:rPr>
          <w:rFonts w:ascii="Times New Roman" w:hAnsi="Times New Roman" w:eastAsia="Times New Roman" w:cs="Times New Roman"/>
          <w:b/>
          <w:bCs/>
          <w:sz w:val="24"/>
          <w:szCs w:val="24"/>
          <w:rtl w:val="0"/>
        </w:rPr>
        <w:t>INFLUENCE OF VACCINE LITERACY ON VACCINE CONFIDENCE AMONGST MOTHERS ATTENDING KULENDE BASIC HEALTH CARE ILORIN”</w:t>
      </w:r>
      <w:r>
        <w:rPr>
          <w:rFonts w:ascii="Times New Roman" w:hAnsi="Times New Roman" w:eastAsia="Times New Roman" w:cs="Times New Roman"/>
          <w:b w:val="0"/>
          <w:bCs w:val="0"/>
          <w:sz w:val="24"/>
          <w:szCs w:val="24"/>
          <w:rtl w:val="0"/>
        </w:rPr>
        <w:t xml:space="preserve"> was carried out by ADEYEMI KEHINDE  is solely the result of my work except where acknowledged as being</w:t>
      </w:r>
      <w:r>
        <w:rPr>
          <w:rFonts w:hint="default" w:ascii="Times New Roman" w:hAnsi="Times New Roman" w:eastAsia="Times New Roman" w:cs="Times New Roman"/>
          <w:b w:val="0"/>
          <w:bCs w:val="0"/>
          <w:sz w:val="24"/>
          <w:szCs w:val="24"/>
          <w:rtl w:val="0"/>
          <w:lang w:val="en-US"/>
        </w:rPr>
        <w:t xml:space="preserve"> </w:t>
      </w:r>
      <w:r>
        <w:rPr>
          <w:rFonts w:ascii="Times New Roman" w:hAnsi="Times New Roman" w:eastAsia="Times New Roman" w:cs="Times New Roman"/>
          <w:b w:val="0"/>
          <w:bCs w:val="0"/>
          <w:sz w:val="24"/>
          <w:szCs w:val="24"/>
          <w:rtl w:val="0"/>
        </w:rPr>
        <w:t>derived from other person(s) or resources.</w:t>
      </w:r>
    </w:p>
    <w:p w14:paraId="00000037">
      <w:pPr>
        <w:spacing w:after="0" w:line="360" w:lineRule="auto"/>
        <w:rPr>
          <w:rFonts w:hint="default" w:ascii="Times New Roman" w:hAnsi="Times New Roman" w:eastAsia="Times New Roman" w:cs="Times New Roman"/>
          <w:b/>
          <w:bCs/>
          <w:sz w:val="24"/>
          <w:szCs w:val="24"/>
          <w:lang w:val="en-US"/>
        </w:rPr>
      </w:pPr>
      <w:r>
        <w:rPr>
          <w:rFonts w:ascii="Times New Roman" w:hAnsi="Times New Roman" w:eastAsia="Times New Roman" w:cs="Times New Roman"/>
          <w:b/>
          <w:bCs/>
          <w:sz w:val="24"/>
          <w:szCs w:val="24"/>
          <w:rtl w:val="0"/>
        </w:rPr>
        <w:t xml:space="preserve">Examination Number: </w:t>
      </w:r>
      <w:r>
        <w:rPr>
          <w:rFonts w:hint="default" w:ascii="Times New Roman" w:hAnsi="Times New Roman" w:eastAsia="Times New Roman" w:cs="Times New Roman"/>
          <w:b/>
          <w:bCs/>
          <w:sz w:val="24"/>
          <w:szCs w:val="24"/>
          <w:rtl w:val="0"/>
          <w:lang w:val="en-US"/>
        </w:rPr>
        <w:t>N/26/21351</w:t>
      </w:r>
    </w:p>
    <w:p w14:paraId="00000038">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Department of Basic Nursing, College of Nursing Sciences, University of Ilorin Teaching Hospital, Ilorin Kwara State.</w:t>
      </w:r>
    </w:p>
    <w:p w14:paraId="00000039">
      <w:pPr>
        <w:spacing w:after="0" w:line="36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Signature: ……………………………………………</w:t>
      </w:r>
    </w:p>
    <w:p w14:paraId="0000003A">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Date:</w:t>
      </w:r>
      <w:r>
        <w:rPr>
          <w:rFonts w:ascii="Times New Roman" w:hAnsi="Times New Roman" w:eastAsia="Times New Roman" w:cs="Times New Roman"/>
          <w:sz w:val="24"/>
          <w:szCs w:val="24"/>
          <w:rtl w:val="0"/>
        </w:rPr>
        <w:t xml:space="preserve"> …………………………………………………</w:t>
      </w:r>
    </w:p>
    <w:p w14:paraId="0000003B">
      <w:pPr>
        <w:spacing w:after="0" w:line="360" w:lineRule="auto"/>
        <w:rPr>
          <w:rFonts w:ascii="Times New Roman" w:hAnsi="Times New Roman" w:eastAsia="Times New Roman" w:cs="Times New Roman"/>
          <w:sz w:val="24"/>
          <w:szCs w:val="24"/>
        </w:rPr>
      </w:pPr>
    </w:p>
    <w:p w14:paraId="475323E4">
      <w:pPr>
        <w:spacing w:after="0" w:line="360" w:lineRule="auto"/>
        <w:jc w:val="center"/>
        <w:rPr>
          <w:rFonts w:ascii="Times New Roman" w:hAnsi="Times New Roman" w:eastAsia="Times New Roman" w:cs="Times New Roman"/>
          <w:b/>
          <w:bCs/>
          <w:sz w:val="24"/>
          <w:szCs w:val="24"/>
          <w:rtl w:val="0"/>
        </w:rPr>
      </w:pPr>
    </w:p>
    <w:p w14:paraId="6F400B2D">
      <w:pPr>
        <w:spacing w:after="0" w:line="360" w:lineRule="auto"/>
        <w:jc w:val="center"/>
        <w:rPr>
          <w:rFonts w:ascii="Times New Roman" w:hAnsi="Times New Roman" w:eastAsia="Times New Roman" w:cs="Times New Roman"/>
          <w:b/>
          <w:bCs/>
          <w:sz w:val="24"/>
          <w:szCs w:val="24"/>
          <w:rtl w:val="0"/>
        </w:rPr>
      </w:pPr>
    </w:p>
    <w:p w14:paraId="440C7E12">
      <w:pPr>
        <w:spacing w:after="0" w:line="360" w:lineRule="auto"/>
        <w:jc w:val="center"/>
        <w:rPr>
          <w:rFonts w:ascii="Times New Roman" w:hAnsi="Times New Roman" w:eastAsia="Times New Roman" w:cs="Times New Roman"/>
          <w:b/>
          <w:bCs/>
          <w:sz w:val="24"/>
          <w:szCs w:val="24"/>
          <w:rtl w:val="0"/>
        </w:rPr>
      </w:pPr>
    </w:p>
    <w:p w14:paraId="37D966C5">
      <w:pPr>
        <w:spacing w:after="0" w:line="360" w:lineRule="auto"/>
        <w:jc w:val="center"/>
        <w:rPr>
          <w:rFonts w:ascii="Times New Roman" w:hAnsi="Times New Roman" w:eastAsia="Times New Roman" w:cs="Times New Roman"/>
          <w:b/>
          <w:bCs/>
          <w:sz w:val="24"/>
          <w:szCs w:val="24"/>
          <w:rtl w:val="0"/>
        </w:rPr>
      </w:pPr>
    </w:p>
    <w:p w14:paraId="2C16BC73">
      <w:pPr>
        <w:spacing w:after="0" w:line="360" w:lineRule="auto"/>
        <w:jc w:val="center"/>
        <w:rPr>
          <w:rFonts w:ascii="Times New Roman" w:hAnsi="Times New Roman" w:eastAsia="Times New Roman" w:cs="Times New Roman"/>
          <w:b/>
          <w:bCs/>
          <w:sz w:val="24"/>
          <w:szCs w:val="24"/>
          <w:rtl w:val="0"/>
        </w:rPr>
      </w:pPr>
    </w:p>
    <w:p w14:paraId="72497741">
      <w:pPr>
        <w:spacing w:after="0" w:line="360" w:lineRule="auto"/>
        <w:jc w:val="center"/>
        <w:rPr>
          <w:rFonts w:ascii="Times New Roman" w:hAnsi="Times New Roman" w:eastAsia="Times New Roman" w:cs="Times New Roman"/>
          <w:b/>
          <w:bCs/>
          <w:sz w:val="24"/>
          <w:szCs w:val="24"/>
          <w:rtl w:val="0"/>
        </w:rPr>
      </w:pPr>
    </w:p>
    <w:p w14:paraId="6728B00F">
      <w:pPr>
        <w:spacing w:after="0" w:line="360" w:lineRule="auto"/>
        <w:jc w:val="center"/>
        <w:rPr>
          <w:rFonts w:ascii="Times New Roman" w:hAnsi="Times New Roman" w:eastAsia="Times New Roman" w:cs="Times New Roman"/>
          <w:b/>
          <w:bCs/>
          <w:sz w:val="24"/>
          <w:szCs w:val="24"/>
          <w:rtl w:val="0"/>
        </w:rPr>
      </w:pPr>
    </w:p>
    <w:p w14:paraId="6448C150">
      <w:pPr>
        <w:spacing w:after="0" w:line="360" w:lineRule="auto"/>
        <w:jc w:val="center"/>
        <w:rPr>
          <w:rFonts w:ascii="Times New Roman" w:hAnsi="Times New Roman" w:eastAsia="Times New Roman" w:cs="Times New Roman"/>
          <w:b/>
          <w:bCs/>
          <w:sz w:val="24"/>
          <w:szCs w:val="24"/>
          <w:rtl w:val="0"/>
        </w:rPr>
      </w:pPr>
    </w:p>
    <w:p w14:paraId="42C05938">
      <w:pPr>
        <w:spacing w:after="0" w:line="360" w:lineRule="auto"/>
        <w:jc w:val="center"/>
        <w:rPr>
          <w:rFonts w:ascii="Times New Roman" w:hAnsi="Times New Roman" w:eastAsia="Times New Roman" w:cs="Times New Roman"/>
          <w:b/>
          <w:bCs/>
          <w:sz w:val="24"/>
          <w:szCs w:val="24"/>
          <w:rtl w:val="0"/>
        </w:rPr>
      </w:pPr>
    </w:p>
    <w:p w14:paraId="278C9DDD">
      <w:pPr>
        <w:spacing w:after="0" w:line="360" w:lineRule="auto"/>
        <w:jc w:val="center"/>
        <w:rPr>
          <w:rFonts w:ascii="Times New Roman" w:hAnsi="Times New Roman" w:eastAsia="Times New Roman" w:cs="Times New Roman"/>
          <w:b/>
          <w:bCs/>
          <w:sz w:val="24"/>
          <w:szCs w:val="24"/>
          <w:rtl w:val="0"/>
        </w:rPr>
      </w:pPr>
    </w:p>
    <w:p w14:paraId="245EE95A">
      <w:pPr>
        <w:spacing w:after="0" w:line="360" w:lineRule="auto"/>
        <w:jc w:val="center"/>
        <w:rPr>
          <w:rFonts w:ascii="Times New Roman" w:hAnsi="Times New Roman" w:eastAsia="Times New Roman" w:cs="Times New Roman"/>
          <w:b/>
          <w:bCs/>
          <w:sz w:val="24"/>
          <w:szCs w:val="24"/>
          <w:rtl w:val="0"/>
        </w:rPr>
      </w:pPr>
    </w:p>
    <w:p w14:paraId="37BAD02B">
      <w:pPr>
        <w:spacing w:after="0" w:line="360" w:lineRule="auto"/>
        <w:jc w:val="center"/>
        <w:rPr>
          <w:rFonts w:ascii="Times New Roman" w:hAnsi="Times New Roman" w:eastAsia="Times New Roman" w:cs="Times New Roman"/>
          <w:b/>
          <w:bCs/>
          <w:sz w:val="24"/>
          <w:szCs w:val="24"/>
          <w:rtl w:val="0"/>
        </w:rPr>
      </w:pPr>
    </w:p>
    <w:p w14:paraId="7D056216">
      <w:pPr>
        <w:spacing w:after="0" w:line="360" w:lineRule="auto"/>
        <w:jc w:val="both"/>
        <w:rPr>
          <w:rFonts w:ascii="Times New Roman" w:hAnsi="Times New Roman" w:eastAsia="Times New Roman" w:cs="Times New Roman"/>
          <w:b/>
          <w:bCs/>
          <w:sz w:val="24"/>
          <w:szCs w:val="24"/>
          <w:rtl w:val="0"/>
        </w:rPr>
      </w:pPr>
    </w:p>
    <w:p w14:paraId="6BB2647C">
      <w:pPr>
        <w:spacing w:after="0" w:line="360" w:lineRule="auto"/>
        <w:jc w:val="both"/>
        <w:rPr>
          <w:rFonts w:ascii="Times New Roman" w:hAnsi="Times New Roman" w:eastAsia="Times New Roman" w:cs="Times New Roman"/>
          <w:b/>
          <w:bCs/>
          <w:sz w:val="24"/>
          <w:szCs w:val="24"/>
          <w:rtl w:val="0"/>
        </w:rPr>
      </w:pPr>
    </w:p>
    <w:p w14:paraId="0CE463A4">
      <w:pPr>
        <w:spacing w:after="0" w:line="360" w:lineRule="auto"/>
        <w:jc w:val="both"/>
        <w:rPr>
          <w:rFonts w:ascii="Times New Roman" w:hAnsi="Times New Roman" w:eastAsia="Times New Roman" w:cs="Times New Roman"/>
          <w:b/>
          <w:bCs/>
          <w:sz w:val="24"/>
          <w:szCs w:val="24"/>
          <w:rtl w:val="0"/>
        </w:rPr>
      </w:pPr>
    </w:p>
    <w:p w14:paraId="0000003C">
      <w:pPr>
        <w:spacing w:after="0" w:line="360" w:lineRule="auto"/>
        <w:ind w:left="2880" w:leftChars="0" w:firstLine="720" w:firstLineChars="0"/>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CERTIFICATION</w:t>
      </w:r>
    </w:p>
    <w:p w14:paraId="0000003D">
      <w:pPr>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This is to certify that this research was done by  </w:t>
      </w:r>
      <w:r>
        <w:rPr>
          <w:rFonts w:ascii="Times New Roman" w:hAnsi="Times New Roman" w:eastAsia="Times New Roman" w:cs="Times New Roman"/>
          <w:b/>
          <w:bCs/>
          <w:sz w:val="24"/>
          <w:szCs w:val="24"/>
          <w:rtl w:val="0"/>
        </w:rPr>
        <w:t xml:space="preserve">ADEYEMI KEHINDE DORCAS  </w:t>
      </w:r>
      <w:r>
        <w:rPr>
          <w:rFonts w:ascii="Times New Roman" w:hAnsi="Times New Roman" w:eastAsia="Times New Roman" w:cs="Times New Roman"/>
          <w:sz w:val="24"/>
          <w:szCs w:val="24"/>
          <w:rtl w:val="0"/>
        </w:rPr>
        <w:t xml:space="preserve">with examination number: </w:t>
      </w:r>
      <w:r>
        <w:rPr>
          <w:rFonts w:hint="default" w:ascii="Times New Roman" w:hAnsi="Times New Roman" w:eastAsia="Times New Roman" w:cs="Times New Roman"/>
          <w:sz w:val="24"/>
          <w:szCs w:val="24"/>
          <w:rtl w:val="0"/>
          <w:lang w:val="en-US"/>
        </w:rPr>
        <w:t>N/26/21351,</w:t>
      </w:r>
      <w:r>
        <w:rPr>
          <w:rFonts w:ascii="Times New Roman" w:hAnsi="Times New Roman" w:eastAsia="Times New Roman" w:cs="Times New Roman"/>
          <w:b/>
          <w:bCs/>
          <w:sz w:val="24"/>
          <w:szCs w:val="24"/>
          <w:rtl w:val="0"/>
        </w:rPr>
        <w:t xml:space="preserve"> </w:t>
      </w:r>
      <w:r>
        <w:rPr>
          <w:rFonts w:ascii="Times New Roman" w:hAnsi="Times New Roman" w:eastAsia="Times New Roman" w:cs="Times New Roman"/>
          <w:sz w:val="24"/>
          <w:szCs w:val="24"/>
          <w:rtl w:val="0"/>
        </w:rPr>
        <w:t>supervised by me and has been approved by the school management</w:t>
      </w:r>
    </w:p>
    <w:p w14:paraId="0000003E">
      <w:pPr>
        <w:spacing w:after="0" w:line="360" w:lineRule="auto"/>
        <w:rPr>
          <w:rFonts w:ascii="Times New Roman" w:hAnsi="Times New Roman" w:eastAsia="Times New Roman" w:cs="Times New Roman"/>
          <w:sz w:val="24"/>
          <w:szCs w:val="24"/>
        </w:rPr>
      </w:pPr>
    </w:p>
    <w:p w14:paraId="0000003F">
      <w:pPr>
        <w:spacing w:after="0" w:line="360" w:lineRule="auto"/>
        <w:rPr>
          <w:rFonts w:ascii="Times New Roman" w:hAnsi="Times New Roman" w:eastAsia="Times New Roman" w:cs="Times New Roman"/>
          <w:sz w:val="24"/>
          <w:szCs w:val="24"/>
        </w:rPr>
      </w:pPr>
    </w:p>
    <w:p w14:paraId="00000040">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Signature: __________________________</w:t>
      </w:r>
    </w:p>
    <w:p w14:paraId="00000041">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Name: _____________________________</w:t>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Date: ____________________</w:t>
      </w:r>
    </w:p>
    <w:p w14:paraId="00000042">
      <w:pPr>
        <w:spacing w:after="0" w:line="36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(Supervisor)</w:t>
      </w:r>
    </w:p>
    <w:p w14:paraId="00000043">
      <w:pPr>
        <w:spacing w:after="0" w:line="360" w:lineRule="auto"/>
        <w:rPr>
          <w:rFonts w:ascii="Times New Roman" w:hAnsi="Times New Roman" w:eastAsia="Times New Roman" w:cs="Times New Roman"/>
          <w:sz w:val="24"/>
          <w:szCs w:val="24"/>
        </w:rPr>
      </w:pPr>
    </w:p>
    <w:p w14:paraId="00000044">
      <w:pPr>
        <w:spacing w:after="0" w:line="360" w:lineRule="auto"/>
        <w:rPr>
          <w:rFonts w:ascii="Times New Roman" w:hAnsi="Times New Roman" w:eastAsia="Times New Roman" w:cs="Times New Roman"/>
          <w:sz w:val="24"/>
          <w:szCs w:val="24"/>
        </w:rPr>
      </w:pPr>
    </w:p>
    <w:p w14:paraId="00000045">
      <w:pPr>
        <w:spacing w:after="0" w:line="360" w:lineRule="auto"/>
        <w:rPr>
          <w:rFonts w:ascii="Times New Roman" w:hAnsi="Times New Roman" w:eastAsia="Times New Roman" w:cs="Times New Roman"/>
          <w:sz w:val="24"/>
          <w:szCs w:val="24"/>
        </w:rPr>
      </w:pPr>
    </w:p>
    <w:p w14:paraId="00000046">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Signature: __________________________</w:t>
      </w:r>
    </w:p>
    <w:p w14:paraId="00000047">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Name: _____________________________</w:t>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Date: ____________________</w:t>
      </w:r>
    </w:p>
    <w:p w14:paraId="00000048">
      <w:pPr>
        <w:spacing w:after="0" w:line="36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(Head of Department)</w:t>
      </w:r>
    </w:p>
    <w:p w14:paraId="00000049">
      <w:pPr>
        <w:spacing w:after="0" w:line="360" w:lineRule="auto"/>
        <w:rPr>
          <w:rFonts w:ascii="Times New Roman" w:hAnsi="Times New Roman" w:eastAsia="Times New Roman" w:cs="Times New Roman"/>
          <w:sz w:val="24"/>
          <w:szCs w:val="24"/>
        </w:rPr>
      </w:pPr>
    </w:p>
    <w:p w14:paraId="0000004A">
      <w:pPr>
        <w:spacing w:after="0" w:line="360" w:lineRule="auto"/>
        <w:rPr>
          <w:rFonts w:ascii="Times New Roman" w:hAnsi="Times New Roman" w:eastAsia="Times New Roman" w:cs="Times New Roman"/>
          <w:sz w:val="24"/>
          <w:szCs w:val="24"/>
        </w:rPr>
      </w:pPr>
    </w:p>
    <w:p w14:paraId="0000004B">
      <w:pPr>
        <w:spacing w:after="0" w:line="360" w:lineRule="auto"/>
        <w:rPr>
          <w:rFonts w:ascii="Times New Roman" w:hAnsi="Times New Roman" w:eastAsia="Times New Roman" w:cs="Times New Roman"/>
          <w:sz w:val="24"/>
          <w:szCs w:val="24"/>
        </w:rPr>
      </w:pPr>
    </w:p>
    <w:p w14:paraId="0000004C">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Signature: __________________________</w:t>
      </w:r>
    </w:p>
    <w:p w14:paraId="0000004D">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Name: _____________________________</w:t>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Date: ____________________</w:t>
      </w:r>
    </w:p>
    <w:p w14:paraId="0000004E">
      <w:pPr>
        <w:spacing w:after="0" w:line="36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(Chief Examiner)</w:t>
      </w:r>
    </w:p>
    <w:p w14:paraId="0000004F">
      <w:pPr>
        <w:spacing w:after="0" w:line="360" w:lineRule="auto"/>
        <w:rPr>
          <w:rFonts w:ascii="Times New Roman" w:hAnsi="Times New Roman" w:eastAsia="Times New Roman" w:cs="Times New Roman"/>
          <w:sz w:val="24"/>
          <w:szCs w:val="24"/>
        </w:rPr>
      </w:pPr>
    </w:p>
    <w:p w14:paraId="672EADA6">
      <w:pPr>
        <w:pStyle w:val="4"/>
        <w:keepNext w:val="0"/>
        <w:keepLines w:val="0"/>
        <w:widowControl/>
        <w:pBdr>
          <w:top w:val="none" w:color="1F1F1F" w:sz="0" w:space="0"/>
          <w:left w:val="none" w:color="1F1F1F" w:sz="0" w:space="0"/>
          <w:bottom w:val="none" w:color="1F1F1F" w:sz="0" w:space="0"/>
          <w:right w:val="none" w:color="1F1F1F" w:sz="0" w:space="0"/>
        </w:pBdr>
        <w:spacing w:before="0" w:after="0" w:line="360" w:lineRule="auto"/>
        <w:ind w:left="0" w:right="0" w:firstLine="0"/>
        <w:rPr>
          <w:rFonts w:ascii="Times New Roman" w:hAnsi="Times New Roman" w:eastAsia="Times New Roman" w:cs="Times New Roman"/>
          <w:b/>
          <w:bCs/>
          <w:i/>
          <w:iCs/>
          <w:color w:val="1F1F1F"/>
          <w:sz w:val="24"/>
          <w:szCs w:val="24"/>
          <w:rtl w:val="0"/>
        </w:rPr>
      </w:pPr>
    </w:p>
    <w:p w14:paraId="50003740">
      <w:pPr>
        <w:pStyle w:val="4"/>
        <w:keepNext w:val="0"/>
        <w:keepLines w:val="0"/>
        <w:widowControl/>
        <w:pBdr>
          <w:top w:val="none" w:color="1F1F1F" w:sz="0" w:space="0"/>
          <w:left w:val="none" w:color="1F1F1F" w:sz="0" w:space="0"/>
          <w:bottom w:val="none" w:color="1F1F1F" w:sz="0" w:space="0"/>
          <w:right w:val="none" w:color="1F1F1F" w:sz="0" w:space="0"/>
        </w:pBdr>
        <w:spacing w:before="0" w:after="0" w:line="360" w:lineRule="auto"/>
        <w:ind w:left="0" w:right="0" w:firstLine="0"/>
        <w:rPr>
          <w:rFonts w:ascii="Times New Roman" w:hAnsi="Times New Roman" w:eastAsia="Times New Roman" w:cs="Times New Roman"/>
          <w:b/>
          <w:bCs/>
          <w:i/>
          <w:iCs/>
          <w:color w:val="1F1F1F"/>
          <w:sz w:val="24"/>
          <w:szCs w:val="24"/>
          <w:rtl w:val="0"/>
        </w:rPr>
      </w:pPr>
    </w:p>
    <w:p w14:paraId="0590FEE8">
      <w:pPr>
        <w:pStyle w:val="4"/>
        <w:keepNext w:val="0"/>
        <w:keepLines w:val="0"/>
        <w:widowControl/>
        <w:pBdr>
          <w:top w:val="none" w:color="1F1F1F" w:sz="0" w:space="0"/>
          <w:left w:val="none" w:color="1F1F1F" w:sz="0" w:space="0"/>
          <w:bottom w:val="none" w:color="1F1F1F" w:sz="0" w:space="0"/>
          <w:right w:val="none" w:color="1F1F1F" w:sz="0" w:space="0"/>
        </w:pBdr>
        <w:spacing w:before="0" w:after="0" w:line="360" w:lineRule="auto"/>
        <w:ind w:left="0" w:right="0" w:firstLine="0"/>
        <w:rPr>
          <w:rFonts w:ascii="Times New Roman" w:hAnsi="Times New Roman" w:eastAsia="Times New Roman" w:cs="Times New Roman"/>
          <w:b/>
          <w:bCs/>
          <w:i/>
          <w:iCs/>
          <w:color w:val="1F1F1F"/>
          <w:sz w:val="24"/>
          <w:szCs w:val="24"/>
          <w:rtl w:val="0"/>
        </w:rPr>
      </w:pPr>
    </w:p>
    <w:p w14:paraId="7F08B4AD">
      <w:pPr>
        <w:pStyle w:val="4"/>
        <w:keepNext w:val="0"/>
        <w:keepLines w:val="0"/>
        <w:widowControl/>
        <w:pBdr>
          <w:top w:val="none" w:color="1F1F1F" w:sz="0" w:space="0"/>
          <w:left w:val="none" w:color="1F1F1F" w:sz="0" w:space="0"/>
          <w:bottom w:val="none" w:color="1F1F1F" w:sz="0" w:space="0"/>
          <w:right w:val="none" w:color="1F1F1F" w:sz="0" w:space="0"/>
        </w:pBdr>
        <w:spacing w:before="0" w:after="0" w:line="360" w:lineRule="auto"/>
        <w:ind w:left="0" w:right="0" w:firstLine="0"/>
        <w:rPr>
          <w:rFonts w:ascii="Times New Roman" w:hAnsi="Times New Roman" w:eastAsia="Times New Roman" w:cs="Times New Roman"/>
          <w:b/>
          <w:bCs/>
          <w:i/>
          <w:iCs/>
          <w:color w:val="1F1F1F"/>
          <w:sz w:val="24"/>
          <w:szCs w:val="24"/>
          <w:rtl w:val="0"/>
        </w:rPr>
      </w:pPr>
    </w:p>
    <w:p w14:paraId="3B7614A5">
      <w:pPr>
        <w:pStyle w:val="4"/>
        <w:keepNext w:val="0"/>
        <w:keepLines w:val="0"/>
        <w:widowControl/>
        <w:pBdr>
          <w:top w:val="none" w:color="1F1F1F" w:sz="0" w:space="0"/>
          <w:left w:val="none" w:color="1F1F1F" w:sz="0" w:space="0"/>
          <w:bottom w:val="none" w:color="1F1F1F" w:sz="0" w:space="0"/>
          <w:right w:val="none" w:color="1F1F1F" w:sz="0" w:space="0"/>
        </w:pBdr>
        <w:spacing w:before="0" w:after="0" w:line="360" w:lineRule="auto"/>
        <w:ind w:left="0" w:right="0" w:firstLine="0"/>
        <w:rPr>
          <w:rFonts w:ascii="Times New Roman" w:hAnsi="Times New Roman" w:eastAsia="Times New Roman" w:cs="Times New Roman"/>
          <w:b/>
          <w:bCs/>
          <w:i/>
          <w:iCs/>
          <w:color w:val="1F1F1F"/>
          <w:sz w:val="24"/>
          <w:szCs w:val="24"/>
          <w:rtl w:val="0"/>
        </w:rPr>
      </w:pPr>
    </w:p>
    <w:p w14:paraId="7BE2B0CA">
      <w:pPr>
        <w:pStyle w:val="4"/>
        <w:keepNext w:val="0"/>
        <w:keepLines w:val="0"/>
        <w:widowControl/>
        <w:pBdr>
          <w:top w:val="none" w:color="1F1F1F" w:sz="0" w:space="0"/>
          <w:left w:val="none" w:color="1F1F1F" w:sz="0" w:space="0"/>
          <w:bottom w:val="none" w:color="1F1F1F" w:sz="0" w:space="0"/>
          <w:right w:val="none" w:color="1F1F1F" w:sz="0" w:space="0"/>
        </w:pBdr>
        <w:spacing w:before="0" w:after="0" w:line="360" w:lineRule="auto"/>
        <w:ind w:left="0" w:right="0" w:firstLine="0"/>
        <w:rPr>
          <w:rFonts w:ascii="Times New Roman" w:hAnsi="Times New Roman" w:eastAsia="Times New Roman" w:cs="Times New Roman"/>
          <w:b/>
          <w:bCs/>
          <w:i/>
          <w:iCs/>
          <w:color w:val="1F1F1F"/>
          <w:sz w:val="24"/>
          <w:szCs w:val="24"/>
          <w:rtl w:val="0"/>
        </w:rPr>
      </w:pPr>
    </w:p>
    <w:p w14:paraId="5AA888DE">
      <w:pPr>
        <w:pStyle w:val="4"/>
        <w:keepNext w:val="0"/>
        <w:keepLines w:val="0"/>
        <w:widowControl/>
        <w:pBdr>
          <w:top w:val="none" w:color="1F1F1F" w:sz="0" w:space="0"/>
          <w:left w:val="none" w:color="1F1F1F" w:sz="0" w:space="0"/>
          <w:bottom w:val="none" w:color="1F1F1F" w:sz="0" w:space="0"/>
          <w:right w:val="none" w:color="1F1F1F" w:sz="0" w:space="0"/>
        </w:pBdr>
        <w:spacing w:before="0" w:after="0" w:line="360" w:lineRule="auto"/>
        <w:ind w:left="0" w:right="0" w:firstLine="0"/>
        <w:rPr>
          <w:rFonts w:ascii="Times New Roman" w:hAnsi="Times New Roman" w:eastAsia="Times New Roman" w:cs="Times New Roman"/>
          <w:b/>
          <w:bCs/>
          <w:i/>
          <w:iCs/>
          <w:color w:val="1F1F1F"/>
          <w:sz w:val="24"/>
          <w:szCs w:val="24"/>
          <w:rtl w:val="0"/>
        </w:rPr>
      </w:pPr>
    </w:p>
    <w:p w14:paraId="0FA3C1E2">
      <w:pPr>
        <w:pStyle w:val="4"/>
        <w:keepNext w:val="0"/>
        <w:keepLines w:val="0"/>
        <w:widowControl/>
        <w:pBdr>
          <w:top w:val="none" w:color="1F1F1F" w:sz="0" w:space="0"/>
          <w:left w:val="none" w:color="1F1F1F" w:sz="0" w:space="0"/>
          <w:bottom w:val="none" w:color="1F1F1F" w:sz="0" w:space="0"/>
          <w:right w:val="none" w:color="1F1F1F" w:sz="0" w:space="0"/>
        </w:pBdr>
        <w:spacing w:before="0" w:after="0" w:line="360" w:lineRule="auto"/>
        <w:ind w:left="0" w:right="0" w:firstLine="0"/>
        <w:rPr>
          <w:rFonts w:ascii="Times New Roman" w:hAnsi="Times New Roman" w:eastAsia="Times New Roman" w:cs="Times New Roman"/>
          <w:b/>
          <w:bCs/>
          <w:i/>
          <w:iCs/>
          <w:color w:val="1F1F1F"/>
          <w:sz w:val="24"/>
          <w:szCs w:val="24"/>
          <w:rtl w:val="0"/>
        </w:rPr>
      </w:pPr>
    </w:p>
    <w:p w14:paraId="450A577F">
      <w:pPr>
        <w:pStyle w:val="4"/>
        <w:keepNext w:val="0"/>
        <w:keepLines w:val="0"/>
        <w:widowControl/>
        <w:pBdr>
          <w:top w:val="none" w:color="1F1F1F" w:sz="0" w:space="0"/>
          <w:left w:val="none" w:color="1F1F1F" w:sz="0" w:space="0"/>
          <w:bottom w:val="none" w:color="1F1F1F" w:sz="0" w:space="0"/>
          <w:right w:val="none" w:color="1F1F1F" w:sz="0" w:space="0"/>
        </w:pBdr>
        <w:spacing w:before="0" w:after="0" w:line="360" w:lineRule="auto"/>
        <w:ind w:left="0" w:right="0" w:firstLine="0"/>
        <w:rPr>
          <w:rFonts w:ascii="Times New Roman" w:hAnsi="Times New Roman" w:eastAsia="Times New Roman" w:cs="Times New Roman"/>
          <w:b/>
          <w:bCs/>
          <w:i/>
          <w:iCs/>
          <w:color w:val="1F1F1F"/>
          <w:sz w:val="24"/>
          <w:szCs w:val="24"/>
          <w:rtl w:val="0"/>
        </w:rPr>
      </w:pPr>
    </w:p>
    <w:p w14:paraId="00000050">
      <w:pPr>
        <w:pStyle w:val="4"/>
        <w:keepNext w:val="0"/>
        <w:keepLines w:val="0"/>
        <w:widowControl/>
        <w:pBdr>
          <w:top w:val="none" w:color="1F1F1F" w:sz="0" w:space="0"/>
          <w:left w:val="none" w:color="1F1F1F" w:sz="0" w:space="0"/>
          <w:bottom w:val="none" w:color="1F1F1F" w:sz="0" w:space="0"/>
          <w:right w:val="none" w:color="1F1F1F" w:sz="0" w:space="0"/>
        </w:pBdr>
        <w:spacing w:before="0" w:after="0" w:line="360" w:lineRule="auto"/>
        <w:ind w:left="0" w:right="0" w:firstLine="0"/>
        <w:rPr>
          <w:rFonts w:ascii="Times New Roman" w:hAnsi="Times New Roman" w:eastAsia="Times New Roman" w:cs="Times New Roman"/>
          <w:i/>
          <w:iCs/>
          <w:color w:val="1F1F1F"/>
          <w:sz w:val="24"/>
          <w:szCs w:val="24"/>
        </w:rPr>
      </w:pPr>
      <w:r>
        <w:rPr>
          <w:rFonts w:ascii="Times New Roman" w:hAnsi="Times New Roman" w:eastAsia="Times New Roman" w:cs="Times New Roman"/>
          <w:b/>
          <w:bCs/>
          <w:i/>
          <w:iCs/>
          <w:color w:val="1F1F1F"/>
          <w:sz w:val="24"/>
          <w:szCs w:val="24"/>
          <w:rtl w:val="0"/>
        </w:rPr>
        <w:t>ABSTRACT</w:t>
      </w:r>
    </w:p>
    <w:p w14:paraId="00000051">
      <w:pPr>
        <w:keepNext w:val="0"/>
        <w:keepLines w:val="0"/>
        <w:widowControl/>
        <w:pBdr>
          <w:top w:val="none" w:color="1F1F1F" w:sz="0" w:space="0"/>
          <w:left w:val="none" w:color="1F1F1F" w:sz="0" w:space="0"/>
          <w:bottom w:val="none" w:color="1F1F1F" w:sz="0" w:space="0"/>
          <w:right w:val="none" w:color="1F1F1F" w:sz="0" w:space="0"/>
        </w:pBdr>
        <w:spacing w:before="0" w:after="0" w:line="360" w:lineRule="auto"/>
        <w:ind w:left="0" w:right="0" w:firstLine="0"/>
        <w:jc w:val="left"/>
        <w:rPr>
          <w:rFonts w:ascii="Times New Roman" w:hAnsi="Times New Roman" w:eastAsia="Times New Roman" w:cs="Times New Roman"/>
          <w:i/>
          <w:iCs/>
          <w:color w:val="1F1F1F"/>
          <w:sz w:val="24"/>
          <w:szCs w:val="24"/>
        </w:rPr>
      </w:pPr>
      <w:r>
        <w:rPr>
          <w:rFonts w:ascii="Times New Roman" w:hAnsi="Times New Roman" w:eastAsia="Times New Roman" w:cs="Times New Roman"/>
          <w:i/>
          <w:iCs/>
          <w:color w:val="1F1F1F"/>
          <w:sz w:val="24"/>
          <w:szCs w:val="24"/>
          <w:rtl w:val="0"/>
        </w:rPr>
        <w:t>This study investigated the influence of maternal vaccine literacy on vaccine confidence among mothers attending Kulende Primary Health Care Centre in Ilorin, Kwara State. Grounded in the need to understand how cognitive health empowerment and socio-demographic contexts shape immunization behaviors, the research addressed four specific objectives: evaluating maternal vaccine literacy levels, assessing vaccine confidence, examining the statistical influence of literacy on confidence, and determining the impact of varying socio-demographic factors.</w:t>
      </w:r>
    </w:p>
    <w:p w14:paraId="00000052">
      <w:pPr>
        <w:keepNext w:val="0"/>
        <w:keepLines w:val="0"/>
        <w:widowControl/>
        <w:pBdr>
          <w:top w:val="none" w:color="1F1F1F" w:sz="0" w:space="0"/>
          <w:left w:val="none" w:color="1F1F1F" w:sz="0" w:space="0"/>
          <w:bottom w:val="none" w:color="1F1F1F" w:sz="0" w:space="0"/>
          <w:right w:val="none" w:color="1F1F1F" w:sz="0" w:space="0"/>
        </w:pBdr>
        <w:spacing w:before="0" w:after="0" w:line="360" w:lineRule="auto"/>
        <w:ind w:left="0" w:right="0" w:firstLine="0"/>
        <w:jc w:val="left"/>
        <w:rPr>
          <w:rFonts w:ascii="Times New Roman" w:hAnsi="Times New Roman" w:eastAsia="Times New Roman" w:cs="Times New Roman"/>
          <w:i/>
          <w:iCs/>
          <w:color w:val="1F1F1F"/>
          <w:sz w:val="24"/>
          <w:szCs w:val="24"/>
        </w:rPr>
      </w:pPr>
    </w:p>
    <w:p w14:paraId="00000053">
      <w:pPr>
        <w:keepNext w:val="0"/>
        <w:keepLines w:val="0"/>
        <w:widowControl/>
        <w:pBdr>
          <w:top w:val="none" w:color="1F1F1F" w:sz="0" w:space="0"/>
          <w:left w:val="none" w:color="1F1F1F" w:sz="0" w:space="0"/>
          <w:bottom w:val="none" w:color="1F1F1F" w:sz="0" w:space="0"/>
          <w:right w:val="none" w:color="1F1F1F" w:sz="0" w:space="0"/>
        </w:pBdr>
        <w:spacing w:before="0" w:after="0" w:line="360" w:lineRule="auto"/>
        <w:ind w:left="0" w:right="0" w:firstLine="0"/>
        <w:jc w:val="left"/>
        <w:rPr>
          <w:rFonts w:ascii="Times New Roman" w:hAnsi="Times New Roman" w:eastAsia="Times New Roman" w:cs="Times New Roman"/>
          <w:i/>
          <w:iCs/>
          <w:color w:val="1F1F1F"/>
          <w:sz w:val="24"/>
          <w:szCs w:val="24"/>
        </w:rPr>
      </w:pPr>
      <w:r>
        <w:rPr>
          <w:rFonts w:ascii="Times New Roman" w:hAnsi="Times New Roman" w:eastAsia="Times New Roman" w:cs="Times New Roman"/>
          <w:i/>
          <w:iCs/>
          <w:color w:val="1F1F1F"/>
          <w:sz w:val="24"/>
          <w:szCs w:val="24"/>
          <w:rtl w:val="0"/>
        </w:rPr>
        <w:t>A descriptive cross-sectional design was employed, and data were collected using structured questionnaires administered to 73 consenting mothers. The data were analyzed using frequency, percentage, mean, standard deviation, Pearson Product-Moment Correlation, and Chi-Square tests. Findings revealed that 97.3% of respondents demonstrated high overall vaccine literacy, finding functional and critical literacy tasks easy to navigate. Similarly, 84.9% exhibited high maternal vaccine confidence, supported by robust institutional trust in frontline nurses and high perceived efficacy of routine immunizations. Pearson correlation analysis established a strong, positive, and statistically significant relationship between maternal vaccine literacy and vaccine confidence (r = 0.751, p = 0.000), leading to the rejection of the first null hypothesis. Furthermore, Chi-Square analysis confirmed that socio-demographic factors  including maternal age, educational level, religion, and spousal support exerted statistically significant associations with maternal vaccine confidence (p &lt; 0.05), resulting in the rejection of the second null hypothesis.</w:t>
      </w:r>
    </w:p>
    <w:p w14:paraId="00000054">
      <w:pPr>
        <w:keepNext w:val="0"/>
        <w:keepLines w:val="0"/>
        <w:widowControl/>
        <w:spacing w:before="0" w:after="0" w:line="360" w:lineRule="auto"/>
        <w:ind w:left="0" w:right="0" w:firstLine="0"/>
        <w:jc w:val="left"/>
        <w:rPr>
          <w:rFonts w:ascii="Times New Roman" w:hAnsi="Times New Roman" w:eastAsia="Times New Roman" w:cs="Times New Roman"/>
          <w:i/>
          <w:iCs/>
          <w:sz w:val="24"/>
          <w:szCs w:val="24"/>
        </w:rPr>
      </w:pPr>
    </w:p>
    <w:p w14:paraId="00000055">
      <w:pPr>
        <w:keepNext w:val="0"/>
        <w:keepLines w:val="0"/>
        <w:widowControl/>
        <w:pBdr>
          <w:top w:val="none" w:color="1F1F1F" w:sz="0" w:space="0"/>
          <w:left w:val="none" w:color="1F1F1F" w:sz="0" w:space="0"/>
          <w:bottom w:val="none" w:color="1F1F1F" w:sz="0" w:space="0"/>
          <w:right w:val="none" w:color="1F1F1F" w:sz="0" w:space="0"/>
        </w:pBdr>
        <w:spacing w:before="0" w:after="0" w:line="360" w:lineRule="auto"/>
        <w:ind w:left="0" w:right="0" w:firstLine="0"/>
        <w:jc w:val="left"/>
        <w:rPr>
          <w:rFonts w:ascii="Times New Roman" w:hAnsi="Times New Roman" w:eastAsia="Times New Roman" w:cs="Times New Roman"/>
          <w:i/>
          <w:iCs/>
          <w:color w:val="1F1F1F"/>
          <w:sz w:val="24"/>
          <w:szCs w:val="24"/>
        </w:rPr>
      </w:pPr>
      <w:r>
        <w:rPr>
          <w:rFonts w:ascii="Times New Roman" w:hAnsi="Times New Roman" w:eastAsia="Times New Roman" w:cs="Times New Roman"/>
          <w:i/>
          <w:iCs/>
          <w:color w:val="1F1F1F"/>
          <w:sz w:val="24"/>
          <w:szCs w:val="24"/>
          <w:rtl w:val="0"/>
        </w:rPr>
        <w:t>The study concludes that maternal vaccine literacy is a foundational determinant of vaccine confidence. There exists a clear link between cognitive health understanding and immunization trust, highlighting the need for targeted clinical interventions. It is recommended that health education on vaccine safety and critical literacy appraisal be integrated into routine primary healthcare nursing protocols. Community outreach programs, awareness campaigns, and collaborative public health policies engaging religious and family leaders should be implemented to promote healthier immunization patterns and safeguard child health.</w:t>
      </w:r>
    </w:p>
    <w:p w14:paraId="00000056">
      <w:pPr>
        <w:keepNext w:val="0"/>
        <w:keepLines w:val="0"/>
        <w:widowControl/>
        <w:spacing w:before="0" w:after="0" w:line="360" w:lineRule="auto"/>
        <w:ind w:left="0" w:right="0" w:firstLine="0"/>
        <w:jc w:val="left"/>
        <w:rPr>
          <w:rFonts w:ascii="Times New Roman" w:hAnsi="Times New Roman" w:eastAsia="Times New Roman" w:cs="Times New Roman"/>
          <w:i/>
          <w:iCs/>
          <w:sz w:val="24"/>
          <w:szCs w:val="24"/>
        </w:rPr>
      </w:pPr>
    </w:p>
    <w:p w14:paraId="00000057">
      <w:pPr>
        <w:keepNext w:val="0"/>
        <w:keepLines w:val="0"/>
        <w:widowControl/>
        <w:pBdr>
          <w:top w:val="none" w:color="1F1F1F" w:sz="0" w:space="0"/>
          <w:left w:val="none" w:color="1F1F1F" w:sz="0" w:space="0"/>
          <w:bottom w:val="none" w:color="1F1F1F" w:sz="0" w:space="0"/>
          <w:right w:val="none" w:color="1F1F1F" w:sz="0" w:space="0"/>
        </w:pBdr>
        <w:spacing w:before="0" w:after="0" w:line="360" w:lineRule="auto"/>
        <w:ind w:left="0" w:right="0" w:firstLine="0"/>
        <w:jc w:val="left"/>
        <w:rPr>
          <w:rFonts w:ascii="Times New Roman" w:hAnsi="Times New Roman" w:eastAsia="Times New Roman" w:cs="Times New Roman"/>
          <w:i/>
          <w:iCs/>
          <w:color w:val="1F1F1F"/>
          <w:sz w:val="24"/>
          <w:szCs w:val="24"/>
        </w:rPr>
      </w:pPr>
      <w:r>
        <w:rPr>
          <w:rFonts w:ascii="Times New Roman" w:hAnsi="Times New Roman" w:eastAsia="Times New Roman" w:cs="Times New Roman"/>
          <w:b/>
          <w:bCs/>
          <w:i/>
          <w:iCs/>
          <w:color w:val="1F1F1F"/>
          <w:sz w:val="24"/>
          <w:szCs w:val="24"/>
          <w:rtl w:val="0"/>
        </w:rPr>
        <w:t>Keywords:</w:t>
      </w:r>
      <w:r>
        <w:rPr>
          <w:rFonts w:ascii="Times New Roman" w:hAnsi="Times New Roman" w:eastAsia="Times New Roman" w:cs="Times New Roman"/>
          <w:i/>
          <w:iCs/>
          <w:color w:val="1F1F1F"/>
          <w:sz w:val="24"/>
          <w:szCs w:val="24"/>
          <w:rtl w:val="0"/>
        </w:rPr>
        <w:t xml:space="preserve"> Maternal vaccine literacy, vaccine confidence, primary healthcare, immunization, socio-demographic factors</w:t>
      </w:r>
    </w:p>
    <w:p w14:paraId="00000058">
      <w:pPr>
        <w:keepNext w:val="0"/>
        <w:keepLines w:val="0"/>
        <w:widowControl/>
        <w:pBdr>
          <w:top w:val="none" w:color="1F1F1F" w:sz="0" w:space="0"/>
          <w:left w:val="none" w:color="1F1F1F" w:sz="0" w:space="0"/>
          <w:bottom w:val="none" w:color="1F1F1F" w:sz="0" w:space="0"/>
          <w:right w:val="none" w:color="1F1F1F" w:sz="0" w:space="0"/>
        </w:pBdr>
        <w:spacing w:before="0" w:after="0" w:line="360" w:lineRule="auto"/>
        <w:ind w:left="0" w:right="0" w:firstLine="0"/>
        <w:jc w:val="left"/>
        <w:rPr>
          <w:rFonts w:ascii="Times New Roman" w:hAnsi="Times New Roman" w:eastAsia="Times New Roman" w:cs="Times New Roman"/>
          <w:i/>
          <w:iCs/>
          <w:color w:val="1F1F1F"/>
          <w:sz w:val="24"/>
          <w:szCs w:val="24"/>
        </w:rPr>
      </w:pPr>
    </w:p>
    <w:p w14:paraId="00000059">
      <w:pPr>
        <w:spacing w:after="0" w:line="36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DEDICATION</w:t>
      </w:r>
    </w:p>
    <w:p w14:paraId="0000005A">
      <w:pPr>
        <w:keepNext w:val="0"/>
        <w:keepLines w:val="0"/>
        <w:widowControl/>
        <w:pBdr>
          <w:top w:val="none" w:color="1F1F1F" w:sz="0" w:space="0"/>
          <w:left w:val="none" w:color="1F1F1F" w:sz="0" w:space="0"/>
          <w:bottom w:val="none" w:color="1F1F1F" w:sz="0" w:space="0"/>
          <w:right w:val="none" w:color="1F1F1F" w:sz="0" w:space="0"/>
        </w:pBdr>
        <w:spacing w:before="0" w:after="0" w:line="360" w:lineRule="auto"/>
        <w:ind w:left="0" w:right="0" w:firstLine="0"/>
        <w:jc w:val="left"/>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tl w:val="0"/>
        </w:rPr>
        <w:t>This research project is dedicated to Almighty God, the source of life, wisdom, and strength, for His infinite grace, guidance, and protection throughout the course of my academic journey.</w:t>
      </w:r>
    </w:p>
    <w:p w14:paraId="0000005B">
      <w:pPr>
        <w:keepNext w:val="0"/>
        <w:keepLines w:val="0"/>
        <w:widowControl/>
        <w:pBdr>
          <w:top w:val="none" w:color="1F1F1F" w:sz="0" w:space="0"/>
          <w:left w:val="none" w:color="1F1F1F" w:sz="0" w:space="0"/>
          <w:bottom w:val="none" w:color="1F1F1F" w:sz="0" w:space="0"/>
          <w:right w:val="none" w:color="1F1F1F" w:sz="0" w:space="0"/>
        </w:pBdr>
        <w:spacing w:before="0" w:after="0" w:line="360" w:lineRule="auto"/>
        <w:ind w:left="0" w:right="0" w:firstLine="0"/>
        <w:jc w:val="left"/>
        <w:rPr>
          <w:rFonts w:ascii="Times New Roman" w:hAnsi="Times New Roman" w:eastAsia="Times New Roman" w:cs="Times New Roman"/>
          <w:color w:val="1F1F1F"/>
          <w:sz w:val="24"/>
          <w:szCs w:val="24"/>
        </w:rPr>
      </w:pPr>
    </w:p>
    <w:p w14:paraId="0000005C">
      <w:pPr>
        <w:keepNext w:val="0"/>
        <w:keepLines w:val="0"/>
        <w:widowControl/>
        <w:pBdr>
          <w:top w:val="none" w:color="1F1F1F" w:sz="0" w:space="0"/>
          <w:left w:val="none" w:color="1F1F1F" w:sz="0" w:space="0"/>
          <w:bottom w:val="none" w:color="1F1F1F" w:sz="0" w:space="0"/>
          <w:right w:val="none" w:color="1F1F1F" w:sz="0" w:space="0"/>
        </w:pBdr>
        <w:spacing w:before="0" w:after="0" w:line="360" w:lineRule="auto"/>
        <w:ind w:left="0" w:right="0" w:firstLine="0"/>
        <w:jc w:val="left"/>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tl w:val="0"/>
        </w:rPr>
        <w:t xml:space="preserve">This work is also lovingly dedicated to my dear dad, </w:t>
      </w:r>
      <w:r>
        <w:rPr>
          <w:rFonts w:ascii="Times New Roman" w:hAnsi="Times New Roman" w:eastAsia="Times New Roman" w:cs="Times New Roman"/>
          <w:b/>
          <w:bCs/>
          <w:color w:val="1F1F1F"/>
          <w:sz w:val="24"/>
          <w:szCs w:val="24"/>
          <w:rtl w:val="0"/>
        </w:rPr>
        <w:t>Pastor. Adeyemi Adekunle</w:t>
      </w:r>
      <w:r>
        <w:rPr>
          <w:rFonts w:ascii="Times New Roman" w:hAnsi="Times New Roman" w:eastAsia="Times New Roman" w:cs="Times New Roman"/>
          <w:color w:val="1F1F1F"/>
          <w:sz w:val="24"/>
          <w:szCs w:val="24"/>
          <w:rtl w:val="0"/>
        </w:rPr>
        <w:t xml:space="preserve">, for his unwavering support, sacrifices, prayers, and constant encouragement, and to the sweet memory of my late mom, </w:t>
      </w:r>
      <w:r>
        <w:rPr>
          <w:rFonts w:ascii="Times New Roman" w:hAnsi="Times New Roman" w:eastAsia="Times New Roman" w:cs="Times New Roman"/>
          <w:b/>
          <w:bCs/>
          <w:color w:val="1F1F1F"/>
          <w:sz w:val="24"/>
          <w:szCs w:val="24"/>
          <w:rtl w:val="0"/>
        </w:rPr>
        <w:t>Mrs. Adeyemi Esther</w:t>
      </w:r>
      <w:r>
        <w:rPr>
          <w:rFonts w:ascii="Times New Roman" w:hAnsi="Times New Roman" w:eastAsia="Times New Roman" w:cs="Times New Roman"/>
          <w:color w:val="1F1F1F"/>
          <w:sz w:val="24"/>
          <w:szCs w:val="24"/>
          <w:rtl w:val="0"/>
        </w:rPr>
        <w:t>, whose love, foundational values, and lasting inspiration continue to guide my steps.</w:t>
      </w:r>
    </w:p>
    <w:p w14:paraId="7E1A63BC">
      <w:pPr>
        <w:pStyle w:val="4"/>
        <w:keepNext w:val="0"/>
        <w:keepLines w:val="0"/>
        <w:widowControl/>
        <w:pBdr>
          <w:top w:val="none" w:color="1F1F1F" w:sz="0" w:space="0"/>
          <w:left w:val="none" w:color="1F1F1F" w:sz="0" w:space="0"/>
          <w:bottom w:val="none" w:color="1F1F1F" w:sz="0" w:space="0"/>
          <w:right w:val="none" w:color="1F1F1F" w:sz="0" w:space="0"/>
        </w:pBdr>
        <w:spacing w:before="0" w:after="0" w:line="360" w:lineRule="auto"/>
        <w:ind w:left="0" w:right="0" w:firstLine="0"/>
        <w:jc w:val="center"/>
        <w:rPr>
          <w:rFonts w:ascii="Times New Roman" w:hAnsi="Times New Roman" w:eastAsia="Times New Roman" w:cs="Times New Roman"/>
          <w:b/>
          <w:bCs/>
          <w:color w:val="1F1F1F"/>
          <w:sz w:val="24"/>
          <w:szCs w:val="24"/>
          <w:rtl w:val="0"/>
        </w:rPr>
      </w:pPr>
    </w:p>
    <w:p w14:paraId="298E791C">
      <w:pPr>
        <w:pStyle w:val="4"/>
        <w:keepNext w:val="0"/>
        <w:keepLines w:val="0"/>
        <w:widowControl/>
        <w:pBdr>
          <w:top w:val="none" w:color="1F1F1F" w:sz="0" w:space="0"/>
          <w:left w:val="none" w:color="1F1F1F" w:sz="0" w:space="0"/>
          <w:bottom w:val="none" w:color="1F1F1F" w:sz="0" w:space="0"/>
          <w:right w:val="none" w:color="1F1F1F" w:sz="0" w:space="0"/>
        </w:pBdr>
        <w:spacing w:before="0" w:after="0" w:line="360" w:lineRule="auto"/>
        <w:ind w:left="0" w:right="0" w:firstLine="0"/>
        <w:jc w:val="center"/>
        <w:rPr>
          <w:rFonts w:ascii="Times New Roman" w:hAnsi="Times New Roman" w:eastAsia="Times New Roman" w:cs="Times New Roman"/>
          <w:b/>
          <w:bCs/>
          <w:color w:val="1F1F1F"/>
          <w:sz w:val="24"/>
          <w:szCs w:val="24"/>
          <w:rtl w:val="0"/>
        </w:rPr>
      </w:pPr>
    </w:p>
    <w:p w14:paraId="5F70609D">
      <w:pPr>
        <w:pStyle w:val="4"/>
        <w:keepNext w:val="0"/>
        <w:keepLines w:val="0"/>
        <w:widowControl/>
        <w:pBdr>
          <w:top w:val="none" w:color="1F1F1F" w:sz="0" w:space="0"/>
          <w:left w:val="none" w:color="1F1F1F" w:sz="0" w:space="0"/>
          <w:bottom w:val="none" w:color="1F1F1F" w:sz="0" w:space="0"/>
          <w:right w:val="none" w:color="1F1F1F" w:sz="0" w:space="0"/>
        </w:pBdr>
        <w:spacing w:before="0" w:after="0" w:line="360" w:lineRule="auto"/>
        <w:ind w:left="0" w:right="0" w:firstLine="0"/>
        <w:jc w:val="center"/>
        <w:rPr>
          <w:rFonts w:ascii="Times New Roman" w:hAnsi="Times New Roman" w:eastAsia="Times New Roman" w:cs="Times New Roman"/>
          <w:b/>
          <w:bCs/>
          <w:color w:val="1F1F1F"/>
          <w:sz w:val="24"/>
          <w:szCs w:val="24"/>
          <w:rtl w:val="0"/>
        </w:rPr>
      </w:pPr>
    </w:p>
    <w:p w14:paraId="4F113850">
      <w:pPr>
        <w:pStyle w:val="4"/>
        <w:keepNext w:val="0"/>
        <w:keepLines w:val="0"/>
        <w:widowControl/>
        <w:pBdr>
          <w:top w:val="none" w:color="1F1F1F" w:sz="0" w:space="0"/>
          <w:left w:val="none" w:color="1F1F1F" w:sz="0" w:space="0"/>
          <w:bottom w:val="none" w:color="1F1F1F" w:sz="0" w:space="0"/>
          <w:right w:val="none" w:color="1F1F1F" w:sz="0" w:space="0"/>
        </w:pBdr>
        <w:spacing w:before="0" w:after="0" w:line="360" w:lineRule="auto"/>
        <w:ind w:left="0" w:right="0" w:firstLine="0"/>
        <w:jc w:val="center"/>
        <w:rPr>
          <w:rFonts w:ascii="Times New Roman" w:hAnsi="Times New Roman" w:eastAsia="Times New Roman" w:cs="Times New Roman"/>
          <w:b/>
          <w:bCs/>
          <w:color w:val="1F1F1F"/>
          <w:sz w:val="24"/>
          <w:szCs w:val="24"/>
          <w:rtl w:val="0"/>
        </w:rPr>
      </w:pPr>
    </w:p>
    <w:p w14:paraId="1388A1A0">
      <w:pPr>
        <w:pStyle w:val="4"/>
        <w:keepNext w:val="0"/>
        <w:keepLines w:val="0"/>
        <w:widowControl/>
        <w:pBdr>
          <w:top w:val="none" w:color="1F1F1F" w:sz="0" w:space="0"/>
          <w:left w:val="none" w:color="1F1F1F" w:sz="0" w:space="0"/>
          <w:bottom w:val="none" w:color="1F1F1F" w:sz="0" w:space="0"/>
          <w:right w:val="none" w:color="1F1F1F" w:sz="0" w:space="0"/>
        </w:pBdr>
        <w:spacing w:before="0" w:after="0" w:line="360" w:lineRule="auto"/>
        <w:ind w:left="0" w:right="0" w:firstLine="0"/>
        <w:jc w:val="center"/>
        <w:rPr>
          <w:rFonts w:ascii="Times New Roman" w:hAnsi="Times New Roman" w:eastAsia="Times New Roman" w:cs="Times New Roman"/>
          <w:b/>
          <w:bCs/>
          <w:color w:val="1F1F1F"/>
          <w:sz w:val="24"/>
          <w:szCs w:val="24"/>
          <w:rtl w:val="0"/>
        </w:rPr>
      </w:pPr>
    </w:p>
    <w:p w14:paraId="180DDD98">
      <w:pPr>
        <w:pStyle w:val="4"/>
        <w:keepNext w:val="0"/>
        <w:keepLines w:val="0"/>
        <w:widowControl/>
        <w:pBdr>
          <w:top w:val="none" w:color="1F1F1F" w:sz="0" w:space="0"/>
          <w:left w:val="none" w:color="1F1F1F" w:sz="0" w:space="0"/>
          <w:bottom w:val="none" w:color="1F1F1F" w:sz="0" w:space="0"/>
          <w:right w:val="none" w:color="1F1F1F" w:sz="0" w:space="0"/>
        </w:pBdr>
        <w:spacing w:before="0" w:after="0" w:line="360" w:lineRule="auto"/>
        <w:ind w:left="0" w:right="0" w:firstLine="0"/>
        <w:jc w:val="center"/>
        <w:rPr>
          <w:rFonts w:ascii="Times New Roman" w:hAnsi="Times New Roman" w:eastAsia="Times New Roman" w:cs="Times New Roman"/>
          <w:b/>
          <w:bCs/>
          <w:color w:val="1F1F1F"/>
          <w:sz w:val="24"/>
          <w:szCs w:val="24"/>
          <w:rtl w:val="0"/>
        </w:rPr>
      </w:pPr>
    </w:p>
    <w:p w14:paraId="04C7E680">
      <w:pPr>
        <w:pStyle w:val="4"/>
        <w:keepNext w:val="0"/>
        <w:keepLines w:val="0"/>
        <w:widowControl/>
        <w:pBdr>
          <w:top w:val="none" w:color="1F1F1F" w:sz="0" w:space="0"/>
          <w:left w:val="none" w:color="1F1F1F" w:sz="0" w:space="0"/>
          <w:bottom w:val="none" w:color="1F1F1F" w:sz="0" w:space="0"/>
          <w:right w:val="none" w:color="1F1F1F" w:sz="0" w:space="0"/>
        </w:pBdr>
        <w:spacing w:before="0" w:after="0" w:line="360" w:lineRule="auto"/>
        <w:ind w:left="0" w:right="0" w:firstLine="0"/>
        <w:jc w:val="center"/>
        <w:rPr>
          <w:rFonts w:ascii="Times New Roman" w:hAnsi="Times New Roman" w:eastAsia="Times New Roman" w:cs="Times New Roman"/>
          <w:b/>
          <w:bCs/>
          <w:color w:val="1F1F1F"/>
          <w:sz w:val="24"/>
          <w:szCs w:val="24"/>
          <w:rtl w:val="0"/>
        </w:rPr>
      </w:pPr>
    </w:p>
    <w:p w14:paraId="323B6BAE">
      <w:pPr>
        <w:pStyle w:val="4"/>
        <w:keepNext w:val="0"/>
        <w:keepLines w:val="0"/>
        <w:widowControl/>
        <w:pBdr>
          <w:top w:val="none" w:color="1F1F1F" w:sz="0" w:space="0"/>
          <w:left w:val="none" w:color="1F1F1F" w:sz="0" w:space="0"/>
          <w:bottom w:val="none" w:color="1F1F1F" w:sz="0" w:space="0"/>
          <w:right w:val="none" w:color="1F1F1F" w:sz="0" w:space="0"/>
        </w:pBdr>
        <w:spacing w:before="0" w:after="0" w:line="360" w:lineRule="auto"/>
        <w:ind w:left="0" w:right="0" w:firstLine="0"/>
        <w:jc w:val="center"/>
        <w:rPr>
          <w:rFonts w:ascii="Times New Roman" w:hAnsi="Times New Roman" w:eastAsia="Times New Roman" w:cs="Times New Roman"/>
          <w:b/>
          <w:bCs/>
          <w:color w:val="1F1F1F"/>
          <w:sz w:val="24"/>
          <w:szCs w:val="24"/>
          <w:rtl w:val="0"/>
        </w:rPr>
      </w:pPr>
    </w:p>
    <w:p w14:paraId="63C3701A">
      <w:pPr>
        <w:pStyle w:val="4"/>
        <w:keepNext w:val="0"/>
        <w:keepLines w:val="0"/>
        <w:widowControl/>
        <w:pBdr>
          <w:top w:val="none" w:color="1F1F1F" w:sz="0" w:space="0"/>
          <w:left w:val="none" w:color="1F1F1F" w:sz="0" w:space="0"/>
          <w:bottom w:val="none" w:color="1F1F1F" w:sz="0" w:space="0"/>
          <w:right w:val="none" w:color="1F1F1F" w:sz="0" w:space="0"/>
        </w:pBdr>
        <w:spacing w:before="0" w:after="0" w:line="360" w:lineRule="auto"/>
        <w:ind w:left="0" w:right="0" w:firstLine="0"/>
        <w:jc w:val="center"/>
        <w:rPr>
          <w:rFonts w:ascii="Times New Roman" w:hAnsi="Times New Roman" w:eastAsia="Times New Roman" w:cs="Times New Roman"/>
          <w:b/>
          <w:bCs/>
          <w:color w:val="1F1F1F"/>
          <w:sz w:val="24"/>
          <w:szCs w:val="24"/>
          <w:rtl w:val="0"/>
        </w:rPr>
      </w:pPr>
    </w:p>
    <w:p w14:paraId="04090E2A">
      <w:pPr>
        <w:pStyle w:val="4"/>
        <w:keepNext w:val="0"/>
        <w:keepLines w:val="0"/>
        <w:widowControl/>
        <w:pBdr>
          <w:top w:val="none" w:color="1F1F1F" w:sz="0" w:space="0"/>
          <w:left w:val="none" w:color="1F1F1F" w:sz="0" w:space="0"/>
          <w:bottom w:val="none" w:color="1F1F1F" w:sz="0" w:space="0"/>
          <w:right w:val="none" w:color="1F1F1F" w:sz="0" w:space="0"/>
        </w:pBdr>
        <w:spacing w:before="0" w:after="0" w:line="360" w:lineRule="auto"/>
        <w:ind w:left="0" w:right="0" w:firstLine="0"/>
        <w:jc w:val="center"/>
        <w:rPr>
          <w:rFonts w:ascii="Times New Roman" w:hAnsi="Times New Roman" w:eastAsia="Times New Roman" w:cs="Times New Roman"/>
          <w:b/>
          <w:bCs/>
          <w:color w:val="1F1F1F"/>
          <w:sz w:val="24"/>
          <w:szCs w:val="24"/>
          <w:rtl w:val="0"/>
        </w:rPr>
      </w:pPr>
    </w:p>
    <w:p w14:paraId="7A6981BF">
      <w:pPr>
        <w:pStyle w:val="4"/>
        <w:keepNext w:val="0"/>
        <w:keepLines w:val="0"/>
        <w:widowControl/>
        <w:pBdr>
          <w:top w:val="none" w:color="1F1F1F" w:sz="0" w:space="0"/>
          <w:left w:val="none" w:color="1F1F1F" w:sz="0" w:space="0"/>
          <w:bottom w:val="none" w:color="1F1F1F" w:sz="0" w:space="0"/>
          <w:right w:val="none" w:color="1F1F1F" w:sz="0" w:space="0"/>
        </w:pBdr>
        <w:spacing w:before="0" w:after="0" w:line="360" w:lineRule="auto"/>
        <w:ind w:left="0" w:right="0" w:firstLine="0"/>
        <w:jc w:val="center"/>
        <w:rPr>
          <w:rFonts w:ascii="Times New Roman" w:hAnsi="Times New Roman" w:eastAsia="Times New Roman" w:cs="Times New Roman"/>
          <w:b/>
          <w:bCs/>
          <w:color w:val="1F1F1F"/>
          <w:sz w:val="24"/>
          <w:szCs w:val="24"/>
          <w:rtl w:val="0"/>
        </w:rPr>
      </w:pPr>
    </w:p>
    <w:p w14:paraId="01939218">
      <w:pPr>
        <w:pStyle w:val="4"/>
        <w:keepNext w:val="0"/>
        <w:keepLines w:val="0"/>
        <w:widowControl/>
        <w:pBdr>
          <w:top w:val="none" w:color="1F1F1F" w:sz="0" w:space="0"/>
          <w:left w:val="none" w:color="1F1F1F" w:sz="0" w:space="0"/>
          <w:bottom w:val="none" w:color="1F1F1F" w:sz="0" w:space="0"/>
          <w:right w:val="none" w:color="1F1F1F" w:sz="0" w:space="0"/>
        </w:pBdr>
        <w:spacing w:before="0" w:after="0" w:line="360" w:lineRule="auto"/>
        <w:ind w:left="0" w:right="0" w:firstLine="0"/>
        <w:jc w:val="center"/>
        <w:rPr>
          <w:rFonts w:ascii="Times New Roman" w:hAnsi="Times New Roman" w:eastAsia="Times New Roman" w:cs="Times New Roman"/>
          <w:b/>
          <w:bCs/>
          <w:color w:val="1F1F1F"/>
          <w:sz w:val="24"/>
          <w:szCs w:val="24"/>
          <w:rtl w:val="0"/>
        </w:rPr>
      </w:pPr>
    </w:p>
    <w:p w14:paraId="2A726C10">
      <w:pPr>
        <w:pStyle w:val="4"/>
        <w:keepNext w:val="0"/>
        <w:keepLines w:val="0"/>
        <w:widowControl/>
        <w:pBdr>
          <w:top w:val="none" w:color="1F1F1F" w:sz="0" w:space="0"/>
          <w:left w:val="none" w:color="1F1F1F" w:sz="0" w:space="0"/>
          <w:bottom w:val="none" w:color="1F1F1F" w:sz="0" w:space="0"/>
          <w:right w:val="none" w:color="1F1F1F" w:sz="0" w:space="0"/>
        </w:pBdr>
        <w:spacing w:before="0" w:after="0" w:line="360" w:lineRule="auto"/>
        <w:ind w:left="0" w:right="0" w:firstLine="0"/>
        <w:jc w:val="center"/>
        <w:rPr>
          <w:rFonts w:ascii="Times New Roman" w:hAnsi="Times New Roman" w:eastAsia="Times New Roman" w:cs="Times New Roman"/>
          <w:b/>
          <w:bCs/>
          <w:color w:val="1F1F1F"/>
          <w:sz w:val="24"/>
          <w:szCs w:val="24"/>
          <w:rtl w:val="0"/>
        </w:rPr>
      </w:pPr>
    </w:p>
    <w:p w14:paraId="5E7CEA39">
      <w:pPr>
        <w:pStyle w:val="4"/>
        <w:keepNext w:val="0"/>
        <w:keepLines w:val="0"/>
        <w:widowControl/>
        <w:pBdr>
          <w:top w:val="none" w:color="1F1F1F" w:sz="0" w:space="0"/>
          <w:left w:val="none" w:color="1F1F1F" w:sz="0" w:space="0"/>
          <w:bottom w:val="none" w:color="1F1F1F" w:sz="0" w:space="0"/>
          <w:right w:val="none" w:color="1F1F1F" w:sz="0" w:space="0"/>
        </w:pBdr>
        <w:spacing w:before="0" w:after="0" w:line="360" w:lineRule="auto"/>
        <w:ind w:left="0" w:right="0" w:firstLine="0"/>
        <w:jc w:val="center"/>
        <w:rPr>
          <w:rFonts w:ascii="Times New Roman" w:hAnsi="Times New Roman" w:eastAsia="Times New Roman" w:cs="Times New Roman"/>
          <w:b/>
          <w:bCs/>
          <w:color w:val="1F1F1F"/>
          <w:sz w:val="24"/>
          <w:szCs w:val="24"/>
          <w:rtl w:val="0"/>
        </w:rPr>
      </w:pPr>
    </w:p>
    <w:p w14:paraId="12F8C0DD">
      <w:pPr>
        <w:pStyle w:val="4"/>
        <w:keepNext w:val="0"/>
        <w:keepLines w:val="0"/>
        <w:widowControl/>
        <w:pBdr>
          <w:top w:val="none" w:color="1F1F1F" w:sz="0" w:space="0"/>
          <w:left w:val="none" w:color="1F1F1F" w:sz="0" w:space="0"/>
          <w:bottom w:val="none" w:color="1F1F1F" w:sz="0" w:space="0"/>
          <w:right w:val="none" w:color="1F1F1F" w:sz="0" w:space="0"/>
        </w:pBdr>
        <w:spacing w:before="0" w:after="0" w:line="360" w:lineRule="auto"/>
        <w:ind w:left="0" w:right="0" w:firstLine="0"/>
        <w:jc w:val="center"/>
        <w:rPr>
          <w:rFonts w:ascii="Times New Roman" w:hAnsi="Times New Roman" w:eastAsia="Times New Roman" w:cs="Times New Roman"/>
          <w:b/>
          <w:bCs/>
          <w:color w:val="1F1F1F"/>
          <w:sz w:val="24"/>
          <w:szCs w:val="24"/>
          <w:rtl w:val="0"/>
        </w:rPr>
      </w:pPr>
    </w:p>
    <w:p w14:paraId="4DBD1E7B">
      <w:pPr>
        <w:pStyle w:val="4"/>
        <w:keepNext w:val="0"/>
        <w:keepLines w:val="0"/>
        <w:widowControl/>
        <w:pBdr>
          <w:top w:val="none" w:color="1F1F1F" w:sz="0" w:space="0"/>
          <w:left w:val="none" w:color="1F1F1F" w:sz="0" w:space="0"/>
          <w:bottom w:val="none" w:color="1F1F1F" w:sz="0" w:space="0"/>
          <w:right w:val="none" w:color="1F1F1F" w:sz="0" w:space="0"/>
        </w:pBdr>
        <w:spacing w:before="0" w:after="0" w:line="360" w:lineRule="auto"/>
        <w:ind w:left="0" w:right="0" w:firstLine="0"/>
        <w:jc w:val="center"/>
        <w:rPr>
          <w:rFonts w:ascii="Times New Roman" w:hAnsi="Times New Roman" w:eastAsia="Times New Roman" w:cs="Times New Roman"/>
          <w:b/>
          <w:bCs/>
          <w:color w:val="1F1F1F"/>
          <w:sz w:val="24"/>
          <w:szCs w:val="24"/>
          <w:rtl w:val="0"/>
        </w:rPr>
      </w:pPr>
    </w:p>
    <w:p w14:paraId="5E11C750">
      <w:pPr>
        <w:pStyle w:val="4"/>
        <w:keepNext w:val="0"/>
        <w:keepLines w:val="0"/>
        <w:widowControl/>
        <w:pBdr>
          <w:top w:val="none" w:color="1F1F1F" w:sz="0" w:space="0"/>
          <w:left w:val="none" w:color="1F1F1F" w:sz="0" w:space="0"/>
          <w:bottom w:val="none" w:color="1F1F1F" w:sz="0" w:space="0"/>
          <w:right w:val="none" w:color="1F1F1F" w:sz="0" w:space="0"/>
        </w:pBdr>
        <w:spacing w:before="0" w:after="0" w:line="360" w:lineRule="auto"/>
        <w:ind w:left="0" w:right="0" w:firstLine="0"/>
        <w:jc w:val="center"/>
        <w:rPr>
          <w:rFonts w:ascii="Times New Roman" w:hAnsi="Times New Roman" w:eastAsia="Times New Roman" w:cs="Times New Roman"/>
          <w:b/>
          <w:bCs/>
          <w:color w:val="1F1F1F"/>
          <w:sz w:val="24"/>
          <w:szCs w:val="24"/>
          <w:rtl w:val="0"/>
        </w:rPr>
      </w:pPr>
    </w:p>
    <w:p w14:paraId="0EE44427">
      <w:pPr>
        <w:pStyle w:val="4"/>
        <w:keepNext w:val="0"/>
        <w:keepLines w:val="0"/>
        <w:widowControl/>
        <w:pBdr>
          <w:top w:val="none" w:color="1F1F1F" w:sz="0" w:space="0"/>
          <w:left w:val="none" w:color="1F1F1F" w:sz="0" w:space="0"/>
          <w:bottom w:val="none" w:color="1F1F1F" w:sz="0" w:space="0"/>
          <w:right w:val="none" w:color="1F1F1F" w:sz="0" w:space="0"/>
        </w:pBdr>
        <w:spacing w:before="0" w:after="0" w:line="360" w:lineRule="auto"/>
        <w:ind w:left="0" w:right="0" w:firstLine="0"/>
        <w:jc w:val="center"/>
        <w:rPr>
          <w:rFonts w:ascii="Times New Roman" w:hAnsi="Times New Roman" w:eastAsia="Times New Roman" w:cs="Times New Roman"/>
          <w:b/>
          <w:bCs/>
          <w:color w:val="1F1F1F"/>
          <w:sz w:val="24"/>
          <w:szCs w:val="24"/>
          <w:rtl w:val="0"/>
        </w:rPr>
      </w:pPr>
    </w:p>
    <w:p w14:paraId="0824659C">
      <w:pPr>
        <w:pStyle w:val="4"/>
        <w:keepNext w:val="0"/>
        <w:keepLines w:val="0"/>
        <w:widowControl/>
        <w:pBdr>
          <w:top w:val="none" w:color="1F1F1F" w:sz="0" w:space="0"/>
          <w:left w:val="none" w:color="1F1F1F" w:sz="0" w:space="0"/>
          <w:bottom w:val="none" w:color="1F1F1F" w:sz="0" w:space="0"/>
          <w:right w:val="none" w:color="1F1F1F" w:sz="0" w:space="0"/>
        </w:pBdr>
        <w:spacing w:before="0" w:after="0" w:line="360" w:lineRule="auto"/>
        <w:ind w:left="0" w:right="0" w:firstLine="0"/>
        <w:jc w:val="center"/>
        <w:rPr>
          <w:rFonts w:ascii="Times New Roman" w:hAnsi="Times New Roman" w:eastAsia="Times New Roman" w:cs="Times New Roman"/>
          <w:b/>
          <w:bCs/>
          <w:color w:val="1F1F1F"/>
          <w:sz w:val="24"/>
          <w:szCs w:val="24"/>
          <w:rtl w:val="0"/>
        </w:rPr>
      </w:pPr>
    </w:p>
    <w:p w14:paraId="096F394E">
      <w:pPr>
        <w:pStyle w:val="4"/>
        <w:keepNext w:val="0"/>
        <w:keepLines w:val="0"/>
        <w:widowControl/>
        <w:pBdr>
          <w:top w:val="none" w:color="1F1F1F" w:sz="0" w:space="0"/>
          <w:left w:val="none" w:color="1F1F1F" w:sz="0" w:space="0"/>
          <w:bottom w:val="none" w:color="1F1F1F" w:sz="0" w:space="0"/>
          <w:right w:val="none" w:color="1F1F1F" w:sz="0" w:space="0"/>
        </w:pBdr>
        <w:spacing w:before="0" w:after="0" w:line="360" w:lineRule="auto"/>
        <w:ind w:left="0" w:right="0" w:firstLine="0"/>
        <w:jc w:val="both"/>
        <w:rPr>
          <w:rFonts w:ascii="Times New Roman" w:hAnsi="Times New Roman" w:eastAsia="Times New Roman" w:cs="Times New Roman"/>
          <w:b/>
          <w:bCs/>
          <w:color w:val="1F1F1F"/>
          <w:sz w:val="24"/>
          <w:szCs w:val="24"/>
          <w:rtl w:val="0"/>
        </w:rPr>
      </w:pPr>
    </w:p>
    <w:p w14:paraId="0000005D">
      <w:pPr>
        <w:pStyle w:val="4"/>
        <w:keepNext w:val="0"/>
        <w:keepLines w:val="0"/>
        <w:widowControl/>
        <w:pBdr>
          <w:top w:val="none" w:color="1F1F1F" w:sz="0" w:space="0"/>
          <w:left w:val="none" w:color="1F1F1F" w:sz="0" w:space="0"/>
          <w:bottom w:val="none" w:color="1F1F1F" w:sz="0" w:space="0"/>
          <w:right w:val="none" w:color="1F1F1F" w:sz="0" w:space="0"/>
        </w:pBdr>
        <w:spacing w:before="0" w:after="0" w:line="360" w:lineRule="auto"/>
        <w:ind w:left="2160" w:leftChars="0" w:right="0" w:firstLine="720" w:firstLineChars="0"/>
        <w:jc w:val="both"/>
        <w:rPr>
          <w:rFonts w:ascii="Times New Roman" w:hAnsi="Times New Roman" w:eastAsia="Times New Roman" w:cs="Times New Roman"/>
          <w:color w:val="1F1F1F"/>
          <w:sz w:val="24"/>
          <w:szCs w:val="24"/>
        </w:rPr>
      </w:pPr>
      <w:r>
        <w:rPr>
          <w:rFonts w:ascii="Times New Roman" w:hAnsi="Times New Roman" w:eastAsia="Times New Roman" w:cs="Times New Roman"/>
          <w:b/>
          <w:bCs/>
          <w:color w:val="1F1F1F"/>
          <w:sz w:val="24"/>
          <w:szCs w:val="24"/>
          <w:rtl w:val="0"/>
        </w:rPr>
        <w:t>ACKNOWLEDGEMENT</w:t>
      </w:r>
    </w:p>
    <w:p w14:paraId="0000005E">
      <w:pPr>
        <w:keepNext w:val="0"/>
        <w:keepLines w:val="0"/>
        <w:widowControl/>
        <w:pBdr>
          <w:top w:val="none" w:color="1F1F1F" w:sz="0" w:space="0"/>
          <w:left w:val="none" w:color="1F1F1F" w:sz="0" w:space="0"/>
          <w:bottom w:val="none" w:color="1F1F1F" w:sz="0" w:space="0"/>
          <w:right w:val="none" w:color="1F1F1F" w:sz="0" w:space="0"/>
        </w:pBdr>
        <w:spacing w:before="0" w:after="0" w:line="360" w:lineRule="auto"/>
        <w:ind w:left="0" w:right="0" w:firstLine="0"/>
        <w:jc w:val="left"/>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tl w:val="0"/>
        </w:rPr>
        <w:t>My utmost gratitude to Almighty God for His divine guidance, strength, and continuous support throughout this research project. I am deeply grateful for His presence in my life. May He continue to bless and guide me in all my future endeavors.</w:t>
      </w:r>
    </w:p>
    <w:p w14:paraId="0000005F">
      <w:pPr>
        <w:keepNext w:val="0"/>
        <w:keepLines w:val="0"/>
        <w:widowControl/>
        <w:pBdr>
          <w:top w:val="none" w:color="1F1F1F" w:sz="0" w:space="0"/>
          <w:left w:val="none" w:color="1F1F1F" w:sz="0" w:space="0"/>
          <w:bottom w:val="none" w:color="1F1F1F" w:sz="0" w:space="0"/>
          <w:right w:val="none" w:color="1F1F1F" w:sz="0" w:space="0"/>
        </w:pBdr>
        <w:spacing w:before="0" w:after="0" w:line="360" w:lineRule="auto"/>
        <w:ind w:left="0" w:right="0" w:firstLine="0"/>
        <w:jc w:val="left"/>
        <w:rPr>
          <w:rFonts w:ascii="Times New Roman" w:hAnsi="Times New Roman" w:eastAsia="Times New Roman" w:cs="Times New Roman"/>
          <w:color w:val="1F1F1F"/>
          <w:sz w:val="24"/>
          <w:szCs w:val="24"/>
        </w:rPr>
      </w:pPr>
    </w:p>
    <w:p w14:paraId="00000060">
      <w:pPr>
        <w:keepNext w:val="0"/>
        <w:keepLines w:val="0"/>
        <w:widowControl/>
        <w:pBdr>
          <w:top w:val="none" w:color="1F1F1F" w:sz="0" w:space="0"/>
          <w:left w:val="none" w:color="1F1F1F" w:sz="0" w:space="0"/>
          <w:bottom w:val="none" w:color="1F1F1F" w:sz="0" w:space="0"/>
          <w:right w:val="none" w:color="1F1F1F" w:sz="0" w:space="0"/>
        </w:pBdr>
        <w:spacing w:before="0" w:after="0" w:line="360" w:lineRule="auto"/>
        <w:ind w:left="0" w:right="0" w:firstLine="0"/>
        <w:jc w:val="left"/>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tl w:val="0"/>
        </w:rPr>
        <w:t>I express my sincere appreciation to my esteemed supervisor, Dr. F.I. Bolarinwa , for her invaluable guidance, scholarly mentorship, and patience throughout the execution of this study. I also appreciate the Head of Department, DDNE A.L. Adewale, for her motherly support, and the Class Coordinator, Dr. M.O. YAKUBU, for her continuous encouragement during my studies; God bless you ma. My heartfelt gratitude goes to my level adviser, Mrs. Aregbesola, the Provost of the College of Nursing Sciences, Dr. Mrs. N.A. Abdulmalik, and all the academic and administrative lecturers in the school for their foundational tutelage.</w:t>
      </w:r>
    </w:p>
    <w:p w14:paraId="00000061">
      <w:pPr>
        <w:keepNext w:val="0"/>
        <w:keepLines w:val="0"/>
        <w:widowControl/>
        <w:spacing w:before="0" w:after="0" w:line="360" w:lineRule="auto"/>
        <w:ind w:left="0" w:right="0" w:firstLine="0"/>
        <w:jc w:val="left"/>
        <w:rPr>
          <w:rFonts w:ascii="Times New Roman" w:hAnsi="Times New Roman" w:eastAsia="Times New Roman" w:cs="Times New Roman"/>
          <w:sz w:val="24"/>
          <w:szCs w:val="24"/>
        </w:rPr>
      </w:pPr>
    </w:p>
    <w:p w14:paraId="00000062">
      <w:pPr>
        <w:keepNext w:val="0"/>
        <w:keepLines w:val="0"/>
        <w:widowControl/>
        <w:pBdr>
          <w:top w:val="none" w:color="1F1F1F" w:sz="0" w:space="0"/>
          <w:left w:val="none" w:color="1F1F1F" w:sz="0" w:space="0"/>
          <w:bottom w:val="none" w:color="1F1F1F" w:sz="0" w:space="0"/>
          <w:right w:val="none" w:color="1F1F1F" w:sz="0" w:space="0"/>
        </w:pBdr>
        <w:spacing w:before="0" w:after="0" w:line="360" w:lineRule="auto"/>
        <w:ind w:left="0" w:right="0" w:firstLine="0"/>
        <w:jc w:val="left"/>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tl w:val="0"/>
        </w:rPr>
        <w:t>Special thanks are due to the management and staff of Kulende Primary Health Care Centre for granting access and the necessary cooperation required for successful data collection. I am also deeply appreciative of Nurse. Bashiru and the Record Department officials, whose assistance and support greatly facilitated the fieldwork process. I am deeply grateful to the management of the school as a whole for their support during my study.</w:t>
      </w:r>
    </w:p>
    <w:p w14:paraId="00000063">
      <w:pPr>
        <w:keepNext w:val="0"/>
        <w:keepLines w:val="0"/>
        <w:widowControl/>
        <w:spacing w:before="0" w:after="0" w:line="360" w:lineRule="auto"/>
        <w:ind w:left="0" w:right="0" w:firstLine="0"/>
        <w:jc w:val="left"/>
        <w:rPr>
          <w:rFonts w:ascii="Times New Roman" w:hAnsi="Times New Roman" w:eastAsia="Times New Roman" w:cs="Times New Roman"/>
          <w:sz w:val="24"/>
          <w:szCs w:val="24"/>
        </w:rPr>
      </w:pPr>
    </w:p>
    <w:p w14:paraId="00000064">
      <w:pPr>
        <w:keepNext w:val="0"/>
        <w:keepLines w:val="0"/>
        <w:widowControl/>
        <w:pBdr>
          <w:top w:val="none" w:color="1F1F1F" w:sz="0" w:space="0"/>
          <w:left w:val="none" w:color="1F1F1F" w:sz="0" w:space="0"/>
          <w:bottom w:val="none" w:color="1F1F1F" w:sz="0" w:space="0"/>
          <w:right w:val="none" w:color="1F1F1F" w:sz="0" w:space="0"/>
        </w:pBdr>
        <w:spacing w:before="0" w:after="0" w:line="360" w:lineRule="auto"/>
        <w:ind w:left="0" w:right="0" w:firstLine="0"/>
        <w:jc w:val="left"/>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tl w:val="0"/>
        </w:rPr>
        <w:t>An immeasurable appreciation goes to my dad, Pastor Adeyemi Adekunle, and the sweet memory of my late mom, for their prayers, sacrifices, and encouragement. I appreciate my Sister Adeyemi Rereloluwa  for her love and constant support.</w:t>
      </w:r>
    </w:p>
    <w:p w14:paraId="00000065">
      <w:pPr>
        <w:keepNext w:val="0"/>
        <w:keepLines w:val="0"/>
        <w:widowControl/>
        <w:spacing w:before="0" w:after="0" w:line="360" w:lineRule="auto"/>
        <w:ind w:left="0" w:right="0" w:firstLine="0"/>
        <w:jc w:val="left"/>
        <w:rPr>
          <w:rFonts w:ascii="Times New Roman" w:hAnsi="Times New Roman" w:eastAsia="Times New Roman" w:cs="Times New Roman"/>
          <w:sz w:val="24"/>
          <w:szCs w:val="24"/>
        </w:rPr>
      </w:pPr>
    </w:p>
    <w:p w14:paraId="00000066">
      <w:pPr>
        <w:keepNext w:val="0"/>
        <w:keepLines w:val="0"/>
        <w:widowControl/>
        <w:pBdr>
          <w:top w:val="none" w:color="1F1F1F" w:sz="0" w:space="0"/>
          <w:left w:val="none" w:color="1F1F1F" w:sz="0" w:space="0"/>
          <w:bottom w:val="none" w:color="1F1F1F" w:sz="0" w:space="0"/>
          <w:right w:val="none" w:color="1F1F1F" w:sz="0" w:space="0"/>
        </w:pBdr>
        <w:spacing w:before="0" w:after="0" w:line="360" w:lineRule="auto"/>
        <w:ind w:left="0" w:right="0" w:firstLine="0"/>
        <w:jc w:val="left"/>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tl w:val="0"/>
        </w:rPr>
        <w:t>Finally, I appreciate my friend, Atofolaki Oluwasemilore, along with my Family(FCN) colleagues, friends, and every member of my set who has been a constant source of encouragement and friendship. They have shared their knowledge and experiences and made this journey much easier. I truly appreciate it all, and I pray we shall all finish well with lots of happiness and gratitude.</w:t>
      </w:r>
    </w:p>
    <w:p w14:paraId="00000067">
      <w:pPr>
        <w:keepNext w:val="0"/>
        <w:keepLines w:val="0"/>
        <w:widowControl/>
        <w:pBdr>
          <w:top w:val="none" w:color="1F1F1F" w:sz="0" w:space="0"/>
          <w:left w:val="none" w:color="1F1F1F" w:sz="0" w:space="0"/>
          <w:bottom w:val="none" w:color="1F1F1F" w:sz="0" w:space="0"/>
          <w:right w:val="none" w:color="1F1F1F" w:sz="0" w:space="0"/>
        </w:pBdr>
        <w:spacing w:before="0" w:after="0" w:line="360" w:lineRule="auto"/>
        <w:ind w:left="0" w:right="0" w:firstLine="0"/>
        <w:jc w:val="left"/>
        <w:rPr>
          <w:rFonts w:ascii="Times New Roman" w:hAnsi="Times New Roman" w:eastAsia="Times New Roman" w:cs="Times New Roman"/>
          <w:i/>
          <w:iCs/>
          <w:color w:val="1F1F1F"/>
          <w:sz w:val="24"/>
          <w:szCs w:val="24"/>
        </w:rPr>
      </w:pPr>
    </w:p>
    <w:p w14:paraId="29EB64C0">
      <w:pPr>
        <w:spacing w:after="0" w:line="360" w:lineRule="auto"/>
        <w:ind w:left="2880" w:firstLine="720"/>
        <w:rPr>
          <w:rFonts w:ascii="Times New Roman" w:hAnsi="Times New Roman" w:eastAsia="Times New Roman" w:cs="Times New Roman"/>
          <w:b/>
          <w:bCs/>
          <w:sz w:val="24"/>
          <w:szCs w:val="24"/>
          <w:rtl w:val="0"/>
        </w:rPr>
      </w:pPr>
    </w:p>
    <w:p w14:paraId="4CA16348">
      <w:pPr>
        <w:spacing w:after="0" w:line="360" w:lineRule="auto"/>
        <w:ind w:left="2880" w:firstLine="720"/>
        <w:rPr>
          <w:rFonts w:ascii="Times New Roman" w:hAnsi="Times New Roman" w:eastAsia="Times New Roman" w:cs="Times New Roman"/>
          <w:b/>
          <w:bCs/>
          <w:sz w:val="24"/>
          <w:szCs w:val="24"/>
          <w:rtl w:val="0"/>
        </w:rPr>
      </w:pPr>
    </w:p>
    <w:p w14:paraId="00000068">
      <w:pPr>
        <w:spacing w:after="0" w:line="360" w:lineRule="auto"/>
        <w:ind w:left="2880" w:firstLine="72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TABLE OF CONTENT</w:t>
      </w:r>
    </w:p>
    <w:p w14:paraId="00000069">
      <w:pPr>
        <w:spacing w:after="0" w:line="360" w:lineRule="auto"/>
        <w:rPr>
          <w:rFonts w:ascii="Times New Roman" w:hAnsi="Times New Roman" w:eastAsia="Times New Roman" w:cs="Times New Roman"/>
          <w:b/>
          <w:bCs/>
          <w:color w:val="00B050"/>
          <w:sz w:val="24"/>
          <w:szCs w:val="24"/>
        </w:rPr>
      </w:pPr>
      <w:r>
        <w:rPr>
          <w:rFonts w:ascii="Times New Roman" w:hAnsi="Times New Roman" w:eastAsia="Times New Roman" w:cs="Times New Roman"/>
          <w:b/>
          <w:bCs/>
          <w:sz w:val="24"/>
          <w:szCs w:val="24"/>
          <w:rtl w:val="0"/>
        </w:rPr>
        <w:t>Title</w:t>
      </w:r>
      <w:r>
        <w:rPr>
          <w:rFonts w:ascii="Times New Roman" w:hAnsi="Times New Roman" w:eastAsia="Times New Roman" w:cs="Times New Roman"/>
          <w:b/>
          <w:bCs/>
          <w:color w:val="00B050"/>
          <w:sz w:val="24"/>
          <w:szCs w:val="24"/>
          <w:rtl w:val="0"/>
        </w:rPr>
        <w:tab/>
      </w:r>
      <w:r>
        <w:rPr>
          <w:rFonts w:ascii="Times New Roman" w:hAnsi="Times New Roman" w:eastAsia="Times New Roman" w:cs="Times New Roman"/>
          <w:b/>
          <w:bCs/>
          <w:color w:val="00B050"/>
          <w:sz w:val="24"/>
          <w:szCs w:val="24"/>
          <w:rtl w:val="0"/>
        </w:rPr>
        <w:tab/>
      </w:r>
      <w:r>
        <w:rPr>
          <w:rFonts w:ascii="Times New Roman" w:hAnsi="Times New Roman" w:eastAsia="Times New Roman" w:cs="Times New Roman"/>
          <w:b/>
          <w:bCs/>
          <w:color w:val="00B050"/>
          <w:sz w:val="24"/>
          <w:szCs w:val="24"/>
          <w:rtl w:val="0"/>
        </w:rPr>
        <w:tab/>
      </w:r>
      <w:r>
        <w:rPr>
          <w:rFonts w:ascii="Times New Roman" w:hAnsi="Times New Roman" w:eastAsia="Times New Roman" w:cs="Times New Roman"/>
          <w:b/>
          <w:bCs/>
          <w:color w:val="00B050"/>
          <w:sz w:val="24"/>
          <w:szCs w:val="24"/>
          <w:rtl w:val="0"/>
        </w:rPr>
        <w:tab/>
      </w:r>
      <w:r>
        <w:rPr>
          <w:rFonts w:ascii="Times New Roman" w:hAnsi="Times New Roman" w:eastAsia="Times New Roman" w:cs="Times New Roman"/>
          <w:b/>
          <w:bCs/>
          <w:color w:val="00B050"/>
          <w:sz w:val="24"/>
          <w:szCs w:val="24"/>
          <w:rtl w:val="0"/>
        </w:rPr>
        <w:tab/>
      </w:r>
      <w:r>
        <w:rPr>
          <w:rFonts w:ascii="Times New Roman" w:hAnsi="Times New Roman" w:eastAsia="Times New Roman" w:cs="Times New Roman"/>
          <w:b/>
          <w:bCs/>
          <w:color w:val="00B050"/>
          <w:sz w:val="24"/>
          <w:szCs w:val="24"/>
          <w:rtl w:val="0"/>
        </w:rPr>
        <w:tab/>
      </w:r>
      <w:r>
        <w:rPr>
          <w:rFonts w:ascii="Times New Roman" w:hAnsi="Times New Roman" w:eastAsia="Times New Roman" w:cs="Times New Roman"/>
          <w:b/>
          <w:bCs/>
          <w:color w:val="00B050"/>
          <w:sz w:val="24"/>
          <w:szCs w:val="24"/>
          <w:rtl w:val="0"/>
        </w:rPr>
        <w:tab/>
      </w:r>
      <w:r>
        <w:rPr>
          <w:rFonts w:ascii="Times New Roman" w:hAnsi="Times New Roman" w:eastAsia="Times New Roman" w:cs="Times New Roman"/>
          <w:b/>
          <w:bCs/>
          <w:color w:val="00B050"/>
          <w:sz w:val="24"/>
          <w:szCs w:val="24"/>
          <w:rtl w:val="0"/>
        </w:rPr>
        <w:tab/>
      </w:r>
      <w:r>
        <w:rPr>
          <w:rFonts w:ascii="Times New Roman" w:hAnsi="Times New Roman" w:eastAsia="Times New Roman" w:cs="Times New Roman"/>
          <w:b/>
          <w:bCs/>
          <w:color w:val="00B050"/>
          <w:sz w:val="24"/>
          <w:szCs w:val="24"/>
          <w:rtl w:val="0"/>
        </w:rPr>
        <w:tab/>
      </w:r>
      <w:r>
        <w:rPr>
          <w:rFonts w:ascii="Times New Roman" w:hAnsi="Times New Roman" w:eastAsia="Times New Roman" w:cs="Times New Roman"/>
          <w:b/>
          <w:bCs/>
          <w:color w:val="00B050"/>
          <w:sz w:val="24"/>
          <w:szCs w:val="24"/>
          <w:rtl w:val="0"/>
        </w:rPr>
        <w:tab/>
      </w:r>
      <w:r>
        <w:rPr>
          <w:rFonts w:ascii="Times New Roman" w:hAnsi="Times New Roman" w:eastAsia="Times New Roman" w:cs="Times New Roman"/>
          <w:b/>
          <w:bCs/>
          <w:color w:val="00B050"/>
          <w:sz w:val="24"/>
          <w:szCs w:val="24"/>
          <w:rtl w:val="0"/>
        </w:rPr>
        <w:tab/>
      </w:r>
      <w:r>
        <w:rPr>
          <w:rFonts w:ascii="Times New Roman" w:hAnsi="Times New Roman" w:eastAsia="Times New Roman" w:cs="Times New Roman"/>
          <w:b/>
          <w:bCs/>
          <w:color w:val="00B050"/>
          <w:sz w:val="24"/>
          <w:szCs w:val="24"/>
          <w:rtl w:val="0"/>
        </w:rPr>
        <w:t xml:space="preserve">       </w:t>
      </w:r>
      <w:r>
        <w:rPr>
          <w:rFonts w:ascii="Times New Roman" w:hAnsi="Times New Roman" w:eastAsia="Times New Roman" w:cs="Times New Roman"/>
          <w:b/>
          <w:bCs/>
          <w:sz w:val="24"/>
          <w:szCs w:val="24"/>
          <w:rtl w:val="0"/>
        </w:rPr>
        <w:t>Page</w:t>
      </w:r>
    </w:p>
    <w:p w14:paraId="0000006A">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Cover page</w:t>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i</w:t>
      </w:r>
    </w:p>
    <w:p w14:paraId="0000006B">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Title page</w:t>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ii</w:t>
      </w:r>
    </w:p>
    <w:p w14:paraId="0000006C">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Declaration page</w:t>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iii</w:t>
      </w:r>
    </w:p>
    <w:p w14:paraId="0000006D">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Certification</w:t>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iv</w:t>
      </w:r>
    </w:p>
    <w:p w14:paraId="0000006E">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Abstract</w:t>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v</w:t>
      </w:r>
    </w:p>
    <w:p w14:paraId="0000006F">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Dedication</w:t>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vi</w:t>
      </w:r>
    </w:p>
    <w:p w14:paraId="00000070">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Acknowledgement</w:t>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vii</w:t>
      </w:r>
    </w:p>
    <w:p w14:paraId="00000071">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Table of Contents</w:t>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viii</w:t>
      </w:r>
    </w:p>
    <w:p w14:paraId="00000072">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List of Tables</w:t>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xii</w:t>
      </w:r>
    </w:p>
    <w:p w14:paraId="00000073">
      <w:pPr>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List of Figures</w:t>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ab/>
      </w:r>
      <w:r>
        <w:rPr>
          <w:rFonts w:ascii="Times New Roman" w:hAnsi="Times New Roman" w:eastAsia="Times New Roman" w:cs="Times New Roman"/>
          <w:sz w:val="24"/>
          <w:szCs w:val="24"/>
          <w:rtl w:val="0"/>
        </w:rPr>
        <w:t>xiii</w:t>
      </w:r>
    </w:p>
    <w:p w14:paraId="00000074">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36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CHAPTER ONE</w:t>
      </w:r>
    </w:p>
    <w:p w14:paraId="00000075">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36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1.1 Background to the Study</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1</w:t>
      </w:r>
    </w:p>
    <w:p w14:paraId="00000076">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36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1.2 Statement of the Problem</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p>
    <w:p w14:paraId="00000077">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36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1.3 Objectives of the Study</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p>
    <w:p w14:paraId="00000078">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36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1.4 Research Questions</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p>
    <w:p w14:paraId="00000079">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36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1.5 Significance of the Study</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p>
    <w:p w14:paraId="0000007A">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36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1.6 Scope of the Study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p>
    <w:p w14:paraId="0000007B">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36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1.7 Operational Definitions of Terms</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p>
    <w:p w14:paraId="0000007C">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36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CHAPTER TWO: LITERATURE REVIEW </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ab/>
      </w:r>
    </w:p>
    <w:p w14:paraId="0000007D">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36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2.1 Conceptual Review</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p>
    <w:p w14:paraId="0000007E">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36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2.2 Theoretical Review</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p>
    <w:p w14:paraId="0000007F">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36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2.3 Empirical Review</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p>
    <w:p w14:paraId="00000080">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36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CHAPTER THREE: RESEARCH METHODOLOGY </w:t>
      </w:r>
    </w:p>
    <w:p w14:paraId="00000081">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36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3.1 Research Design</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p>
    <w:p w14:paraId="00000082">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36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3.2 Research Setting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p>
    <w:p w14:paraId="00000083">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36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3.3 Target Population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p>
    <w:p w14:paraId="00000084">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36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3.4 Sample Size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p>
    <w:p w14:paraId="00000085">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36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3.5 Sampling Technique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p>
    <w:p w14:paraId="00000086">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36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3.6 Instrument for Data Collection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p>
    <w:p w14:paraId="00000087">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36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3.7 Validity of Instrument</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p>
    <w:p w14:paraId="00000088">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36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3.8 Reliability of Instrument</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p>
    <w:p w14:paraId="00000089">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36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3.9 Method of Data Collection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p>
    <w:p w14:paraId="0000008A">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36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3.10 Method of Data Analysis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p>
    <w:p w14:paraId="0000008B">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36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3.11 Ethical Consideration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p>
    <w:p w14:paraId="0000008C">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36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CHAPTER FOUR: ANALYSIS AND PRESENTATION OF DATA</w:t>
      </w:r>
    </w:p>
    <w:p w14:paraId="0000008D">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36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4.0 Introduction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w:t>
      </w:r>
    </w:p>
    <w:p w14:paraId="0000008E">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36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bookmarkStart w:id="0" w:name="_32cgq97j2vig" w:colFirst="0" w:colLast="0"/>
      <w:bookmarkEnd w:id="0"/>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4.1 Answering Research Questions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p>
    <w:p w14:paraId="0000008F">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36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CHAPTER FIVE: DISCUSSION OF FINDINGS </w:t>
      </w:r>
    </w:p>
    <w:p w14:paraId="00000090">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36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5.0 Introduction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p>
    <w:p w14:paraId="00000091">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36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5.1 Discussion of Findings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p>
    <w:p w14:paraId="00000092">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36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5.2 Implications of the Findings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p>
    <w:p w14:paraId="00000093">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36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5.3 Limitations of the Study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p>
    <w:p w14:paraId="00000094">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36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5.4 Summary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p>
    <w:p w14:paraId="00000095">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36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5.5 Conclusion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p>
    <w:p w14:paraId="00000096">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36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5.6 Recommendations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p>
    <w:p w14:paraId="00000097">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36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5.7 Suggestions for further studies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
      </w:r>
    </w:p>
    <w:p w14:paraId="00000098">
      <w:pPr>
        <w:keepNext w:val="0"/>
        <w:keepLines w:val="0"/>
        <w:pageBreakBefore w:val="0"/>
        <w:widowControl/>
        <w:pBdr>
          <w:top w:val="none" w:color="000000" w:sz="0" w:space="0"/>
          <w:left w:val="none" w:color="000000" w:sz="0" w:space="0"/>
          <w:bottom w:val="none" w:color="000000" w:sz="0" w:space="0"/>
          <w:right w:val="none" w:color="000000" w:sz="0" w:space="0"/>
          <w:between w:val="none" w:color="000000" w:sz="0" w:space="0"/>
        </w:pBdr>
        <w:shd w:val="clear" w:fill="auto"/>
        <w:spacing w:before="0" w:after="0" w:line="360" w:lineRule="auto"/>
        <w:ind w:left="0" w:right="0" w:firstLine="0"/>
        <w:jc w:val="left"/>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REFERENCES</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ab/>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ab/>
      </w:r>
    </w:p>
    <w:p w14:paraId="00000099">
      <w:pPr>
        <w:spacing w:after="0" w:line="360" w:lineRule="auto"/>
        <w:rPr>
          <w:rFonts w:ascii="Times New Roman" w:hAnsi="Times New Roman" w:eastAsia="Times New Roman" w:cs="Times New Roman"/>
          <w:b/>
          <w:bCs/>
          <w:sz w:val="24"/>
          <w:szCs w:val="24"/>
        </w:rPr>
      </w:pPr>
      <w:r>
        <w:rPr>
          <w:rFonts w:ascii="Times New Roman" w:hAnsi="Times New Roman" w:eastAsia="Times New Roman" w:cs="Times New Roman"/>
          <w:b/>
          <w:bCs/>
          <w:color w:val="000000"/>
          <w:sz w:val="24"/>
          <w:szCs w:val="24"/>
          <w:rtl w:val="0"/>
        </w:rPr>
        <w:t>APPENDIX</w:t>
      </w:r>
    </w:p>
    <w:p w14:paraId="0000009A">
      <w:pPr>
        <w:spacing w:after="0" w:line="360" w:lineRule="auto"/>
        <w:rPr>
          <w:rFonts w:ascii="Times New Roman" w:hAnsi="Times New Roman" w:eastAsia="Times New Roman" w:cs="Times New Roman"/>
          <w:sz w:val="24"/>
          <w:szCs w:val="24"/>
        </w:rPr>
      </w:pPr>
    </w:p>
    <w:p w14:paraId="0000009B">
      <w:pPr>
        <w:spacing w:after="0" w:line="360" w:lineRule="auto"/>
        <w:jc w:val="center"/>
        <w:rPr>
          <w:rFonts w:ascii="Times New Roman" w:hAnsi="Times New Roman" w:eastAsia="Times New Roman" w:cs="Times New Roman"/>
          <w:b/>
          <w:bCs/>
          <w:sz w:val="24"/>
          <w:szCs w:val="24"/>
        </w:rPr>
      </w:pPr>
    </w:p>
    <w:p w14:paraId="0000009C">
      <w:pPr>
        <w:pStyle w:val="4"/>
        <w:keepNext w:val="0"/>
        <w:keepLines w:val="0"/>
        <w:widowControl/>
        <w:spacing w:before="0" w:after="280"/>
        <w:ind w:left="0" w:right="0" w:firstLine="0"/>
        <w:rPr>
          <w:rFonts w:ascii="Times New Roman" w:hAnsi="Times New Roman" w:eastAsia="Times New Roman" w:cs="Times New Roman"/>
          <w:b/>
          <w:bCs/>
          <w:sz w:val="24"/>
          <w:szCs w:val="24"/>
        </w:rPr>
      </w:pPr>
    </w:p>
    <w:p w14:paraId="0000009D">
      <w:pPr>
        <w:pStyle w:val="4"/>
        <w:keepNext w:val="0"/>
        <w:keepLines w:val="0"/>
        <w:widowControl/>
        <w:spacing w:before="0" w:after="280"/>
        <w:ind w:left="0" w:right="0" w:firstLine="0"/>
        <w:rPr>
          <w:rFonts w:ascii="Times New Roman" w:hAnsi="Times New Roman" w:eastAsia="Times New Roman" w:cs="Times New Roman"/>
          <w:b/>
          <w:bCs/>
          <w:sz w:val="24"/>
          <w:szCs w:val="24"/>
        </w:rPr>
      </w:pPr>
    </w:p>
    <w:p w14:paraId="0000009E">
      <w:pPr>
        <w:pStyle w:val="4"/>
        <w:keepNext w:val="0"/>
        <w:keepLines w:val="0"/>
        <w:widowControl/>
        <w:spacing w:before="0" w:after="280"/>
        <w:ind w:left="0" w:right="0" w:firstLine="0"/>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LIST OF TABLES</w:t>
      </w:r>
    </w:p>
    <w:p w14:paraId="0000009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8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Table 4.1:</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Socio-Demographic Characteristics of Respondents </w:t>
      </w:r>
    </w:p>
    <w:p w14:paraId="000000A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8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Table 4.2:</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Level of Vaccine Literacy</w:t>
      </w:r>
    </w:p>
    <w:p w14:paraId="000000A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8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Table 4.3:</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Level of Maternal Vaccine Confidence</w:t>
      </w:r>
    </w:p>
    <w:p w14:paraId="000000A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8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Table 4.4:</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Pearson Correlation Analysis Showing Influence of Vaccine Literacy on Vaccine Confidence </w:t>
      </w:r>
    </w:p>
    <w:p w14:paraId="000000A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8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Table 4.5:</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Impact of Socio-Demographic Factors on Literacy and Confidence </w:t>
      </w:r>
    </w:p>
    <w:p w14:paraId="000000A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8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Table 4.6:</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Pearson Correlation Test Showing Relationship Between Vaccine Literacy and Confidence</w:t>
      </w:r>
    </w:p>
    <w:p w14:paraId="000000A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8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Table 4.7:</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Chi-Square Test Showing Relationship Between Socio-Demographic Factors and Vaccine Confidence</w:t>
      </w:r>
    </w:p>
    <w:p w14:paraId="3F7A2EF8">
      <w:pPr>
        <w:pStyle w:val="4"/>
        <w:keepNext w:val="0"/>
        <w:keepLines w:val="0"/>
        <w:widowControl/>
        <w:spacing w:before="280" w:after="280" w:line="360" w:lineRule="auto"/>
        <w:rPr>
          <w:rFonts w:ascii="Times New Roman" w:hAnsi="Times New Roman" w:eastAsia="Times New Roman" w:cs="Times New Roman"/>
          <w:b/>
          <w:bCs/>
          <w:rtl w:val="0"/>
        </w:rPr>
      </w:pPr>
    </w:p>
    <w:p w14:paraId="000000A6">
      <w:pPr>
        <w:pStyle w:val="4"/>
        <w:keepNext w:val="0"/>
        <w:keepLines w:val="0"/>
        <w:widowControl/>
        <w:spacing w:before="280" w:after="280" w:line="360" w:lineRule="auto"/>
        <w:rPr>
          <w:rFonts w:ascii="Times New Roman" w:hAnsi="Times New Roman" w:eastAsia="Times New Roman" w:cs="Times New Roman"/>
          <w:b/>
          <w:bCs/>
        </w:rPr>
      </w:pPr>
      <w:r>
        <w:rPr>
          <w:rFonts w:ascii="Times New Roman" w:hAnsi="Times New Roman" w:eastAsia="Times New Roman" w:cs="Times New Roman"/>
          <w:b/>
          <w:bCs/>
          <w:rtl w:val="0"/>
        </w:rPr>
        <w:t>LIST OF FIGURES</w:t>
      </w:r>
    </w:p>
    <w:p w14:paraId="000000A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360" w:lineRule="auto"/>
        <w:ind w:left="72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Fig 4.1:</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Diagram showing the Model</w:t>
      </w:r>
    </w:p>
    <w:p w14:paraId="000000A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360" w:lineRule="auto"/>
        <w:ind w:left="72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Fig 4.1:</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Bar chart showing level of vaccine literacy of the respondents.</w:t>
      </w:r>
    </w:p>
    <w:p w14:paraId="000000A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80" w:after="280" w:line="360" w:lineRule="auto"/>
        <w:ind w:left="72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Fig 4.2:</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Bar chart showing level of vaccine confidence of the respondents.</w:t>
      </w:r>
    </w:p>
    <w:p w14:paraId="000000AA">
      <w:pPr>
        <w:spacing w:after="0" w:line="360" w:lineRule="auto"/>
        <w:jc w:val="center"/>
        <w:rPr>
          <w:rFonts w:ascii="Times New Roman" w:hAnsi="Times New Roman" w:eastAsia="Times New Roman" w:cs="Times New Roman"/>
          <w:b/>
          <w:bCs/>
          <w:sz w:val="24"/>
          <w:szCs w:val="24"/>
        </w:rPr>
      </w:pPr>
    </w:p>
    <w:p w14:paraId="000000AB">
      <w:pPr>
        <w:spacing w:after="0" w:line="360" w:lineRule="auto"/>
        <w:jc w:val="center"/>
        <w:rPr>
          <w:rFonts w:ascii="Times New Roman" w:hAnsi="Times New Roman" w:eastAsia="Times New Roman" w:cs="Times New Roman"/>
          <w:b/>
          <w:bCs/>
          <w:sz w:val="24"/>
          <w:szCs w:val="24"/>
        </w:rPr>
      </w:pPr>
    </w:p>
    <w:p w14:paraId="000000AC">
      <w:pPr>
        <w:spacing w:after="0" w:line="360" w:lineRule="auto"/>
        <w:jc w:val="center"/>
        <w:rPr>
          <w:rFonts w:ascii="Times New Roman" w:hAnsi="Times New Roman" w:eastAsia="Times New Roman" w:cs="Times New Roman"/>
          <w:b/>
          <w:bCs/>
          <w:sz w:val="24"/>
          <w:szCs w:val="24"/>
        </w:rPr>
      </w:pPr>
    </w:p>
    <w:p w14:paraId="000000AD">
      <w:pPr>
        <w:spacing w:after="0" w:line="360" w:lineRule="auto"/>
        <w:jc w:val="center"/>
        <w:rPr>
          <w:rFonts w:ascii="Times New Roman" w:hAnsi="Times New Roman" w:eastAsia="Times New Roman" w:cs="Times New Roman"/>
          <w:b/>
          <w:bCs/>
          <w:sz w:val="24"/>
          <w:szCs w:val="24"/>
        </w:rPr>
      </w:pPr>
    </w:p>
    <w:p w14:paraId="000000AE">
      <w:pPr>
        <w:spacing w:after="0" w:line="360" w:lineRule="auto"/>
        <w:jc w:val="center"/>
        <w:rPr>
          <w:rFonts w:ascii="Times New Roman" w:hAnsi="Times New Roman" w:eastAsia="Times New Roman" w:cs="Times New Roman"/>
          <w:b/>
          <w:bCs/>
          <w:sz w:val="24"/>
          <w:szCs w:val="24"/>
        </w:rPr>
      </w:pPr>
    </w:p>
    <w:p w14:paraId="000000AF">
      <w:pPr>
        <w:spacing w:after="0" w:line="360" w:lineRule="auto"/>
        <w:jc w:val="center"/>
        <w:rPr>
          <w:rFonts w:ascii="Times New Roman" w:hAnsi="Times New Roman" w:eastAsia="Times New Roman" w:cs="Times New Roman"/>
          <w:b/>
          <w:bCs/>
          <w:sz w:val="24"/>
          <w:szCs w:val="24"/>
        </w:rPr>
      </w:pPr>
    </w:p>
    <w:p w14:paraId="000000B0">
      <w:pPr>
        <w:spacing w:line="360" w:lineRule="auto"/>
        <w:ind w:left="3600" w:firstLine="720"/>
        <w:rPr>
          <w:rFonts w:ascii="Times New Roman" w:hAnsi="Times New Roman" w:eastAsia="Times New Roman" w:cs="Times New Roman"/>
          <w:sz w:val="24"/>
          <w:szCs w:val="24"/>
        </w:rPr>
      </w:pPr>
    </w:p>
    <w:p w14:paraId="000000B1">
      <w:pPr>
        <w:pStyle w:val="2"/>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CHAPTER ONE</w:t>
      </w:r>
    </w:p>
    <w:p w14:paraId="000000B2">
      <w:pPr>
        <w:pStyle w:val="2"/>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INTRODUCTION</w:t>
      </w:r>
    </w:p>
    <w:p w14:paraId="000000B3">
      <w:pPr>
        <w:pStyle w:val="3"/>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1.1 Background to the Study</w:t>
      </w:r>
    </w:p>
    <w:p w14:paraId="000000B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Immunization is an effective public health intervention, preventing an estimated 3.5 to 5 million deaths annually from vaccine-preventable diseases (VPDs) such as measles, pertussis, and polio (World Health Organization [WHO], 2024). Sustaining these health outcomes depends on maintaining high routine immunization coverage within primary healthcare systems. While public health initiatives historically focused on supply-side logistics like cold chain management, current challenges center on demand-side factors, specifically why caregivers accept, delay, or refuse vaccines for their children (Larson et al., 2022).</w:t>
      </w:r>
    </w:p>
    <w:p w14:paraId="000000B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In sub-Saharan Africa, childhood morbidity from preventable diseases remains high. The region accounts for one of the highest numbers of zero-dose children globally (United Nations Children's Fund [UNICEF], 2023). Nigeria contributes substantially to this burden. The 2018 Nigeria Demographic and Health Survey (NDHS) indicated that only 31% of children aged 12–23 months received all basic vaccinations, with subsequent national surveys showing slow and uneven improvements across different states (National Population Commission [NPC] &amp; ICF, 2019).</w:t>
      </w:r>
    </w:p>
    <w:p w14:paraId="000000B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In Kwara State, routine immunization coverage shows notable disparities between urban and semi-urban communities. Data from the Kwara State Primary Health Care Development Agency indicates that while initial vaccine uptake, such as the BCG vaccine given at birth, is relatively high, there is a steady drop-out rate for vaccines scheduled later in infancy, including the yellow fever and second measles doses (Kwara State Ministry of Health, 2023). At the Kulende Basic Health Centre in Ilorin East Local Government Area, public health nurses regularly observe missed appointments and delayed schedules during routine infant welfare clinics.</w:t>
      </w:r>
    </w:p>
    <w:p w14:paraId="000000B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Maternal health behaviors regarding immunization are shaped by how well mothers navigate, understand, and use health communication—a concept known as vaccine literacy. Evolving from general health literacy, vaccine literacy is defined as the capacity of an individual to find, understand, and apply information regarding immunization (Biasio et al., 2021). Rather than just measuring a mother's general education level, it looks specifically at her ability to understand immunization cards, comprehend nursing instructions about vaccine side effects, and make informed choices when exposed to conflicting information.</w:t>
      </w:r>
    </w:p>
    <w:p w14:paraId="000000B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Vaccine literacy directly supports vaccine confidence, which is the trust a caregiver has in the safety and efficacy of vaccines, the healthcare providers who administer them, and the system delivering them (Larson et al., 2022). When a mother has a limited understanding of vaccine information, she may find it difficult to distinguish evidence-based advice from rumors. Conversely, an adequate level of vaccine literacy helps a mother understand that mild post-vaccination symptoms, like a low-grade fever, are normal immune responses rather than signs of harm. This understanding may help mothers continue completing their child’s immunization schedule.</w:t>
      </w:r>
    </w:p>
    <w:p w14:paraId="000000B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In primary care environments like the Kulende Basic Health Centre, maternal choices are influenced by socio-cultural factors, religious beliefs, and community rumors. The widespread use of mobile phones has also exposed mothers to unverified claims on social media platforms, where rumors regarding vaccine safety circulate easily (Balogun et al., 2023). Furthermore, when primary health centers are overcrowded, busy clinical nurses may have less time for detailed patient counseling. This communication gap can leave mothers with unresolved questions, making them more vulnerable to anti-vaccine misinformation within their neighborhoods.</w:t>
      </w:r>
    </w:p>
    <w:p w14:paraId="000000B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As the primary caregivers of infants, mothers serve as the central decision-makers for their children’s health schedules. Understanding how these mothers process vaccine information and how this relates to their trust in immunization is essential for improving nursing care. This study examines the level of vaccine literacy among mothers attending the Kulende Basic Health Centre and analyzes how it relates to their vaccine confidence, providing clear data to help improve clinical health education and nursing-led immunization support.</w:t>
      </w:r>
    </w:p>
    <w:p w14:paraId="000000BB">
      <w:pPr>
        <w:pStyle w:val="4"/>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1.2 Statement of the Problem</w:t>
      </w:r>
    </w:p>
    <w:p w14:paraId="000000B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Despite the nationwide availability of free routine childhood vaccines at public primary healthcare facilities across Nigeria, infant under-immunization and delayed vaccine dosing remain persistent public health concerns. Recent national immunization estimates and surveillance data indicate that a substantial proportion of children fail to complete their recommended routine schedules, with notable drop-out trends occurring during later infancy for vital antigens such as the yellow fever and second-dose measles vaccines (World Health Organization [WHO], 2024). This sub-optimal completion rate directly contributes to recurring localized outbreaks of vaccine-preventable diseases across North-Central Nigeria. These outbreaks increase childhood morbidity, place severe operational pressure on primary healthcare systems, and stall progress toward achieving national routine immunization targets.</w:t>
      </w:r>
    </w:p>
    <w:p w14:paraId="000000B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This national public health challenge is clearly reflected at the local level within the Ilorin East Local Government Area of Kwara State. At the Kulende Basic Health Centre, public health nurses regularly observe fluctuations in clinic attendance and visible drop-out trends between early infant clinic visits and late infancy appointments. While institutional efforts consistently prioritize vaccine cold-chain logistics and supply stability, demand-side behavioral barriers continue to undermine routine uptake.</w:t>
      </w:r>
    </w:p>
    <w:p w14:paraId="000000B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Many caregivers within the Kulende community continue to delay or skip scheduled appointments due to structural anxieties, localized religious misconceptions, and an inadequate understanding of immunization timelines (Suleiman et al., 2022). This vulnerability is further worsened by the widespread use of mobile smartphones, which exposes mothers to unverified health rumors on social media platforms, making it difficult for them to differentiate evidence-based clinical advice from viral misinformation (Balogun et al., 2023).</w:t>
      </w:r>
    </w:p>
    <w:p w14:paraId="000000B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Previous Nigerian research on childhood immunization has heavily focused on classic socio-demographic and structural determinants such as household income, maternal age, geographical distance, and physical facility access. While these factors are important, they fail to explain why a considerable number of mothers discontinue their children’s immunization schedules even when the health facility is accessible and the vaccines are provided free of charge. Limited research attention has been directed toward the role of maternal vaccine literacy—specifically, a mother’s cognitive and social ability to find, understand, evaluate, and correctly apply vaccine-related information (Biasio et al., 2021).</w:t>
      </w:r>
    </w:p>
    <w:p w14:paraId="000000C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Mothers with limited vaccine literacy frequently struggle to interpret complex immunization schedules or differentiate common, mild post-vaccination side effects, such as transient fever or localized injection-site swelling, from severe medical emergencies. When common reactions occur, a lack of accurate understanding often causes fear and anxiety, making the mother hesitant to return for subsequent doses. This issue is intensified when mothers are exposed to anti-vaccine narratives within community spaces or digital networks (Oduwole et al., 2021). This erosion of maternal vaccine confidence leads to missed clinic appointments and incomplete immunization profiles among local infants.</w:t>
      </w:r>
    </w:p>
    <w:p w14:paraId="000000C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Within the clinical setting of the Kulende Basic Health Centre, this problem places an avoidable operational burden on the nursing staff. When mothers default from the immunization schedule, clinical and community health nurses must dedicate limited clinic hours to intensive tracing activities, managing overcrowded catch-up clinics, and providing extended one-on-one counseling to correct deep-seated misconceptions. Because there is little empirical data regarding the specific literacy gaps of mothers attending this specific facility, nursing communication strategies remain generalized and less effective at improving long-term compliance.</w:t>
      </w:r>
    </w:p>
    <w:p w14:paraId="000000C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Although the broader dynamics of healthcare utilization have been documented across Nigeria, there is a lack of localized research within Kwara State explicitly evaluating how a mother’s capacity to process health information relates to her trust in the vaccine delivery system. This lack of localized data creates a distinct gap in nursing knowledge and prevents facility managers from designing low-literacy, culturally appropriate educational materials. Therefore, this study directly addresses this gap by assessing vaccine literacy and its relationship with vaccine confidence among mothers attending the Kulende Basic Health Centre, providing the necessary empirical foundation to optimize nursing-led health education and improve childhood routine immunization completion rates.</w:t>
      </w:r>
    </w:p>
    <w:p w14:paraId="000000C3">
      <w:pPr>
        <w:pStyle w:val="4"/>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1.3 Objectives of the Study</w:t>
      </w:r>
    </w:p>
    <w:p w14:paraId="000000C4">
      <w:pPr>
        <w:pStyle w:val="5"/>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General Objective</w:t>
      </w:r>
    </w:p>
    <w:p w14:paraId="000000C5">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general objective of this study is the assessment of vaccine literacy and its influence on vaccine confidence amongst mothers attending Kulende Basic Health Centre, Ilorin.</w:t>
      </w:r>
    </w:p>
    <w:p w14:paraId="000000C6">
      <w:pPr>
        <w:spacing w:line="360" w:lineRule="auto"/>
        <w:rPr>
          <w:rFonts w:ascii="Times New Roman" w:hAnsi="Times New Roman" w:eastAsia="Times New Roman" w:cs="Times New Roman"/>
          <w:b/>
          <w:bCs/>
          <w:sz w:val="24"/>
          <w:szCs w:val="24"/>
        </w:rPr>
      </w:pPr>
      <w:r>
        <w:br w:type="page"/>
      </w:r>
    </w:p>
    <w:p w14:paraId="000000C7">
      <w:pPr>
        <w:pStyle w:val="5"/>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Specific objectives are to:</w:t>
      </w:r>
    </w:p>
    <w:p w14:paraId="000000C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425" w:right="0" w:hanging="425"/>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determine the level of vaccine literacy among mothers attending Kulende Basic Health Centre.</w:t>
      </w:r>
    </w:p>
    <w:p w14:paraId="000000C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425" w:right="0" w:hanging="425"/>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ascertain the level of vaccine confidence among the mothers in Kulende Basic Health Centre.</w:t>
      </w:r>
    </w:p>
    <w:p w14:paraId="000000C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425" w:right="0" w:hanging="425"/>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evaluate the influence of vaccine literacy on vaccine confidence among the study population.</w:t>
      </w:r>
    </w:p>
    <w:p w14:paraId="000000C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425" w:right="0" w:hanging="425"/>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identify the socio-demographic factors that influence maternal vaccine literacy and vaccine confidence.</w:t>
      </w:r>
    </w:p>
    <w:p w14:paraId="000000CC">
      <w:pPr>
        <w:pStyle w:val="4"/>
        <w:pBdr>
          <w:top w:val="none" w:color="1F1F1F" w:sz="0" w:space="0"/>
          <w:left w:val="none" w:color="1F1F1F" w:sz="0" w:space="0"/>
          <w:bottom w:val="none" w:color="1F1F1F" w:sz="0" w:space="0"/>
          <w:right w:val="none" w:color="1F1F1F" w:sz="0" w:space="0"/>
        </w:pBdr>
        <w:spacing w:line="360" w:lineRule="auto"/>
        <w:jc w:val="both"/>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tl w:val="0"/>
        </w:rPr>
        <w:t>1.4 Research Questions</w:t>
      </w:r>
    </w:p>
    <w:p w14:paraId="000000CD">
      <w:pPr>
        <w:keepNext w:val="0"/>
        <w:keepLines w:val="0"/>
        <w:pageBreakBefore w:val="0"/>
        <w:widowControl/>
        <w:pBdr>
          <w:top w:val="none" w:color="1F1F1F" w:sz="0" w:space="0"/>
          <w:left w:val="none" w:color="1F1F1F" w:sz="0" w:space="0"/>
          <w:bottom w:val="none" w:color="1F1F1F" w:sz="0" w:space="0"/>
          <w:right w:val="none" w:color="1F1F1F"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1F1F1F"/>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1F1F1F"/>
          <w:sz w:val="24"/>
          <w:szCs w:val="24"/>
          <w:u w:val="none"/>
          <w:shd w:val="clear" w:fill="auto"/>
          <w:vertAlign w:val="baseline"/>
          <w:rtl w:val="0"/>
        </w:rPr>
        <w:t>1. What is the current level of functional, interactive, and critical vaccine literacy among mothers attending Kulende Basic Health Centre?</w:t>
      </w:r>
    </w:p>
    <w:p w14:paraId="000000CE">
      <w:pPr>
        <w:keepNext w:val="0"/>
        <w:keepLines w:val="0"/>
        <w:pageBreakBefore w:val="0"/>
        <w:widowControl/>
        <w:pBdr>
          <w:top w:val="none" w:color="1F1F1F" w:sz="0" w:space="0"/>
          <w:left w:val="none" w:color="1F1F1F" w:sz="0" w:space="0"/>
          <w:bottom w:val="none" w:color="1F1F1F" w:sz="0" w:space="0"/>
          <w:right w:val="none" w:color="1F1F1F"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1F1F1F"/>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1F1F1F"/>
          <w:sz w:val="24"/>
          <w:szCs w:val="24"/>
          <w:u w:val="none"/>
          <w:shd w:val="clear" w:fill="auto"/>
          <w:vertAlign w:val="baseline"/>
          <w:rtl w:val="0"/>
        </w:rPr>
        <w:t>2. What is the level of vaccine confidence expressed by these mothers concerning routine childhood immunizations?</w:t>
      </w:r>
    </w:p>
    <w:p w14:paraId="000000CF">
      <w:pPr>
        <w:keepNext w:val="0"/>
        <w:keepLines w:val="0"/>
        <w:pageBreakBefore w:val="0"/>
        <w:widowControl/>
        <w:pBdr>
          <w:top w:val="none" w:color="1F1F1F" w:sz="0" w:space="0"/>
          <w:left w:val="none" w:color="1F1F1F" w:sz="0" w:space="0"/>
          <w:bottom w:val="none" w:color="1F1F1F" w:sz="0" w:space="0"/>
          <w:right w:val="none" w:color="1F1F1F"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1F1F1F"/>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1F1F1F"/>
          <w:sz w:val="24"/>
          <w:szCs w:val="24"/>
          <w:u w:val="none"/>
          <w:shd w:val="clear" w:fill="auto"/>
          <w:vertAlign w:val="baseline"/>
          <w:rtl w:val="0"/>
        </w:rPr>
        <w:t>3. To what extent does maternal vaccine literacy statistically influence vaccine confidence within the study population?</w:t>
      </w:r>
    </w:p>
    <w:p w14:paraId="000000D0">
      <w:pPr>
        <w:keepNext w:val="0"/>
        <w:keepLines w:val="0"/>
        <w:pageBreakBefore w:val="0"/>
        <w:widowControl/>
        <w:pBdr>
          <w:top w:val="none" w:color="1F1F1F" w:sz="0" w:space="0"/>
          <w:left w:val="none" w:color="1F1F1F" w:sz="0" w:space="0"/>
          <w:bottom w:val="none" w:color="1F1F1F" w:sz="0" w:space="0"/>
          <w:right w:val="none" w:color="1F1F1F"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1F1F1F"/>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1F1F1F"/>
          <w:sz w:val="24"/>
          <w:szCs w:val="24"/>
          <w:u w:val="none"/>
          <w:shd w:val="clear" w:fill="auto"/>
          <w:vertAlign w:val="baseline"/>
          <w:rtl w:val="0"/>
        </w:rPr>
        <w:t>4. How do varying maternal socio-demographic factors impact their respective levels of vaccine literacy and vaccine confidence?</w:t>
      </w:r>
    </w:p>
    <w:p w14:paraId="000000D1">
      <w:pPr>
        <w:pStyle w:val="4"/>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Research Hypotheses</w:t>
      </w:r>
    </w:p>
    <w:p w14:paraId="000000D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H</w:t>
      </w:r>
      <w:r>
        <w:rPr>
          <w:rFonts w:ascii="Times New Roman" w:hAnsi="Times New Roman" w:eastAsia="Times New Roman" w:cs="Times New Roman"/>
          <w:b/>
          <w:bCs/>
          <w:i w:val="0"/>
          <w:iCs w:val="0"/>
          <w:smallCaps w:val="0"/>
          <w:strike w:val="0"/>
          <w:color w:val="000000"/>
          <w:sz w:val="24"/>
          <w:szCs w:val="24"/>
          <w:u w:val="none"/>
          <w:shd w:val="clear" w:fill="auto"/>
          <w:vertAlign w:val="subscript"/>
          <w:rtl w:val="0"/>
        </w:rPr>
        <w:t>0</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1:</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There is no significant statistical influence of maternal vaccine literacy on the level of vaccine confidence among mothers attending the Kulende Basic Health Centre.</w:t>
      </w:r>
    </w:p>
    <w:p w14:paraId="000000D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H</w:t>
      </w:r>
      <w:r>
        <w:rPr>
          <w:rFonts w:ascii="Times New Roman" w:hAnsi="Times New Roman" w:eastAsia="Times New Roman" w:cs="Times New Roman"/>
          <w:b/>
          <w:bCs/>
          <w:i w:val="0"/>
          <w:iCs w:val="0"/>
          <w:smallCaps w:val="0"/>
          <w:strike w:val="0"/>
          <w:color w:val="000000"/>
          <w:sz w:val="24"/>
          <w:szCs w:val="24"/>
          <w:u w:val="none"/>
          <w:shd w:val="clear" w:fill="auto"/>
          <w:vertAlign w:val="subscript"/>
          <w:rtl w:val="0"/>
        </w:rPr>
        <w:t>0</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2: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There is no significant relationship between maternal socio-demographic factors and their level of vaccine literacy.</w:t>
      </w:r>
    </w:p>
    <w:p w14:paraId="000000D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200"/>
        </w:tabs>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H</w:t>
      </w:r>
      <w:r>
        <w:rPr>
          <w:rFonts w:ascii="Times New Roman" w:hAnsi="Times New Roman" w:eastAsia="Times New Roman" w:cs="Times New Roman"/>
          <w:b/>
          <w:bCs/>
          <w:i w:val="0"/>
          <w:iCs w:val="0"/>
          <w:smallCaps w:val="0"/>
          <w:strike w:val="0"/>
          <w:color w:val="000000"/>
          <w:sz w:val="24"/>
          <w:szCs w:val="24"/>
          <w:u w:val="none"/>
          <w:shd w:val="clear" w:fill="auto"/>
          <w:vertAlign w:val="subscript"/>
          <w:rtl w:val="0"/>
        </w:rPr>
        <w:t>0</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3: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There is no significant relationship between maternal socio-demographic factors  and their level of vaccine confidence.</w:t>
      </w:r>
    </w:p>
    <w:p w14:paraId="000000D5">
      <w:pPr>
        <w:pStyle w:val="4"/>
        <w:pBdr>
          <w:top w:val="none" w:color="1F1F1F" w:sz="0" w:space="0"/>
          <w:left w:val="none" w:color="1F1F1F" w:sz="0" w:space="0"/>
          <w:bottom w:val="none" w:color="1F1F1F" w:sz="0" w:space="0"/>
          <w:right w:val="none" w:color="1F1F1F" w:sz="0" w:space="0"/>
        </w:pBdr>
        <w:spacing w:line="360" w:lineRule="auto"/>
        <w:jc w:val="both"/>
        <w:rPr>
          <w:rFonts w:ascii="Times New Roman" w:hAnsi="Times New Roman" w:eastAsia="Times New Roman" w:cs="Times New Roman"/>
          <w:color w:val="1F1F1F"/>
          <w:sz w:val="24"/>
          <w:szCs w:val="24"/>
        </w:rPr>
      </w:pPr>
      <w:r>
        <w:rPr>
          <w:rFonts w:ascii="Times New Roman" w:hAnsi="Times New Roman" w:eastAsia="Times New Roman" w:cs="Times New Roman"/>
          <w:color w:val="1F1F1F"/>
          <w:sz w:val="24"/>
          <w:szCs w:val="24"/>
          <w:rtl w:val="0"/>
        </w:rPr>
        <w:t>1.5 Significance of the Study</w:t>
      </w:r>
    </w:p>
    <w:p w14:paraId="000000D6">
      <w:pPr>
        <w:keepNext w:val="0"/>
        <w:keepLines w:val="0"/>
        <w:pageBreakBefore w:val="0"/>
        <w:widowControl/>
        <w:pBdr>
          <w:top w:val="none" w:color="1F1F1F" w:sz="0" w:space="0"/>
          <w:left w:val="none" w:color="1F1F1F" w:sz="0" w:space="0"/>
          <w:bottom w:val="none" w:color="1F1F1F" w:sz="0" w:space="0"/>
          <w:right w:val="none" w:color="1F1F1F"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1F1F1F"/>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1F1F1F"/>
          <w:sz w:val="24"/>
          <w:szCs w:val="24"/>
          <w:u w:val="none"/>
          <w:shd w:val="clear" w:fill="auto"/>
          <w:vertAlign w:val="baseline"/>
          <w:rtl w:val="0"/>
        </w:rPr>
        <w:t>The findings of this research will provide substantial contributions across multiple domains:</w:t>
      </w:r>
    </w:p>
    <w:p w14:paraId="000000D7">
      <w:pPr>
        <w:keepNext w:val="0"/>
        <w:keepLines w:val="0"/>
        <w:pageBreakBefore w:val="0"/>
        <w:widowControl/>
        <w:numPr>
          <w:ilvl w:val="0"/>
          <w:numId w:val="2"/>
        </w:numPr>
        <w:pBdr>
          <w:top w:val="none" w:color="1F1F1F" w:sz="0" w:space="0"/>
          <w:left w:val="none" w:color="1F1F1F" w:sz="0" w:space="0"/>
          <w:bottom w:val="none" w:color="1F1F1F" w:sz="0" w:space="0"/>
          <w:right w:val="none" w:color="1F1F1F"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1F1F1F"/>
          <w:sz w:val="24"/>
          <w:szCs w:val="24"/>
          <w:u w:val="none"/>
          <w:shd w:val="clear" w:fill="auto"/>
          <w:vertAlign w:val="baseline"/>
        </w:rPr>
      </w:pPr>
      <w:r>
        <w:rPr>
          <w:rFonts w:ascii="Times New Roman" w:hAnsi="Times New Roman" w:eastAsia="Times New Roman" w:cs="Times New Roman"/>
          <w:b/>
          <w:bCs/>
          <w:i w:val="0"/>
          <w:iCs w:val="0"/>
          <w:smallCaps w:val="0"/>
          <w:strike w:val="0"/>
          <w:color w:val="1F1F1F"/>
          <w:sz w:val="24"/>
          <w:szCs w:val="24"/>
          <w:u w:val="none"/>
          <w:shd w:val="clear" w:fill="auto"/>
          <w:vertAlign w:val="baseline"/>
          <w:rtl w:val="0"/>
        </w:rPr>
        <w:t>To the Nursing Profession and Practice:</w:t>
      </w:r>
      <w:r>
        <w:rPr>
          <w:rFonts w:ascii="Times New Roman" w:hAnsi="Times New Roman" w:eastAsia="Times New Roman" w:cs="Times New Roman"/>
          <w:b w:val="0"/>
          <w:bCs w:val="0"/>
          <w:i w:val="0"/>
          <w:iCs w:val="0"/>
          <w:smallCaps w:val="0"/>
          <w:strike w:val="0"/>
          <w:color w:val="1F1F1F"/>
          <w:sz w:val="24"/>
          <w:szCs w:val="24"/>
          <w:u w:val="none"/>
          <w:shd w:val="clear" w:fill="auto"/>
          <w:vertAlign w:val="baseline"/>
          <w:rtl w:val="0"/>
        </w:rPr>
        <w:t xml:space="preserve"> This study will provide critical, evidence-based data aligning with the core competencies of the Nursing and Midwifery Council of Nigeria (NMCN). It will empower public health nurses and midwives to transition from generic health sensitization to highly targeted, literacy-appropriate communication strategies. By understanding specific cognitive barriers, nurses can foster better therapeutic relationships and effectively rebuild maternal trust during clinic interactions.</w:t>
      </w:r>
    </w:p>
    <w:p w14:paraId="000000D8">
      <w:pPr>
        <w:keepNext w:val="0"/>
        <w:keepLines w:val="0"/>
        <w:pageBreakBefore w:val="0"/>
        <w:widowControl/>
        <w:numPr>
          <w:ilvl w:val="0"/>
          <w:numId w:val="2"/>
        </w:numPr>
        <w:pBdr>
          <w:top w:val="none" w:color="1F1F1F" w:sz="0" w:space="0"/>
          <w:left w:val="none" w:color="1F1F1F" w:sz="0" w:space="0"/>
          <w:bottom w:val="none" w:color="1F1F1F" w:sz="0" w:space="0"/>
          <w:right w:val="none" w:color="1F1F1F"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1F1F1F"/>
          <w:sz w:val="24"/>
          <w:szCs w:val="24"/>
          <w:u w:val="none"/>
          <w:shd w:val="clear" w:fill="auto"/>
          <w:vertAlign w:val="baseline"/>
        </w:rPr>
      </w:pPr>
      <w:r>
        <w:rPr>
          <w:rFonts w:ascii="Times New Roman" w:hAnsi="Times New Roman" w:eastAsia="Times New Roman" w:cs="Times New Roman"/>
          <w:b/>
          <w:bCs/>
          <w:i w:val="0"/>
          <w:iCs w:val="0"/>
          <w:smallCaps w:val="0"/>
          <w:strike w:val="0"/>
          <w:color w:val="1F1F1F"/>
          <w:sz w:val="24"/>
          <w:szCs w:val="24"/>
          <w:u w:val="none"/>
          <w:shd w:val="clear" w:fill="auto"/>
          <w:vertAlign w:val="baseline"/>
          <w:rtl w:val="0"/>
        </w:rPr>
        <w:t>To the Respondents (Mothers):</w:t>
      </w:r>
      <w:r>
        <w:rPr>
          <w:rFonts w:ascii="Times New Roman" w:hAnsi="Times New Roman" w:eastAsia="Times New Roman" w:cs="Times New Roman"/>
          <w:b w:val="0"/>
          <w:bCs w:val="0"/>
          <w:i w:val="0"/>
          <w:iCs w:val="0"/>
          <w:smallCaps w:val="0"/>
          <w:strike w:val="0"/>
          <w:color w:val="1F1F1F"/>
          <w:sz w:val="24"/>
          <w:szCs w:val="24"/>
          <w:u w:val="none"/>
          <w:shd w:val="clear" w:fill="auto"/>
          <w:vertAlign w:val="baseline"/>
          <w:rtl w:val="0"/>
        </w:rPr>
        <w:t xml:space="preserve"> The study serves as a foundational step toward identifying critical information gaps. Addressing these gaps will empower mothers with the critical thinking skills required to navigate health misinformation, enabling them to make confident, autonomous, and scientifically sound health decisions that protect their infants.</w:t>
      </w:r>
    </w:p>
    <w:p w14:paraId="000000D9">
      <w:pPr>
        <w:keepNext w:val="0"/>
        <w:keepLines w:val="0"/>
        <w:pageBreakBefore w:val="0"/>
        <w:widowControl/>
        <w:numPr>
          <w:ilvl w:val="0"/>
          <w:numId w:val="2"/>
        </w:numPr>
        <w:pBdr>
          <w:top w:val="none" w:color="1F1F1F" w:sz="0" w:space="0"/>
          <w:left w:val="none" w:color="1F1F1F" w:sz="0" w:space="0"/>
          <w:bottom w:val="none" w:color="1F1F1F" w:sz="0" w:space="0"/>
          <w:right w:val="none" w:color="1F1F1F"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1F1F1F"/>
          <w:sz w:val="24"/>
          <w:szCs w:val="24"/>
          <w:u w:val="none"/>
          <w:shd w:val="clear" w:fill="auto"/>
          <w:vertAlign w:val="baseline"/>
        </w:rPr>
      </w:pPr>
      <w:r>
        <w:rPr>
          <w:rFonts w:ascii="Times New Roman" w:hAnsi="Times New Roman" w:eastAsia="Times New Roman" w:cs="Times New Roman"/>
          <w:b/>
          <w:bCs/>
          <w:i w:val="0"/>
          <w:iCs w:val="0"/>
          <w:smallCaps w:val="0"/>
          <w:strike w:val="0"/>
          <w:color w:val="1F1F1F"/>
          <w:sz w:val="24"/>
          <w:szCs w:val="24"/>
          <w:u w:val="none"/>
          <w:shd w:val="clear" w:fill="auto"/>
          <w:vertAlign w:val="baseline"/>
          <w:rtl w:val="0"/>
        </w:rPr>
        <w:t>To the Institution (Kulende Basic Health Centre):</w:t>
      </w:r>
      <w:r>
        <w:rPr>
          <w:rFonts w:ascii="Times New Roman" w:hAnsi="Times New Roman" w:eastAsia="Times New Roman" w:cs="Times New Roman"/>
          <w:b w:val="0"/>
          <w:bCs w:val="0"/>
          <w:i w:val="0"/>
          <w:iCs w:val="0"/>
          <w:smallCaps w:val="0"/>
          <w:strike w:val="0"/>
          <w:color w:val="1F1F1F"/>
          <w:sz w:val="24"/>
          <w:szCs w:val="24"/>
          <w:u w:val="none"/>
          <w:shd w:val="clear" w:fill="auto"/>
          <w:vertAlign w:val="baseline"/>
          <w:rtl w:val="0"/>
        </w:rPr>
        <w:t xml:space="preserve"> Facility administrators can utilize the empirical data to audit and restructure their Maternal and Child Health (MCH) communication protocols, ensuring that health education materials and counseling techniques are specifically calibrated to the literacy levels of their immediate catchment population.</w:t>
      </w:r>
    </w:p>
    <w:p w14:paraId="000000DA">
      <w:pPr>
        <w:keepNext w:val="0"/>
        <w:keepLines w:val="0"/>
        <w:pageBreakBefore w:val="0"/>
        <w:widowControl/>
        <w:numPr>
          <w:ilvl w:val="0"/>
          <w:numId w:val="2"/>
        </w:numPr>
        <w:pBdr>
          <w:top w:val="none" w:color="1F1F1F" w:sz="0" w:space="0"/>
          <w:left w:val="none" w:color="1F1F1F" w:sz="0" w:space="0"/>
          <w:bottom w:val="none" w:color="1F1F1F" w:sz="0" w:space="0"/>
          <w:right w:val="none" w:color="1F1F1F"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1F1F1F"/>
          <w:sz w:val="24"/>
          <w:szCs w:val="24"/>
          <w:u w:val="none"/>
          <w:shd w:val="clear" w:fill="auto"/>
          <w:vertAlign w:val="baseline"/>
        </w:rPr>
      </w:pPr>
      <w:r>
        <w:rPr>
          <w:rFonts w:ascii="Times New Roman" w:hAnsi="Times New Roman" w:eastAsia="Times New Roman" w:cs="Times New Roman"/>
          <w:b/>
          <w:bCs/>
          <w:i w:val="0"/>
          <w:iCs w:val="0"/>
          <w:smallCaps w:val="0"/>
          <w:strike w:val="0"/>
          <w:color w:val="1F1F1F"/>
          <w:sz w:val="24"/>
          <w:szCs w:val="24"/>
          <w:u w:val="none"/>
          <w:shd w:val="clear" w:fill="auto"/>
          <w:vertAlign w:val="baseline"/>
          <w:rtl w:val="0"/>
        </w:rPr>
        <w:t>To Health Providers and Policymakers:</w:t>
      </w:r>
      <w:r>
        <w:rPr>
          <w:rFonts w:ascii="Times New Roman" w:hAnsi="Times New Roman" w:eastAsia="Times New Roman" w:cs="Times New Roman"/>
          <w:b w:val="0"/>
          <w:bCs w:val="0"/>
          <w:i w:val="0"/>
          <w:iCs w:val="0"/>
          <w:smallCaps w:val="0"/>
          <w:strike w:val="0"/>
          <w:color w:val="1F1F1F"/>
          <w:sz w:val="24"/>
          <w:szCs w:val="24"/>
          <w:u w:val="none"/>
          <w:shd w:val="clear" w:fill="auto"/>
          <w:vertAlign w:val="baseline"/>
          <w:rtl w:val="0"/>
        </w:rPr>
        <w:t xml:space="preserve"> The Kwara State Ministry of Health and primary healthcare boards can leverage these localized insights to design state-wide immunization campaigns that prioritize the enhancement of health literacy as a primary mechanism for boosting vaccine confidence.</w:t>
      </w:r>
    </w:p>
    <w:p w14:paraId="000000DB">
      <w:pPr>
        <w:keepNext w:val="0"/>
        <w:keepLines w:val="0"/>
        <w:pageBreakBefore w:val="0"/>
        <w:widowControl/>
        <w:numPr>
          <w:ilvl w:val="0"/>
          <w:numId w:val="2"/>
        </w:numPr>
        <w:pBdr>
          <w:top w:val="none" w:color="1F1F1F" w:sz="0" w:space="0"/>
          <w:left w:val="none" w:color="1F1F1F" w:sz="0" w:space="0"/>
          <w:bottom w:val="none" w:color="1F1F1F" w:sz="0" w:space="0"/>
          <w:right w:val="none" w:color="1F1F1F"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1F1F1F"/>
          <w:sz w:val="24"/>
          <w:szCs w:val="24"/>
          <w:u w:val="none"/>
          <w:shd w:val="clear" w:fill="auto"/>
          <w:vertAlign w:val="baseline"/>
        </w:rPr>
      </w:pPr>
      <w:r>
        <w:rPr>
          <w:rFonts w:ascii="Times New Roman" w:hAnsi="Times New Roman" w:eastAsia="Times New Roman" w:cs="Times New Roman"/>
          <w:b/>
          <w:bCs/>
          <w:i w:val="0"/>
          <w:iCs w:val="0"/>
          <w:smallCaps w:val="0"/>
          <w:strike w:val="0"/>
          <w:color w:val="1F1F1F"/>
          <w:sz w:val="24"/>
          <w:szCs w:val="24"/>
          <w:u w:val="none"/>
          <w:shd w:val="clear" w:fill="auto"/>
          <w:vertAlign w:val="baseline"/>
          <w:rtl w:val="0"/>
        </w:rPr>
        <w:t>To Research:</w:t>
      </w:r>
      <w:r>
        <w:rPr>
          <w:rFonts w:ascii="Times New Roman" w:hAnsi="Times New Roman" w:eastAsia="Times New Roman" w:cs="Times New Roman"/>
          <w:b w:val="0"/>
          <w:bCs w:val="0"/>
          <w:i w:val="0"/>
          <w:iCs w:val="0"/>
          <w:smallCaps w:val="0"/>
          <w:strike w:val="0"/>
          <w:color w:val="1F1F1F"/>
          <w:sz w:val="24"/>
          <w:szCs w:val="24"/>
          <w:u w:val="none"/>
          <w:shd w:val="clear" w:fill="auto"/>
          <w:vertAlign w:val="baseline"/>
          <w:rtl w:val="0"/>
        </w:rPr>
        <w:t xml:space="preserve"> This study contributes highly current, rigorous empirical data to the globally expanding repository of literature concerning the behavioral drivers of vaccine hesitancy, offering a vital sub-Saharan, community-level perspective.</w:t>
      </w:r>
    </w:p>
    <w:p w14:paraId="000000DC">
      <w:pPr>
        <w:keepNext w:val="0"/>
        <w:keepLines w:val="0"/>
        <w:pageBreakBefore w:val="0"/>
        <w:widowControl/>
        <w:numPr>
          <w:ilvl w:val="0"/>
          <w:numId w:val="2"/>
        </w:numPr>
        <w:pBdr>
          <w:top w:val="none" w:color="1F1F1F" w:sz="0" w:space="0"/>
          <w:left w:val="none" w:color="1F1F1F" w:sz="0" w:space="0"/>
          <w:bottom w:val="none" w:color="1F1F1F" w:sz="0" w:space="0"/>
          <w:right w:val="none" w:color="1F1F1F"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1F1F1F"/>
          <w:sz w:val="24"/>
          <w:szCs w:val="24"/>
          <w:u w:val="none"/>
          <w:shd w:val="clear" w:fill="auto"/>
          <w:vertAlign w:val="baseline"/>
        </w:rPr>
      </w:pPr>
      <w:r>
        <w:rPr>
          <w:rFonts w:ascii="Times New Roman" w:hAnsi="Times New Roman" w:eastAsia="Times New Roman" w:cs="Times New Roman"/>
          <w:b/>
          <w:bCs/>
          <w:i w:val="0"/>
          <w:iCs w:val="0"/>
          <w:smallCaps w:val="0"/>
          <w:strike w:val="0"/>
          <w:color w:val="1F1F1F"/>
          <w:sz w:val="24"/>
          <w:szCs w:val="24"/>
          <w:u w:val="none"/>
          <w:shd w:val="clear" w:fill="auto"/>
          <w:vertAlign w:val="baseline"/>
          <w:rtl w:val="0"/>
        </w:rPr>
        <w:t>To Society:</w:t>
      </w:r>
      <w:r>
        <w:rPr>
          <w:rFonts w:ascii="Times New Roman" w:hAnsi="Times New Roman" w:eastAsia="Times New Roman" w:cs="Times New Roman"/>
          <w:b w:val="0"/>
          <w:bCs w:val="0"/>
          <w:i w:val="0"/>
          <w:iCs w:val="0"/>
          <w:smallCaps w:val="0"/>
          <w:strike w:val="0"/>
          <w:color w:val="1F1F1F"/>
          <w:sz w:val="24"/>
          <w:szCs w:val="24"/>
          <w:u w:val="none"/>
          <w:shd w:val="clear" w:fill="auto"/>
          <w:vertAlign w:val="baseline"/>
          <w:rtl w:val="0"/>
        </w:rPr>
        <w:t xml:space="preserve"> By elucidating the pathways to improve vaccine confidence and subsequent uptake, this research directly contributes to the broader societal goal of achieving herd immunity, drastically reducing under-five mortality, and fostering a healthier, disease-resistant future generation.</w:t>
      </w:r>
    </w:p>
    <w:p w14:paraId="000000DD">
      <w:pPr>
        <w:pStyle w:val="4"/>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1.6 Scope of the Study</w:t>
      </w:r>
    </w:p>
    <w:p w14:paraId="000000DE">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This research will be limited  to mothers attending the immunization clinic at Kulende Basic Health Centre, located in Ilorin, Kwara State. It will focus entirely on assessing the mothers' level of vaccine literacy and evaluating its influence on their vaccine confidence.</w:t>
      </w:r>
    </w:p>
    <w:p w14:paraId="000000DF">
      <w:pPr>
        <w:pStyle w:val="4"/>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1.7 Operational Definitions of Terms</w:t>
      </w:r>
    </w:p>
    <w:p w14:paraId="000000E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1. Vaccine literacy:</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This refers to the cognitive and social ability of mothers to find, understand, and apply information regarding childhood immunization schedules among mothers attending Kulende Basic Health Centre, Ilorin, Kwara State.</w:t>
      </w:r>
    </w:p>
    <w:p w14:paraId="000000E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2. Vaccine confidence:</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This refers to the level of trust placed in the safety, effectiveness, and delivery system of routine childhood vaccines among mothers attending Kulende Basic Health Centre, Ilorin, Kwara State.</w:t>
      </w:r>
    </w:p>
    <w:p w14:paraId="000000E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3. Mothers:</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These refer to biological female caregivers of reproductive age (15–49 years) who present their infants for routine immunization services at the selected health center, among mothers attending Kulende Basic Health Centre, Ilorin, Kwara State.</w:t>
      </w:r>
    </w:p>
    <w:p w14:paraId="000000E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4. Vaccine hesitancy:</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This refers to the behavioral delay in acceptance or outright refusal of available routine vaccines despite the availability of immunization services among mothers attending Kulende Basic Health Centre, Ilorin, Kwara State.</w:t>
      </w:r>
    </w:p>
    <w:p w14:paraId="000000E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5. Routine immunization:</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This refers to the standard schedule of essential national childhood vaccines (such as BCG, Pentavalent, Oral Polio, and Measles vaccines) administered to infants among mothers attending Kulende Basic Health Centre, Ilorin, Kwara State.</w:t>
      </w:r>
    </w:p>
    <w:p w14:paraId="000000E5">
      <w:pPr>
        <w:spacing w:line="360" w:lineRule="auto"/>
        <w:rPr>
          <w:rFonts w:ascii="Times New Roman" w:hAnsi="Times New Roman" w:eastAsia="Times New Roman" w:cs="Times New Roman"/>
          <w:b/>
          <w:bCs/>
          <w:sz w:val="24"/>
          <w:szCs w:val="24"/>
        </w:rPr>
      </w:pPr>
      <w:r>
        <w:br w:type="page"/>
      </w:r>
    </w:p>
    <w:p w14:paraId="000000E6">
      <w:pPr>
        <w:pStyle w:val="2"/>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CHAPTER TWO</w:t>
      </w:r>
    </w:p>
    <w:p w14:paraId="000000E7">
      <w:pPr>
        <w:pStyle w:val="2"/>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LITERATURE REVIEW</w:t>
      </w:r>
    </w:p>
    <w:p w14:paraId="000000E8">
      <w:pPr>
        <w:spacing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2.1 Conceptual Review</w:t>
      </w:r>
    </w:p>
    <w:p w14:paraId="000000E9">
      <w:pPr>
        <w:keepNext w:val="0"/>
        <w:keepLines w:val="0"/>
        <w:pageBreakBefore w:val="0"/>
        <w:widowControl/>
        <w:pBdr>
          <w:top w:val="none" w:color="1F1F1F" w:sz="0" w:space="0"/>
          <w:left w:val="none" w:color="1F1F1F" w:sz="0" w:space="0"/>
          <w:bottom w:val="none" w:color="1F1F1F" w:sz="0" w:space="0"/>
          <w:right w:val="none" w:color="1F1F1F"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1F1F1F"/>
          <w:sz w:val="24"/>
          <w:szCs w:val="24"/>
          <w:u w:val="none"/>
          <w:shd w:val="clear" w:fill="auto"/>
          <w:vertAlign w:val="baseline"/>
        </w:rPr>
      </w:pPr>
      <w:r>
        <w:rPr>
          <w:rFonts w:ascii="Times New Roman" w:hAnsi="Times New Roman" w:eastAsia="Times New Roman" w:cs="Times New Roman"/>
          <w:b/>
          <w:bCs/>
          <w:i w:val="0"/>
          <w:iCs w:val="0"/>
          <w:smallCaps w:val="0"/>
          <w:strike w:val="0"/>
          <w:color w:val="1F1F1F"/>
          <w:sz w:val="24"/>
          <w:szCs w:val="24"/>
          <w:u w:val="none"/>
          <w:shd w:val="clear" w:fill="auto"/>
          <w:vertAlign w:val="baseline"/>
          <w:rtl w:val="0"/>
        </w:rPr>
        <w:t>2.1.1 Concept of Vaccination</w:t>
      </w:r>
    </w:p>
    <w:p w14:paraId="000000EA">
      <w:pPr>
        <w:keepNext w:val="0"/>
        <w:keepLines w:val="0"/>
        <w:pageBreakBefore w:val="0"/>
        <w:widowControl/>
        <w:pBdr>
          <w:top w:val="none" w:color="1F1F1F" w:sz="0" w:space="0"/>
          <w:left w:val="none" w:color="1F1F1F" w:sz="0" w:space="0"/>
          <w:bottom w:val="none" w:color="1F1F1F" w:sz="0" w:space="0"/>
          <w:right w:val="none" w:color="1F1F1F"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1F1F1F"/>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1F1F1F"/>
          <w:sz w:val="24"/>
          <w:szCs w:val="24"/>
          <w:u w:val="none"/>
          <w:shd w:val="clear" w:fill="auto"/>
          <w:vertAlign w:val="baseline"/>
          <w:rtl w:val="0"/>
        </w:rPr>
        <w:t>The World Health Organization (WHO) defines a vaccine as a biological preparation that safely and effectively improves immunity to a particular infectious disease by inducing a memory response in the adaptive immune system (WHO, 2023). A vaccine typically contains an agent that structurally resembles a disease-causing microorganism and is often formulated from weakened or killed forms of the microbe, its toxins, or one of its surface proteins. Conversely, vaccination is defined by the Centers for Disease Control and Prevention (CDC) as the physical act of introducing a vaccine into the body to produce protection from a specific disease (CDC, 2021). While these terms are frequently utilized interchangeably in colloquial discourse, in nursing and medical research, "vaccination" denotes the clinical procedure and behavioral health-seeking event, whereas the "vaccine" is the pharmacological product administered. Furthermore, "immunization" represents the broader physiological outcome the process by which an individual becomes fortified against a disease, which typically follows vaccination but can also occur via natural infection (WHO, 2023).</w:t>
      </w:r>
    </w:p>
    <w:p w14:paraId="000000EB">
      <w:pPr>
        <w:keepNext w:val="0"/>
        <w:keepLines w:val="0"/>
        <w:pageBreakBefore w:val="0"/>
        <w:widowControl/>
        <w:pBdr>
          <w:top w:val="none" w:color="1F1F1F" w:sz="0" w:space="0"/>
          <w:left w:val="none" w:color="1F1F1F" w:sz="0" w:space="0"/>
          <w:bottom w:val="none" w:color="1F1F1F" w:sz="0" w:space="0"/>
          <w:right w:val="none" w:color="1F1F1F"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1F1F1F"/>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1F1F1F"/>
          <w:sz w:val="24"/>
          <w:szCs w:val="24"/>
          <w:u w:val="none"/>
          <w:shd w:val="clear" w:fill="auto"/>
          <w:vertAlign w:val="baseline"/>
          <w:rtl w:val="0"/>
        </w:rPr>
        <w:t xml:space="preserve">The history of vaccination is widely regarded as one of the most profound success stories in global public health. Foundational literature traces the empirical genesis of vaccination to 1796, when English physician Edward Jenner successfully inoculated a young boy with cowpox virus to confer cross-immunity against the highly lethal smallpox virusempirical success laid the groundwork for the field of immunology, though the underlying biological mechanisms remained poorly understood until the late 19th century. The subsequent pioneering work of Louis Pasteur led to the development of laboratory-attenuated vaccines, notably for rabies and anthrax, fundamentally shifting the paradigm from observational inoculation to active microbiological manipulation </w:t>
      </w:r>
    </w:p>
    <w:p w14:paraId="000000EC">
      <w:pPr>
        <w:keepNext w:val="0"/>
        <w:keepLines w:val="0"/>
        <w:pageBreakBefore w:val="0"/>
        <w:widowControl/>
        <w:pBdr>
          <w:top w:val="none" w:color="1F1F1F" w:sz="0" w:space="0"/>
          <w:left w:val="none" w:color="1F1F1F" w:sz="0" w:space="0"/>
          <w:bottom w:val="none" w:color="1F1F1F" w:sz="0" w:space="0"/>
          <w:right w:val="none" w:color="1F1F1F"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1F1F1F"/>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1F1F1F"/>
          <w:sz w:val="24"/>
          <w:szCs w:val="24"/>
          <w:u w:val="none"/>
          <w:shd w:val="clear" w:fill="auto"/>
          <w:vertAlign w:val="baseline"/>
          <w:rtl w:val="0"/>
        </w:rPr>
        <w:t>The 20th century witnessed an unprecedented acceleration in vaccinology, characterized by the development of vaccines against diphtheria, tetanus, pertussis, poliomyelitis, and measles. The systematic deployment of these biological agents culminated in the certified global eradication of smallpox in 1980, a watershed moment that validated the power of coordinated global vaccination programs. In the contemporary era (2021–2026), the evolution of vaccination has been defined by rapid technological advancements, most notably the unprecedented development and authorization of messenger RNA (mRNA) vaccines and viral vector platforms in response to the COVID-19 pandemic (Krammer, 2020). These modern platforms have dramatically reduced the timeline for vaccine development, illustrating a sophisticated evolution from utilizing whole pathogens to deploying transient genetic blueprints that instruct the host's cellular machinery to synthesize antigenic proteins.</w:t>
      </w:r>
    </w:p>
    <w:p w14:paraId="000000ED">
      <w:pPr>
        <w:keepNext w:val="0"/>
        <w:keepLines w:val="0"/>
        <w:pageBreakBefore w:val="0"/>
        <w:widowControl/>
        <w:pBdr>
          <w:top w:val="none" w:color="1F1F1F" w:sz="0" w:space="0"/>
          <w:left w:val="none" w:color="1F1F1F" w:sz="0" w:space="0"/>
          <w:bottom w:val="none" w:color="1F1F1F" w:sz="0" w:space="0"/>
          <w:right w:val="none" w:color="1F1F1F"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1F1F1F"/>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1F1F1F"/>
          <w:sz w:val="24"/>
          <w:szCs w:val="24"/>
          <w:u w:val="none"/>
          <w:shd w:val="clear" w:fill="auto"/>
          <w:vertAlign w:val="baseline"/>
          <w:rtl w:val="0"/>
        </w:rPr>
        <w:t>To comprehend the clinical importance of vaccination, one must understand its underlying immunological mechanisms. The fundamental premise of vaccine action relies on the principles of immunological memory and specificity. When a vaccine is introduced into the human body, it is recognized as a foreign entity by antigen-presenting cells (APCs), predominantly dendritic cells and macrophages. These APCs engulf the vaccine antigens and present their peptide fragments on Major Histocompatibility Complex (MHC) molecules to naïve T-lymphocytes in the regional lymph nodes (Pollard &amp; Bijker, 2021). The presentation activates CD4+ helper T-cells, which subsequently orchestrate the activation of B-lymphocytes. The stimulated B-cells undergo clonal expansion and differentiate into plasma cells that secrete highly specific neutralizing antibodies. Crucially, a subset of these B-cells and T-cells differentiate into long-lived memory cells. Upon subsequent exposure to the wild-type pathogen, these memory cells mount an accelerated, robust, and highly targeted immune response, neutralizing the pathogen before significant clinical pathology can manifest (Pollard &amp; Bijker, 2021).</w:t>
      </w:r>
    </w:p>
    <w:p w14:paraId="000000EE">
      <w:pPr>
        <w:keepNext w:val="0"/>
        <w:keepLines w:val="0"/>
        <w:pageBreakBefore w:val="0"/>
        <w:widowControl/>
        <w:pBdr>
          <w:top w:val="none" w:color="1F1F1F" w:sz="0" w:space="0"/>
          <w:left w:val="none" w:color="1F1F1F" w:sz="0" w:space="0"/>
          <w:bottom w:val="none" w:color="1F1F1F" w:sz="0" w:space="0"/>
          <w:right w:val="none" w:color="1F1F1F"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1F1F1F"/>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1F1F1F"/>
          <w:sz w:val="24"/>
          <w:szCs w:val="24"/>
          <w:u w:val="none"/>
          <w:shd w:val="clear" w:fill="auto"/>
          <w:vertAlign w:val="baseline"/>
          <w:rtl w:val="0"/>
        </w:rPr>
        <w:t>Modern vaccines are categorized based on their manufacturing platforms, each possessing distinct immunological profiles and cold-chain requirements. The primary types include:</w:t>
      </w:r>
    </w:p>
    <w:p w14:paraId="000000EF">
      <w:pPr>
        <w:keepNext w:val="0"/>
        <w:keepLines w:val="0"/>
        <w:pageBreakBefore w:val="0"/>
        <w:widowControl/>
        <w:numPr>
          <w:ilvl w:val="0"/>
          <w:numId w:val="3"/>
        </w:numPr>
        <w:pBdr>
          <w:top w:val="none" w:color="1F1F1F" w:sz="0" w:space="0"/>
          <w:left w:val="none" w:color="1F1F1F" w:sz="0" w:space="0"/>
          <w:bottom w:val="none" w:color="1F1F1F" w:sz="0" w:space="0"/>
          <w:right w:val="none" w:color="1F1F1F"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1F1F1F"/>
          <w:sz w:val="24"/>
          <w:szCs w:val="24"/>
          <w:u w:val="none"/>
          <w:shd w:val="clear" w:fill="auto"/>
          <w:vertAlign w:val="baseline"/>
        </w:rPr>
      </w:pPr>
      <w:r>
        <w:rPr>
          <w:rFonts w:ascii="Times New Roman" w:hAnsi="Times New Roman" w:eastAsia="Times New Roman" w:cs="Times New Roman"/>
          <w:b/>
          <w:bCs/>
          <w:i w:val="0"/>
          <w:iCs w:val="0"/>
          <w:smallCaps w:val="0"/>
          <w:strike w:val="0"/>
          <w:color w:val="1F1F1F"/>
          <w:sz w:val="24"/>
          <w:szCs w:val="24"/>
          <w:u w:val="none"/>
          <w:shd w:val="clear" w:fill="auto"/>
          <w:vertAlign w:val="baseline"/>
          <w:rtl w:val="0"/>
        </w:rPr>
        <w:t>Live-attenuated vaccines:</w:t>
      </w:r>
      <w:r>
        <w:rPr>
          <w:rFonts w:ascii="Times New Roman" w:hAnsi="Times New Roman" w:eastAsia="Times New Roman" w:cs="Times New Roman"/>
          <w:b w:val="0"/>
          <w:bCs w:val="0"/>
          <w:i w:val="0"/>
          <w:iCs w:val="0"/>
          <w:smallCaps w:val="0"/>
          <w:strike w:val="0"/>
          <w:color w:val="1F1F1F"/>
          <w:sz w:val="24"/>
          <w:szCs w:val="24"/>
          <w:u w:val="none"/>
          <w:shd w:val="clear" w:fill="auto"/>
          <w:vertAlign w:val="baseline"/>
          <w:rtl w:val="0"/>
        </w:rPr>
        <w:t xml:space="preserve"> Contain weakened forms of the wild virus (e.g., Measles, Mumps, Rubella, Oral Polio Vaccine). They elicit robust, lifelong immunity but are contraindicated in immunocompromised individuals.</w:t>
      </w:r>
    </w:p>
    <w:p w14:paraId="000000F0">
      <w:pPr>
        <w:keepNext w:val="0"/>
        <w:keepLines w:val="0"/>
        <w:pageBreakBefore w:val="0"/>
        <w:widowControl/>
        <w:numPr>
          <w:ilvl w:val="0"/>
          <w:numId w:val="3"/>
        </w:numPr>
        <w:pBdr>
          <w:top w:val="none" w:color="1F1F1F" w:sz="0" w:space="0"/>
          <w:left w:val="none" w:color="1F1F1F" w:sz="0" w:space="0"/>
          <w:bottom w:val="none" w:color="1F1F1F" w:sz="0" w:space="0"/>
          <w:right w:val="none" w:color="1F1F1F"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bCs/>
          <w:i/>
          <w:iCs/>
          <w:smallCaps w:val="0"/>
          <w:strike w:val="0"/>
          <w:color w:val="1F1F1F"/>
          <w:sz w:val="24"/>
          <w:szCs w:val="24"/>
          <w:u w:val="none"/>
          <w:shd w:val="clear" w:fill="auto"/>
          <w:vertAlign w:val="baseline"/>
        </w:rPr>
      </w:pPr>
      <w:r>
        <w:rPr>
          <w:rFonts w:ascii="Times New Roman" w:hAnsi="Times New Roman" w:eastAsia="Times New Roman" w:cs="Times New Roman"/>
          <w:b/>
          <w:bCs/>
          <w:i w:val="0"/>
          <w:iCs w:val="0"/>
          <w:smallCaps w:val="0"/>
          <w:strike w:val="0"/>
          <w:color w:val="1F1F1F"/>
          <w:sz w:val="24"/>
          <w:szCs w:val="24"/>
          <w:u w:val="none"/>
          <w:shd w:val="clear" w:fill="auto"/>
          <w:vertAlign w:val="baseline"/>
          <w:rtl w:val="0"/>
        </w:rPr>
        <w:t>Inactivated vaccines:</w:t>
      </w:r>
      <w:r>
        <w:rPr>
          <w:rFonts w:ascii="Times New Roman" w:hAnsi="Times New Roman" w:eastAsia="Times New Roman" w:cs="Times New Roman"/>
          <w:b w:val="0"/>
          <w:bCs w:val="0"/>
          <w:i w:val="0"/>
          <w:iCs w:val="0"/>
          <w:smallCaps w:val="0"/>
          <w:strike w:val="0"/>
          <w:color w:val="1F1F1F"/>
          <w:sz w:val="24"/>
          <w:szCs w:val="24"/>
          <w:u w:val="none"/>
          <w:shd w:val="clear" w:fill="auto"/>
          <w:vertAlign w:val="baseline"/>
          <w:rtl w:val="0"/>
        </w:rPr>
        <w:t xml:space="preserve"> Contain pathogens that have been chemically or thermally killed (e.g., Inactivated Polio Vaccine, Whole-cell Pertussis). They are highly stable but frequently require booster doses.</w:t>
      </w:r>
    </w:p>
    <w:p w14:paraId="000000F1">
      <w:pPr>
        <w:keepNext w:val="0"/>
        <w:keepLines w:val="0"/>
        <w:pageBreakBefore w:val="0"/>
        <w:widowControl/>
        <w:numPr>
          <w:ilvl w:val="0"/>
          <w:numId w:val="3"/>
        </w:numPr>
        <w:pBdr>
          <w:top w:val="none" w:color="1F1F1F" w:sz="0" w:space="0"/>
          <w:left w:val="none" w:color="1F1F1F" w:sz="0" w:space="0"/>
          <w:bottom w:val="none" w:color="1F1F1F" w:sz="0" w:space="0"/>
          <w:right w:val="none" w:color="1F1F1F"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1F1F1F"/>
          <w:sz w:val="24"/>
          <w:szCs w:val="24"/>
          <w:u w:val="none"/>
          <w:shd w:val="clear" w:fill="auto"/>
          <w:vertAlign w:val="baseline"/>
        </w:rPr>
      </w:pPr>
      <w:r>
        <w:rPr>
          <w:rFonts w:ascii="Times New Roman" w:hAnsi="Times New Roman" w:eastAsia="Times New Roman" w:cs="Times New Roman"/>
          <w:b/>
          <w:bCs/>
          <w:i w:val="0"/>
          <w:iCs w:val="0"/>
          <w:smallCaps w:val="0"/>
          <w:strike w:val="0"/>
          <w:color w:val="1F1F1F"/>
          <w:sz w:val="24"/>
          <w:szCs w:val="24"/>
          <w:u w:val="none"/>
          <w:shd w:val="clear" w:fill="auto"/>
          <w:vertAlign w:val="baseline"/>
          <w:rtl w:val="0"/>
        </w:rPr>
        <w:t>Subunit, recombinant, polysaccharide, and conjugate vaccines:</w:t>
      </w:r>
      <w:r>
        <w:rPr>
          <w:rFonts w:ascii="Times New Roman" w:hAnsi="Times New Roman" w:eastAsia="Times New Roman" w:cs="Times New Roman"/>
          <w:b w:val="0"/>
          <w:bCs w:val="0"/>
          <w:i w:val="0"/>
          <w:iCs w:val="0"/>
          <w:smallCaps w:val="0"/>
          <w:strike w:val="0"/>
          <w:color w:val="1F1F1F"/>
          <w:sz w:val="24"/>
          <w:szCs w:val="24"/>
          <w:u w:val="none"/>
          <w:shd w:val="clear" w:fill="auto"/>
          <w:vertAlign w:val="baseline"/>
          <w:rtl w:val="0"/>
        </w:rPr>
        <w:t xml:space="preserve"> Utilize specific pieces of the pathogen, such as its protein or capsid, to elicit a targeted immune response (e.g., Hepatitis B, Haemophilus influenzae type b, Pneumococcal conjugate vaccine).</w:t>
      </w:r>
    </w:p>
    <w:p w14:paraId="000000F2">
      <w:pPr>
        <w:keepNext w:val="0"/>
        <w:keepLines w:val="0"/>
        <w:pageBreakBefore w:val="0"/>
        <w:widowControl/>
        <w:numPr>
          <w:ilvl w:val="0"/>
          <w:numId w:val="3"/>
        </w:numPr>
        <w:pBdr>
          <w:top w:val="none" w:color="1F1F1F" w:sz="0" w:space="0"/>
          <w:left w:val="none" w:color="1F1F1F" w:sz="0" w:space="0"/>
          <w:bottom w:val="none" w:color="1F1F1F" w:sz="0" w:space="0"/>
          <w:right w:val="none" w:color="1F1F1F"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1F1F1F"/>
          <w:sz w:val="24"/>
          <w:szCs w:val="24"/>
          <w:u w:val="none"/>
          <w:shd w:val="clear" w:fill="auto"/>
          <w:vertAlign w:val="baseline"/>
        </w:rPr>
      </w:pPr>
      <w:r>
        <w:rPr>
          <w:rFonts w:ascii="Times New Roman" w:hAnsi="Times New Roman" w:eastAsia="Times New Roman" w:cs="Times New Roman"/>
          <w:b/>
          <w:bCs/>
          <w:i w:val="0"/>
          <w:iCs w:val="0"/>
          <w:smallCaps w:val="0"/>
          <w:strike w:val="0"/>
          <w:color w:val="1F1F1F"/>
          <w:sz w:val="24"/>
          <w:szCs w:val="24"/>
          <w:u w:val="none"/>
          <w:shd w:val="clear" w:fill="auto"/>
          <w:vertAlign w:val="baseline"/>
          <w:rtl w:val="0"/>
        </w:rPr>
        <w:t>Toxoid vaccines:</w:t>
      </w:r>
      <w:r>
        <w:rPr>
          <w:rFonts w:ascii="Times New Roman" w:hAnsi="Times New Roman" w:eastAsia="Times New Roman" w:cs="Times New Roman"/>
          <w:b w:val="0"/>
          <w:bCs w:val="0"/>
          <w:i w:val="0"/>
          <w:iCs w:val="0"/>
          <w:smallCaps w:val="0"/>
          <w:strike w:val="0"/>
          <w:color w:val="1F1F1F"/>
          <w:sz w:val="24"/>
          <w:szCs w:val="24"/>
          <w:u w:val="none"/>
          <w:shd w:val="clear" w:fill="auto"/>
          <w:vertAlign w:val="baseline"/>
          <w:rtl w:val="0"/>
        </w:rPr>
        <w:t xml:space="preserve"> Utilize inactivated toxins produced by the pathogen to create immunity directed at the disease-causing toxin rather than the bacterium itself (e.g., Tetanus, Diphtheria).</w:t>
      </w:r>
    </w:p>
    <w:p w14:paraId="000000F3">
      <w:pPr>
        <w:keepNext w:val="0"/>
        <w:keepLines w:val="0"/>
        <w:pageBreakBefore w:val="0"/>
        <w:widowControl/>
        <w:numPr>
          <w:ilvl w:val="0"/>
          <w:numId w:val="3"/>
        </w:numPr>
        <w:pBdr>
          <w:top w:val="none" w:color="1F1F1F" w:sz="0" w:space="0"/>
          <w:left w:val="none" w:color="1F1F1F" w:sz="0" w:space="0"/>
          <w:bottom w:val="none" w:color="1F1F1F" w:sz="0" w:space="0"/>
          <w:right w:val="none" w:color="1F1F1F"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1F1F1F"/>
          <w:sz w:val="24"/>
          <w:szCs w:val="24"/>
          <w:u w:val="none"/>
          <w:shd w:val="clear" w:fill="auto"/>
          <w:vertAlign w:val="baseline"/>
        </w:rPr>
      </w:pPr>
      <w:r>
        <w:rPr>
          <w:rFonts w:ascii="Times New Roman" w:hAnsi="Times New Roman" w:eastAsia="Times New Roman" w:cs="Times New Roman"/>
          <w:b/>
          <w:bCs/>
          <w:i w:val="0"/>
          <w:iCs w:val="0"/>
          <w:smallCaps w:val="0"/>
          <w:strike w:val="0"/>
          <w:color w:val="1F1F1F"/>
          <w:sz w:val="24"/>
          <w:szCs w:val="24"/>
          <w:u w:val="none"/>
          <w:shd w:val="clear" w:fill="auto"/>
          <w:vertAlign w:val="baseline"/>
          <w:rtl w:val="0"/>
        </w:rPr>
        <w:t>Next-generation platforms:</w:t>
      </w:r>
      <w:r>
        <w:rPr>
          <w:rFonts w:ascii="Times New Roman" w:hAnsi="Times New Roman" w:eastAsia="Times New Roman" w:cs="Times New Roman"/>
          <w:b w:val="0"/>
          <w:bCs w:val="0"/>
          <w:i w:val="0"/>
          <w:iCs w:val="0"/>
          <w:smallCaps w:val="0"/>
          <w:strike w:val="0"/>
          <w:color w:val="1F1F1F"/>
          <w:sz w:val="24"/>
          <w:szCs w:val="24"/>
          <w:u w:val="none"/>
          <w:shd w:val="clear" w:fill="auto"/>
          <w:vertAlign w:val="baseline"/>
          <w:rtl w:val="0"/>
        </w:rPr>
        <w:t xml:space="preserve"> Include viral vectors (e.g., Ebola vaccines) and mRNA vaccines, which deliver genetic instructions directly to host cells (CDC, 2021).</w:t>
      </w:r>
    </w:p>
    <w:p w14:paraId="000000F4">
      <w:pPr>
        <w:keepNext w:val="0"/>
        <w:keepLines w:val="0"/>
        <w:pageBreakBefore w:val="0"/>
        <w:widowControl/>
        <w:pBdr>
          <w:top w:val="none" w:color="1F1F1F" w:sz="0" w:space="0"/>
          <w:left w:val="none" w:color="1F1F1F" w:sz="0" w:space="0"/>
          <w:bottom w:val="none" w:color="1F1F1F" w:sz="0" w:space="0"/>
          <w:right w:val="none" w:color="1F1F1F"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1F1F1F"/>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1F1F1F"/>
          <w:sz w:val="24"/>
          <w:szCs w:val="24"/>
          <w:u w:val="none"/>
          <w:shd w:val="clear" w:fill="auto"/>
          <w:vertAlign w:val="baseline"/>
          <w:rtl w:val="0"/>
        </w:rPr>
        <w:t>The clinical and epidemiological importance of vaccination cannot be overstated. According to the WHO (2024), immunization currently prevents between 3.5 and 5 million deaths annually across all age groups from diseases such as diphtheria, tetanus, pertussis, influenza, and measles. Beyond individual clinical protection, vaccination operates on a population level by establishing "herd immunity" (or community immunity). When a critical threshold of a population is vaccinated, the transmission chain of the infectious agent is disrupted, thereby conferring indirect protection upon vulnerable cohorts who cannot be vaccinated, such as neonates, the elderly, and immunocompromised individuals (Fontanet &amp; Cauchemez, 2020).</w:t>
      </w:r>
    </w:p>
    <w:p w14:paraId="000000F5">
      <w:pPr>
        <w:keepNext w:val="0"/>
        <w:keepLines w:val="0"/>
        <w:pageBreakBefore w:val="0"/>
        <w:widowControl/>
        <w:pBdr>
          <w:top w:val="none" w:color="1F1F1F" w:sz="0" w:space="0"/>
          <w:left w:val="none" w:color="1F1F1F" w:sz="0" w:space="0"/>
          <w:bottom w:val="none" w:color="1F1F1F" w:sz="0" w:space="0"/>
          <w:right w:val="none" w:color="1F1F1F"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1F1F1F"/>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1F1F1F"/>
          <w:sz w:val="24"/>
          <w:szCs w:val="24"/>
          <w:u w:val="none"/>
          <w:shd w:val="clear" w:fill="auto"/>
          <w:vertAlign w:val="baseline"/>
          <w:rtl w:val="0"/>
        </w:rPr>
        <w:t>Vaccine-preventable diseases (VPDs) represent a spectrum of infectious pathologies that were historically responsible for massive pediatric mortality and morbidity. In resource-limited settings, particularly in Sub-Saharan Africa, VPDs such as measles, pneumococcal pneumonia, and rotavirus-induced severe gastroenteritis remain prominent threats to child survival. The prevention of these diseases through routine immunization not only reduces direct healthcare expenditures and hospital admissions but also mitigates the long-term socioeconomic consequences of childhood disability, such as the paralysis associated with poliomyelitis. Consequently, vaccination is consistently ranked as one of the most cost-effective interventions in global public health (UNICEF, 2023).</w:t>
      </w:r>
    </w:p>
    <w:p w14:paraId="000000F6">
      <w:pPr>
        <w:keepNext w:val="0"/>
        <w:keepLines w:val="0"/>
        <w:pageBreakBefore w:val="0"/>
        <w:widowControl/>
        <w:pBdr>
          <w:top w:val="none" w:color="1F1F1F" w:sz="0" w:space="0"/>
          <w:left w:val="none" w:color="1F1F1F" w:sz="0" w:space="0"/>
          <w:bottom w:val="none" w:color="1F1F1F" w:sz="0" w:space="0"/>
          <w:right w:val="none" w:color="1F1F1F"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1F1F1F"/>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1F1F1F"/>
          <w:sz w:val="24"/>
          <w:szCs w:val="24"/>
          <w:u w:val="none"/>
          <w:shd w:val="clear" w:fill="auto"/>
          <w:vertAlign w:val="baseline"/>
          <w:rtl w:val="0"/>
        </w:rPr>
        <w:t>Childhood immunization programs are specifically designed to capitalize on the early development of the infant immune system, protecting children during the period of highest epidemiological vulnerability. In global health frameworks, children are targeted to receive a comprehensive suite of primary vaccinations before their first birthday, followed by necessary booster doses in the second year of life.</w:t>
      </w:r>
    </w:p>
    <w:p w14:paraId="000000F7">
      <w:pPr>
        <w:keepNext w:val="0"/>
        <w:keepLines w:val="0"/>
        <w:pageBreakBefore w:val="0"/>
        <w:widowControl/>
        <w:pBdr>
          <w:top w:val="none" w:color="1F1F1F" w:sz="0" w:space="0"/>
          <w:left w:val="none" w:color="1F1F1F" w:sz="0" w:space="0"/>
          <w:bottom w:val="none" w:color="1F1F1F" w:sz="0" w:space="0"/>
          <w:right w:val="none" w:color="1F1F1F"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1F1F1F"/>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1F1F1F"/>
          <w:sz w:val="24"/>
          <w:szCs w:val="24"/>
          <w:u w:val="none"/>
          <w:shd w:val="clear" w:fill="auto"/>
          <w:vertAlign w:val="baseline"/>
          <w:rtl w:val="0"/>
        </w:rPr>
        <w:t>The success of childhood immunization is intrinsically linked to the health-seeking behavior of the primary caregiver. In the context of Sub-Saharan Africa and specifically Nigeria, while patriarchal societal structures often dictate household financial allocations, mothers remain the operational custodians of pediatric health. The literature consistently highlights that a mother’s knowledge, attitudes, beliefs, and socio-economic empowerment dictate whether a child initiates and completes the immunization schedule (Adedokun et al., 2021).  A mother acts as the critical intermediary between the formal healthcare system and the child. Her decision-making process is a complex calculus influenced by her perception of disease risk, her trust in the biological product (vaccine confidence), her ability to navigate health information (vaccine literacy), and her interactions with healthcare providers at facilities such as the Kulende Basic Health Centre. Consequently, any assessment of pediatric immunization coverage must fundamentally analyze the maternal cognitive and behavioral factors that drive clinical attendance (Larson et al., 2022).</w:t>
      </w:r>
    </w:p>
    <w:p w14:paraId="000000F8">
      <w:pPr>
        <w:keepNext w:val="0"/>
        <w:keepLines w:val="0"/>
        <w:pageBreakBefore w:val="0"/>
        <w:widowControl/>
        <w:pBdr>
          <w:top w:val="none" w:color="1F1F1F" w:sz="0" w:space="0"/>
          <w:left w:val="none" w:color="1F1F1F" w:sz="0" w:space="0"/>
          <w:bottom w:val="none" w:color="1F1F1F" w:sz="0" w:space="0"/>
          <w:right w:val="none" w:color="1F1F1F"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1F1F1F"/>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1F1F1F"/>
          <w:sz w:val="24"/>
          <w:szCs w:val="24"/>
          <w:u w:val="none"/>
          <w:shd w:val="clear" w:fill="auto"/>
          <w:vertAlign w:val="baseline"/>
          <w:rtl w:val="0"/>
        </w:rPr>
        <w:t>To systematically combat VPDs, global governance structures have established comprehensive vaccination programs. The WHO’s "Immunization Agenda 2030" (IA2030) serves as the current overarching global strategy, aiming to leave no one behind by maximizing the lifesaving impact of vaccines over the current decade. A critical stakeholder in global vaccine equity is Gavi, the Vaccine Alliance. Founded in 2000, Gavi has fundamentally transformed the vaccine landscape in low- and middle-income countries (LMICs) by subsidizing the procurement of new and underused vaccines, thereby expanding access to critical antigens like the pneumococcal conjugate and rotavirus vaccines (Gavi, 2023).</w:t>
      </w:r>
    </w:p>
    <w:p w14:paraId="000000F9">
      <w:pPr>
        <w:keepNext w:val="0"/>
        <w:keepLines w:val="0"/>
        <w:pageBreakBefore w:val="0"/>
        <w:widowControl/>
        <w:pBdr>
          <w:top w:val="none" w:color="1F1F1F" w:sz="0" w:space="0"/>
          <w:left w:val="none" w:color="1F1F1F" w:sz="0" w:space="0"/>
          <w:bottom w:val="none" w:color="1F1F1F" w:sz="0" w:space="0"/>
          <w:right w:val="none" w:color="1F1F1F"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1F1F1F"/>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1F1F1F"/>
          <w:sz w:val="24"/>
          <w:szCs w:val="24"/>
          <w:u w:val="none"/>
          <w:shd w:val="clear" w:fill="auto"/>
          <w:vertAlign w:val="baseline"/>
          <w:rtl w:val="0"/>
        </w:rPr>
        <w:t>On the African continent, vaccination programs face unique topographical, infrastructural, and socio-political challenges. The Africa Centres for Disease Control and Prevention (Africa CDC) coordinates regional health security. Despite historical successes, such as the certification of the African region as wild poliovirus-free in 2020, the continent continues to grapple with fragmented healthcare delivery systems. African vaccine programs are heavily reliant on external donor funding, and local vaccine manufacturing capacity remains exceptionally low, accounting for less than 1% of the vaccines consumed on the continent. In response, recent African Union initiatives have prioritized the "Partnerships for African Vaccine Manufacturing" (PAVM) to enhance regional health sovereignty and ensure sustainable supply chains for routine immunization (Africa CDC, 2022).</w:t>
      </w:r>
    </w:p>
    <w:p w14:paraId="000000FA">
      <w:pPr>
        <w:keepNext w:val="0"/>
        <w:keepLines w:val="0"/>
        <w:pageBreakBefore w:val="0"/>
        <w:widowControl/>
        <w:pBdr>
          <w:top w:val="none" w:color="1F1F1F" w:sz="0" w:space="0"/>
          <w:left w:val="none" w:color="1F1F1F" w:sz="0" w:space="0"/>
          <w:bottom w:val="none" w:color="1F1F1F" w:sz="0" w:space="0"/>
          <w:right w:val="none" w:color="1F1F1F"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1F1F1F"/>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1F1F1F"/>
          <w:sz w:val="24"/>
          <w:szCs w:val="24"/>
          <w:u w:val="none"/>
          <w:shd w:val="clear" w:fill="auto"/>
          <w:vertAlign w:val="baseline"/>
          <w:rtl w:val="0"/>
        </w:rPr>
        <w:t>The Expanded Programme on Immunization (EPI) was initiated by the WHO in 1974 with the mandate to make life-saving vaccines available to all children globally. Initially, the EPI targeted six diseases: tuberculosis, diphtheria, tetanus, pertussis, poliomyelitis, and measles. Over the decades, the EPI schedule has expanded significantly to incorporate novel antigens.</w:t>
      </w:r>
    </w:p>
    <w:p w14:paraId="000000FB">
      <w:pPr>
        <w:keepNext w:val="0"/>
        <w:keepLines w:val="0"/>
        <w:pageBreakBefore w:val="0"/>
        <w:widowControl/>
        <w:pBdr>
          <w:top w:val="none" w:color="1F1F1F" w:sz="0" w:space="0"/>
          <w:left w:val="none" w:color="1F1F1F" w:sz="0" w:space="0"/>
          <w:bottom w:val="none" w:color="1F1F1F" w:sz="0" w:space="0"/>
          <w:right w:val="none" w:color="1F1F1F"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1F1F1F"/>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1F1F1F"/>
          <w:sz w:val="24"/>
          <w:szCs w:val="24"/>
          <w:u w:val="none"/>
          <w:shd w:val="clear" w:fill="auto"/>
          <w:vertAlign w:val="baseline"/>
          <w:rtl w:val="0"/>
        </w:rPr>
        <w:t>In Nigeria, the EPI was initiated in 1979. It is currently managed and coordinated by the National Primary Health Care Development Agency (NPHCDA) under the framework of Routine Immunization (RI). The Nigerian RI schedule is a structured chronological protocol designed to confer immunity during early infancy. According to current NPHCDA guidelines, the schedule mandates that a child receives the Bacillus Calmette-Guérin (BCG) vaccine for tuberculosis, Oral Polio Vaccine (OPV0), and Hepatitis B (HepB0) at birth. At 6, 10, and 14 weeks of age, infants receive the Pentavalent vaccine (protecting against diphtheria, pertussis, tetanus, hepatitis B, and Haemophilus influenzae type b), the Pneumococcal Conjugate Vaccine (PCV), Rotavirus vaccine, and subsequent doses of OPV. At 9 months, the child is scheduled for the Measles and Yellow Fever vaccines. Furthermore, a second dose of measles and a Meningitis A vaccine are recommended at 15 months to bolster immunity (NPHCDA, 2022).</w:t>
      </w:r>
    </w:p>
    <w:p w14:paraId="000000FC">
      <w:pPr>
        <w:keepNext w:val="0"/>
        <w:keepLines w:val="0"/>
        <w:pageBreakBefore w:val="0"/>
        <w:widowControl/>
        <w:pBdr>
          <w:top w:val="none" w:color="1F1F1F" w:sz="0" w:space="0"/>
          <w:left w:val="none" w:color="1F1F1F" w:sz="0" w:space="0"/>
          <w:bottom w:val="none" w:color="1F1F1F" w:sz="0" w:space="0"/>
          <w:right w:val="none" w:color="1F1F1F"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1F1F1F"/>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1F1F1F"/>
          <w:sz w:val="24"/>
          <w:szCs w:val="24"/>
          <w:u w:val="none"/>
          <w:shd w:val="clear" w:fill="auto"/>
          <w:vertAlign w:val="baseline"/>
          <w:rtl w:val="0"/>
        </w:rPr>
        <w:t>These vaccines are provided free of charge at public healthcare facilities, including the Kulende Basic Health Centre in Kwara State. Despite the structural availability and free provision of these biologicals, ensuring that mothers return to the facility to complete this multi-dose timeline—preventing the phenomenon of "drop-outs"—remains a paramount clinical challenge for public health nurses across the nation.</w:t>
      </w:r>
    </w:p>
    <w:p w14:paraId="000000FD">
      <w:pPr>
        <w:keepNext w:val="0"/>
        <w:keepLines w:val="0"/>
        <w:pageBreakBefore w:val="0"/>
        <w:widowControl/>
        <w:pBdr>
          <w:top w:val="none" w:color="1F1F1F" w:sz="0" w:space="0"/>
          <w:left w:val="none" w:color="1F1F1F" w:sz="0" w:space="0"/>
          <w:bottom w:val="none" w:color="1F1F1F" w:sz="0" w:space="0"/>
          <w:right w:val="none" w:color="1F1F1F"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bCs/>
          <w:i w:val="0"/>
          <w:iCs w:val="0"/>
          <w:smallCaps w:val="0"/>
          <w:strike w:val="0"/>
          <w:color w:val="1F1F1F"/>
          <w:sz w:val="24"/>
          <w:szCs w:val="24"/>
          <w:u w:val="none"/>
          <w:shd w:val="clear" w:fill="auto"/>
          <w:vertAlign w:val="baseline"/>
        </w:rPr>
      </w:pPr>
    </w:p>
    <w:p w14:paraId="000000FE">
      <w:pPr>
        <w:keepNext w:val="0"/>
        <w:keepLines w:val="0"/>
        <w:pageBreakBefore w:val="0"/>
        <w:widowControl/>
        <w:pBdr>
          <w:top w:val="none" w:color="1F1F1F" w:sz="0" w:space="0"/>
          <w:left w:val="none" w:color="1F1F1F" w:sz="0" w:space="0"/>
          <w:bottom w:val="none" w:color="1F1F1F" w:sz="0" w:space="0"/>
          <w:right w:val="none" w:color="1F1F1F"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1F1F1F"/>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1F1F1F"/>
          <w:sz w:val="24"/>
          <w:szCs w:val="24"/>
          <w:u w:val="none"/>
          <w:shd w:val="clear" w:fill="auto"/>
          <w:vertAlign w:val="baseline"/>
          <w:rtl w:val="0"/>
        </w:rPr>
        <w:t>The contemporary landscape of routine childhood immunization is fraught with systemic and behavioral challenges. Globally, the COVID-19 pandemic caused the most severe disruption to childhood immunization in a generation. The WHO and UNICEF Estimates of National Immunization Coverage (WUENIC) reported that in 2021, an estimated 25 million children completely missed out on life-saving vaccines, creating an alarming accumulation of susceptible populations (WHO &amp; UNICEF, 2023).</w:t>
      </w:r>
    </w:p>
    <w:p w14:paraId="000000FF">
      <w:pPr>
        <w:keepNext w:val="0"/>
        <w:keepLines w:val="0"/>
        <w:pageBreakBefore w:val="0"/>
        <w:widowControl/>
        <w:pBdr>
          <w:top w:val="none" w:color="1F1F1F" w:sz="0" w:space="0"/>
          <w:left w:val="none" w:color="1F1F1F" w:sz="0" w:space="0"/>
          <w:bottom w:val="none" w:color="1F1F1F" w:sz="0" w:space="0"/>
          <w:right w:val="none" w:color="1F1F1F"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1F1F1F"/>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1F1F1F"/>
          <w:sz w:val="24"/>
          <w:szCs w:val="24"/>
          <w:u w:val="none"/>
          <w:shd w:val="clear" w:fill="auto"/>
          <w:vertAlign w:val="baseline"/>
          <w:rtl w:val="0"/>
        </w:rPr>
        <w:t>In Africa, these disruptions exacerbated existing systemic frailties. The African region houses a disproportionate number of "zero-dose" children—defined as those who have not received even the first dose of a diphtheria-tetanus-pertussis-containing vaccine (DTP1). The challenges in the region are heavily skewed toward supply-side constraints, including inadequate cold-chain infrastructure, erratic power supply affecting vaccine viability, difficult geographical terrains, and chronic underfunding of primary healthcare systems. Additionally, armed conflict and political instability in various regions severely impede the delivery of outreach immunization services (Gavi, 2023).</w:t>
      </w:r>
    </w:p>
    <w:p w14:paraId="00000100">
      <w:pPr>
        <w:keepNext w:val="0"/>
        <w:keepLines w:val="0"/>
        <w:pageBreakBefore w:val="0"/>
        <w:widowControl/>
        <w:pBdr>
          <w:top w:val="none" w:color="1F1F1F" w:sz="0" w:space="0"/>
          <w:left w:val="none" w:color="1F1F1F" w:sz="0" w:space="0"/>
          <w:bottom w:val="none" w:color="1F1F1F" w:sz="0" w:space="0"/>
          <w:right w:val="none" w:color="1F1F1F"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1F1F1F"/>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1F1F1F"/>
          <w:sz w:val="24"/>
          <w:szCs w:val="24"/>
          <w:u w:val="none"/>
          <w:shd w:val="clear" w:fill="auto"/>
          <w:vertAlign w:val="baseline"/>
          <w:rtl w:val="0"/>
        </w:rPr>
        <w:t>In Nigeria, the challenges to routine immunization are multifaceted, reflecting a complex intersection of systemic deficits and behavioral hesitancy. Nigeria currently has one of the highest absolute numbers of zero-dose children in the world. According to the 2021 Multiple Indicator Cluster Survey and National Immunization Coverage Survey (MICS/NICS), only a fraction of Nigerian children aged 12–23 months are fully immunized according to the national schedule (National Bureau of Statistics &amp; UNICEF, 2022).</w:t>
      </w:r>
    </w:p>
    <w:p w14:paraId="00000101">
      <w:pPr>
        <w:keepNext w:val="0"/>
        <w:keepLines w:val="0"/>
        <w:pageBreakBefore w:val="0"/>
        <w:widowControl/>
        <w:pBdr>
          <w:top w:val="none" w:color="1F1F1F" w:sz="0" w:space="0"/>
          <w:left w:val="none" w:color="1F1F1F" w:sz="0" w:space="0"/>
          <w:bottom w:val="none" w:color="1F1F1F" w:sz="0" w:space="0"/>
          <w:right w:val="none" w:color="1F1F1F"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1F1F1F"/>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1F1F1F"/>
          <w:sz w:val="24"/>
          <w:szCs w:val="24"/>
          <w:u w:val="none"/>
          <w:shd w:val="clear" w:fill="auto"/>
          <w:vertAlign w:val="baseline"/>
          <w:rtl w:val="0"/>
        </w:rPr>
        <w:t>While logistical barriers such as vaccine stock-outs and healthcare worker strikes play a role, there is a growing recognition in contemporary nursing and public health literature of the profound impact of demand-side behavioral barriers. In Kwara State and similar regions, suboptimal immunization coverage is increasingly linked to maternal cognitive and psychosocial factors. The proliferation of digital misinformation and traditional socio-religious misconceptions has cultivated an environment of fear and skepticism. Mothers frequently express concerns regarding adverse events following immunization (AEFI), hidden demographic agendas, and a general mistrust in the safety of the biological products offered at public clinics (Oleribe et al., 2021).</w:t>
      </w:r>
    </w:p>
    <w:p w14:paraId="00000102">
      <w:pPr>
        <w:keepNext w:val="0"/>
        <w:keepLines w:val="0"/>
        <w:pageBreakBefore w:val="0"/>
        <w:widowControl/>
        <w:pBdr>
          <w:top w:val="none" w:color="1F1F1F" w:sz="0" w:space="0"/>
          <w:left w:val="none" w:color="1F1F1F" w:sz="0" w:space="0"/>
          <w:bottom w:val="none" w:color="1F1F1F" w:sz="0" w:space="0"/>
          <w:right w:val="none" w:color="1F1F1F"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1F1F1F"/>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1F1F1F"/>
          <w:sz w:val="24"/>
          <w:szCs w:val="24"/>
          <w:u w:val="none"/>
          <w:shd w:val="clear" w:fill="auto"/>
          <w:vertAlign w:val="baseline"/>
          <w:rtl w:val="0"/>
        </w:rPr>
        <w:t xml:space="preserve">Furthermore, a critical evaluation of Nigerian literature reveals that while physical access to primary healthcare centers like Kulende Basic Health Centre has improved, the </w:t>
      </w:r>
      <w:r>
        <w:rPr>
          <w:rFonts w:ascii="Times New Roman" w:hAnsi="Times New Roman" w:eastAsia="Times New Roman" w:cs="Times New Roman"/>
          <w:b w:val="0"/>
          <w:bCs w:val="0"/>
          <w:i/>
          <w:iCs/>
          <w:smallCaps w:val="0"/>
          <w:strike w:val="0"/>
          <w:color w:val="1F1F1F"/>
          <w:sz w:val="24"/>
          <w:szCs w:val="24"/>
          <w:u w:val="none"/>
          <w:shd w:val="clear" w:fill="auto"/>
          <w:vertAlign w:val="baseline"/>
          <w:rtl w:val="0"/>
        </w:rPr>
        <w:t>quality</w:t>
      </w:r>
      <w:r>
        <w:rPr>
          <w:rFonts w:ascii="Times New Roman" w:hAnsi="Times New Roman" w:eastAsia="Times New Roman" w:cs="Times New Roman"/>
          <w:b w:val="0"/>
          <w:bCs w:val="0"/>
          <w:i w:val="0"/>
          <w:iCs w:val="0"/>
          <w:smallCaps w:val="0"/>
          <w:strike w:val="0"/>
          <w:color w:val="1F1F1F"/>
          <w:sz w:val="24"/>
          <w:szCs w:val="24"/>
          <w:u w:val="none"/>
          <w:shd w:val="clear" w:fill="auto"/>
          <w:vertAlign w:val="baseline"/>
          <w:rtl w:val="0"/>
        </w:rPr>
        <w:t xml:space="preserve"> of health communication between nursing staff and mothers is often deficient. High patient volumes, language barriers, and a lack of tailored health education limit a mother's ability to fully understand the immunization schedule, thereby reducing her vaccine literacy and inherently compromising her vaccine confidence.</w:t>
      </w:r>
    </w:p>
    <w:p w14:paraId="0000010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2.1.2 Level of Vaccine Literacy Among Mothers</w:t>
      </w:r>
    </w:p>
    <w:p w14:paraId="0000010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Vaccine literacy is an epidemiological and cognitive construct that evolved directly from the broader paradigm of health literacy. Foundational literature by Nutbeam established health literacy not merely as the ability to read medical pamphlets, but as a composite of cognitive and social skills determining an individual's motivation and ability to gain access to, understand, and use information in ways that promote and maintain good health. </w:t>
      </w:r>
    </w:p>
    <w:p w14:paraId="0000010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In contemporary public health discourse, particularly following the global infodemic that accompanied recent global health emergencies, researchers recognized that general health literacy was insufficient to capture the specific complexities of immunological information. Consequently, vaccine literacy emerged as a highly specialized domain. Biasio et al. (2021) define vaccine literacy as the specific capacity of an individual to find, understand, evaluate, and communicate information regarding vaccines, enabling them to make informed, evidence-based decisions about immunization for themselves and their dependents. For a nursing mother attending a primary healthcare facility such as the Kulende Basic Health Centre, vaccine literacy represents her cognitive apparatus to process the clinical rationale for the Pentavalent vaccine, navigate the complex scheduling of multi-dose antigens, and evaluate the credibility of safety information provided by public health nurses against community-generated rumors (Lorini et al., 2023).</w:t>
      </w:r>
    </w:p>
    <w:p w14:paraId="0000010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Dimensions of Vaccine Literacy</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Vaccine literacy is not a monolithic or singular variable; it is structurally stratified into three hierarchical dimensions, each representing an escalating level of cognitive and social complexity. Understanding these levels is crucial for evaluating maternal compliance.</w:t>
      </w:r>
    </w:p>
    <w:p w14:paraId="0000010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Functional Vaccine Literacy:</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This represents the baseline cognitive tier. It encompasses the fundamental reading, writing, and numerical skills required to function effectively within a formal healthcare setting. In the context of maternal pediatric care, functional literacy involves the mother's ability to read the immunization card (e.g., identifying the exact return date for a Measles 2 vaccine), understand standard dosage instructions for post-vaccination antipyretics (e.g., measuring paracetamol syrup for localized fever), and comprehend basic clinical signage within the health center. A deficit in functional literacy severely limits a mother's independent adherence to the immunization schedule, forcing her to rely entirely on external reminders or the memory of clinic staff (Biasio et al., 2021).</w:t>
      </w:r>
    </w:p>
    <w:p w14:paraId="0000010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Interactive (Communicative) Vaccine Literacy:</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This intermediate dimension measures a mother's capacity to actively extract information, derive meaning from different forms of communication, and apply new information to changing circumstances. Interactive literacy is highly social and relational. A mother exhibiting high interactive literacy will not passively sit through a morning health talk; she will autonomously engage the nursing staff, ask clarifying questions about potential adverse events following immunization (AEFI), and articulate her specific anxieties. This dimension is critical for building a therapeutic nurse-patient relationship, transforming the mother from a passive recipient of care into an active participant (Nutbeam &amp; Lloyd, 2021).</w:t>
      </w:r>
    </w:p>
    <w:p w14:paraId="0000010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Critical Vaccine Literacy:</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This represents the apex of the literacy hierarchy. It involves the advanced cognitive ability to critically analyze health information, evaluate the scientific credibility of a source, and exercise strict discernment when exposed to conflicting data. In an era where digital health misinformation proliferates rapidly through platforms like WhatsApp, critical vaccine literacy provides the cognitive scaffolding necessary for a mother to reject unverified anti-vaccine rhetoric spread through peer networks. It is the ultimate protective factor that insulates her health-seeking behavior from external socio-cultural pressures and fear-mongering (Lorini et al., 2023).</w:t>
      </w:r>
    </w:p>
    <w:p w14:paraId="0000010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Measurement Tools for Vaccine Literacy</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The empirical measurement of vaccine literacy levels requires validated psychometric instruments. Historically, researchers utilized general health literacy tools, such as the Test of Functional Health Literacy in Adults (TOFHLA) or the Rapid Estimate of Adult Literacy in Medicine (REALM). However, these tools were generic and failed to capture the nuances of vaccine-specific decision-making, such as understanding herd immunity or evaluating vaccine risks.</w:t>
      </w:r>
    </w:p>
    <w:p w14:paraId="0000010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Recently, specific scales have been developed, most notably the Health Literacy about Respiratory Infection Immunization (HLVA) scale developed by Biasio et al. (2021). The HLVA specifically isolates the functional, interactive, and critical dimensions using structured Likert-scale self-reporting. While robust, a critical methodological limitation of these contemporary tools is that they were predominantly developed and validated in high-income countries (HICs) and primarily focus on adult vaccinations. There remains a significant methodological scarcity of validated, culturally adapted measurement tools specifically designed to assess </w:t>
      </w:r>
      <w:r>
        <w:rPr>
          <w:rFonts w:ascii="Times New Roman" w:hAnsi="Times New Roman" w:eastAsia="Times New Roman" w:cs="Times New Roman"/>
          <w:b w:val="0"/>
          <w:bCs w:val="0"/>
          <w:i/>
          <w:iCs/>
          <w:smallCaps w:val="0"/>
          <w:strike w:val="0"/>
          <w:color w:val="000000"/>
          <w:sz w:val="24"/>
          <w:szCs w:val="24"/>
          <w:u w:val="none"/>
          <w:shd w:val="clear" w:fill="auto"/>
          <w:vertAlign w:val="baseline"/>
          <w:rtl w:val="0"/>
        </w:rPr>
        <w:t>maternal</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vaccine literacy regarding </w:t>
      </w:r>
      <w:r>
        <w:rPr>
          <w:rFonts w:ascii="Times New Roman" w:hAnsi="Times New Roman" w:eastAsia="Times New Roman" w:cs="Times New Roman"/>
          <w:b w:val="0"/>
          <w:bCs w:val="0"/>
          <w:i/>
          <w:iCs/>
          <w:smallCaps w:val="0"/>
          <w:strike w:val="0"/>
          <w:color w:val="000000"/>
          <w:sz w:val="24"/>
          <w:szCs w:val="24"/>
          <w:u w:val="none"/>
          <w:shd w:val="clear" w:fill="auto"/>
          <w:vertAlign w:val="baseline"/>
          <w:rtl w:val="0"/>
        </w:rPr>
        <w:t>routine childhood immunization</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in low- and middle-income countries (LMICs), particularly tools translated and psychometrically tested in indigenous African languages such as Yoruba.</w:t>
      </w:r>
    </w:p>
    <w:p w14:paraId="0000010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Determinants of Vaccine Literacy</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A mother's level of vaccine literacy does not develop in a vacuum; it is shaped by a complex matrix of socio-economic, educational, and systemic determinants.</w:t>
      </w:r>
    </w:p>
    <w:p w14:paraId="0000010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Educational Attainment:</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While formal education provides the foundation for functional literacy (reading and writing), it does not automatically confer critical vaccine literacy. A mother may possess secondary education but lack the specific scientific vocabulary to understand immunology.</w:t>
      </w:r>
    </w:p>
    <w:p w14:paraId="0000010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Socio-economic Status (SES):</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Mothers from higher socio-economic backgrounds often have better access to high-quality health information, private pediatric consultations, and reliable internet access to verify clinical claims, thereby boosting their interactive and critical literacy.</w:t>
      </w:r>
    </w:p>
    <w:p w14:paraId="0000010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Health System Navigation Experience:</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Multiparous mothers (those with multiple children) often exhibit higher practical vaccine literacy because they have repeatedly navigated the primary healthcare system, becoming familiar with the routine schedule through experiential learning.</w:t>
      </w:r>
    </w:p>
    <w:p w14:paraId="0000011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Quality of Provider Communication:</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The level of literacy a mother achieves is heavily dependent on the communication skills of the public health nurses. If nurses use excessive medical jargon during health talks at the Kulende Basic Health Centre, it inhibits the mother's ability to develop interactive literacy (Oleribe et al., 2021).</w:t>
      </w:r>
    </w:p>
    <w:p w14:paraId="0000011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2.1.3 Level of Vaccine Confidence Among Mothers</w:t>
      </w:r>
    </w:p>
    <w:p w14:paraId="0000011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Vaccine confidence is a complex, multi-dimensional psychosocial construct. The World Health Organization (WHO) and the Strategic Advisory Group of Experts (SAGE) on Immunization define vaccine confidence as the degree of trust that individuals in this context, nursing mothers and primary caregivers place in the safety and efficacy of recommended vaccines, the competence and reliability of the healthcare professionals who administer them, and the integrity of the public health systems and policymakers that mandate them (WHO, 2022).</w:t>
      </w:r>
    </w:p>
    <w:p w14:paraId="0000011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Historically, public health research viewed incomplete immunization solely as a logistical failure (lack of supply) or an educational deficit (ignorance). However, foundational conceptualizations led by the Vaccine Confidence Project shifted this paradigm, illustrating that a mother can have perfect physical access to a clinic and possess a high educational degree, yet still refuse a vaccine due to a fundamental deficit in trust (Larson et al., 2022). Therefore, assessing the level of vaccine confidence provides a precise diagnostic metric of a population's psychological and attitudinal readiness to accept routine biological interventions. For mothers attending the Kulende Basic Health Centre, their level of confidence acts as the ultimate psychological gatekeeper; it is the definitive variable that determines whether their infant receives the full protective spectrum of the National Routine Immunization Schedule.</w:t>
      </w:r>
    </w:p>
    <w:p w14:paraId="0000011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Components of Vaccine Confidence</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Vaccine confidence is analytically deconstructed into three interdependent pillars. A deficiency in any single pillar can destabilize a mother’s overall willingness to vaccinate her child.</w:t>
      </w:r>
    </w:p>
    <w:p w14:paraId="0000011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first pillar is</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bCs/>
          <w:i/>
          <w:iCs/>
          <w:smallCaps w:val="0"/>
          <w:strike w:val="0"/>
          <w:color w:val="000000"/>
          <w:sz w:val="24"/>
          <w:szCs w:val="24"/>
          <w:u w:val="none"/>
          <w:shd w:val="clear" w:fill="auto"/>
          <w:vertAlign w:val="baseline"/>
          <w:rtl w:val="0"/>
        </w:rPr>
        <w:t>Trust in the Biological Product</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This represents the maternal belief that the specific vaccines supplied at the primary health center such as the Pentavalent or Pneumococcal Conjugate vaccines are safe, sterile, potent, and immunologically effective. A mother must possess the cognitive trust that the long-term immunological benefits of the vaccine significantly outweigh the transient risks of adverse events following immunization (AEFI), such as localized swelling or pyrexia. If a mother suspects that a vaccine is expired, contaminated, or biologically harmful, her confidence in the product collapses entirely (de Figueiredo et al., 2021).</w:t>
      </w:r>
    </w:p>
    <w:p w14:paraId="0000011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second pillar is</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bCs/>
          <w:i/>
          <w:iCs/>
          <w:smallCaps w:val="0"/>
          <w:strike w:val="0"/>
          <w:color w:val="000000"/>
          <w:sz w:val="24"/>
          <w:szCs w:val="24"/>
          <w:u w:val="none"/>
          <w:shd w:val="clear" w:fill="auto"/>
          <w:vertAlign w:val="baseline"/>
          <w:rtl w:val="0"/>
        </w:rPr>
        <w:t>Trust in the Healthcare Provider</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In the context of primary healthcare in Nigeria, the clinical nurse serves as the face of the entire health system. This index captures the relational dynamics between the mother and the clinical nursing staff. It is heavily predicated on the nurse's perceived clinical competence, professional empathy, communication clarity, and cultural sensitivity during routine immunization sessions. When a mother feels respected, listened to, and supported by the nursing staff at the injection table, her trust in the entire immunization process is fortified. Conversely, aggressive, dismissive, or rushed clinical encounters severely erode this trust, leading to subsequent clinic defaults (Sato, 2022).</w:t>
      </w:r>
    </w:p>
    <w:p w14:paraId="0000011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The third pillar is </w:t>
      </w:r>
      <w:r>
        <w:rPr>
          <w:rFonts w:ascii="Times New Roman" w:hAnsi="Times New Roman" w:eastAsia="Times New Roman" w:cs="Times New Roman"/>
          <w:b/>
          <w:bCs/>
          <w:i/>
          <w:iCs/>
          <w:smallCaps w:val="0"/>
          <w:strike w:val="0"/>
          <w:color w:val="000000"/>
          <w:sz w:val="24"/>
          <w:szCs w:val="24"/>
          <w:u w:val="none"/>
          <w:shd w:val="clear" w:fill="auto"/>
          <w:vertAlign w:val="baseline"/>
          <w:rtl w:val="0"/>
        </w:rPr>
        <w:t>Trust in the Institutional System and Policymakers</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This encompasses broader confidence in macro-level health authorities, including the Kwara State Ministry of Health, the National Primary Health Care Development Agency (NPHCDA), and international bodies like the WHO. Caregivers must trust that these regulatory agencies are motivated strictly by pediatric welfare and public health, rather than hidden political, demographic, or financial agendas. In regions with historical socio-political tensions, institutional mistrust is a primary driver of vaccine rejection (Larson et al., 2022).</w:t>
      </w:r>
    </w:p>
    <w:p w14:paraId="00000118">
      <w:pPr>
        <w:spacing w:line="360" w:lineRule="auto"/>
        <w:rPr>
          <w:rFonts w:ascii="Times New Roman" w:hAnsi="Times New Roman" w:eastAsia="Times New Roman" w:cs="Times New Roman"/>
          <w:b/>
          <w:bCs/>
          <w:sz w:val="24"/>
          <w:szCs w:val="24"/>
        </w:rPr>
      </w:pPr>
      <w:r>
        <w:br w:type="page"/>
      </w:r>
    </w:p>
    <w:p w14:paraId="0000011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Vaccine Hesitancy: The Behavioral Counterpart</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w:t>
      </w:r>
    </w:p>
    <w:p w14:paraId="0000011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To comprehensively evaluate vaccine confidence, one must understand its behavioral antithesis: vaccine hesitancy. The WHO SAGE working group defines vaccine hesitancy as a delay in acceptance or refusal of vaccines despite the availability of vaccination services (WHO, 2022). It is crucial to recognize that confidence and hesitancy operate on a continuum. At one extreme are unconditional acceptors (mothers with high vaccine confidence who adhere strictly to the schedule). At the opposite extreme are active refusers (mothers who reject all vaccines due to zero confidence).</w:t>
      </w:r>
    </w:p>
    <w:p w14:paraId="0000011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Vaccine hesitancy occupies the volatile middle ground. These are mothers who may present their infants at the Kulende Basic Health Centre but harbor deep, unresolved anxieties. They may accept the BCG vaccine at birth but intentionally delay the 14-week Pentavalent dose due to wavering confidence. Hesitancy is context-specific and varies across time, place, and specific vaccines, making the continuous assessment of vaccine confidence an indispensable nursing responsibility.</w:t>
      </w:r>
    </w:p>
    <w:p w14:paraId="0000011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Drivers and Barriers to Vaccine Confidence</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Maternal vaccine confidence is driven or hindered by a complex interplay of systemic and socio-cultural factors. Key drivers of high confidence include transparent health communication, positive historical experiences with the healthcare facility, and strong community endorsements by local and religious leaders.</w:t>
      </w:r>
    </w:p>
    <w:p w14:paraId="0000011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Conversely, the barriers to confidence are deeply entrenched. A primary barrier is the fear of Adverse Events Following Immunization (AEFI). While most AEFIs are mild and transient, the amplified reporting of rare severe events can catastrophically damage maternal trust. A second profound barrier is the proliferation of digital misinformation. The modern "infodemic" facilitates the rapid spread of sophisticated anti-vaccine propaganda across social networks, exploiting maternal anxieties by falsely linking vaccines to infertility, neurodevelopmental disorders, or global conspiracies. A third barrier is historical socio-cultural trauma. In Nigeria, historical precedents, such as the 2003–2004 polio vaccine boycott in Northern Nigeria driven by political and religious leaders’ claims that the vaccine was contaminated with anti-fertility agents demonstrate how rapidly institutional trust can disintegrate, casting a long generational shadow over routine immunization confidence (Oduwole et al., 2021). </w:t>
      </w:r>
    </w:p>
    <w:p w14:paraId="0000011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2.1.4 Influence of Vaccine Literacy on Vaccine Confidence</w:t>
      </w:r>
    </w:p>
    <w:p w14:paraId="0000011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Within the domain of public health nursing, the intersection between what a mother understands (vaccine literacy) and what a mother trusts (vaccine confidence) represents the core nexus of pediatric immunization compliance. Theoretically, these two constructs operate in a sequential, mediational relationship. According to cognitive processing theories embedded within the Health Belief Model (HBM), a caregiver cannot intrinsically trust a biological intervention unless she possesses the requisite literacy to accurately appraise its risks and benefits (Nutbeam &amp; Lloyd, 2021). Without adequate functional and critical literacy, a mother's evaluation of a vaccine defaults to heuristic processing—heavily reliant on emotional cues, community superstitions, and peer influence rather than scientific rationale. Consequently, evaluating the influence of vaccine literacy on vaccine confidence investigates the exact psychological mechanism by which health education translates into maternal trust.</w:t>
      </w:r>
    </w:p>
    <w:p w14:paraId="0000012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Mechanisms Through Which Literacy Affects Confidence</w:t>
      </w:r>
    </w:p>
    <w:p w14:paraId="0000012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The influence of vaccine literacy on vaccine confidence manifests through distinct operational mechanisms within the primary healthcare setting. </w:t>
      </w:r>
    </w:p>
    <w:p w14:paraId="0000012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The first is </w:t>
      </w:r>
      <w:r>
        <w:rPr>
          <w:rFonts w:ascii="Times New Roman" w:hAnsi="Times New Roman" w:eastAsia="Times New Roman" w:cs="Times New Roman"/>
          <w:b/>
          <w:bCs/>
          <w:i/>
          <w:iCs/>
          <w:smallCaps w:val="0"/>
          <w:strike w:val="0"/>
          <w:color w:val="000000"/>
          <w:sz w:val="24"/>
          <w:szCs w:val="24"/>
          <w:u w:val="none"/>
          <w:shd w:val="clear" w:fill="auto"/>
          <w:vertAlign w:val="baseline"/>
          <w:rtl w:val="0"/>
        </w:rPr>
        <w:t>Risk Decoding and Safety Trust</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Mothers with high critical vaccine literacy can accurately decode clinical risk probabilities; they understand that a mild fever following a Pentavalent injection is a normal immunological response, thereby preserving their trust in the product. Conversely, mothers with low critical literacy often misinterpret expected immunological reactions as medical errors, causing their confidence to collapse (Biasio et al., 2021).</w:t>
      </w:r>
    </w:p>
    <w:p w14:paraId="0000012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The second mechanism is </w:t>
      </w:r>
      <w:r>
        <w:rPr>
          <w:rFonts w:ascii="Times New Roman" w:hAnsi="Times New Roman" w:eastAsia="Times New Roman" w:cs="Times New Roman"/>
          <w:b/>
          <w:bCs/>
          <w:i/>
          <w:iCs/>
          <w:smallCaps w:val="0"/>
          <w:strike w:val="0"/>
          <w:color w:val="000000"/>
          <w:sz w:val="24"/>
          <w:szCs w:val="24"/>
          <w:u w:val="none"/>
          <w:shd w:val="clear" w:fill="auto"/>
          <w:vertAlign w:val="baseline"/>
          <w:rtl w:val="0"/>
        </w:rPr>
        <w:t>Infodemic Mitigation</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In the digital age, critical vaccine literacy acts as a cognitive firewall. When a mother encounters unverified digital rumors claiming vaccines are harmful, critical literacy enables her to question the source and reject the misinformation, directly protecting her trust in institutional policymakers (Balogun et al., 2023). Lastly, the </w:t>
      </w:r>
      <w:r>
        <w:rPr>
          <w:rFonts w:ascii="Times New Roman" w:hAnsi="Times New Roman" w:eastAsia="Times New Roman" w:cs="Times New Roman"/>
          <w:b w:val="0"/>
          <w:bCs w:val="0"/>
          <w:i/>
          <w:iCs/>
          <w:smallCaps w:val="0"/>
          <w:strike w:val="0"/>
          <w:color w:val="000000"/>
          <w:sz w:val="24"/>
          <w:szCs w:val="24"/>
          <w:u w:val="none"/>
          <w:shd w:val="clear" w:fill="auto"/>
          <w:vertAlign w:val="baseline"/>
          <w:rtl w:val="0"/>
        </w:rPr>
        <w:t>Clinical Empowerment</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mechanism relies on interactive literacy. When a mother possesses the vocabulary and social confidence to ask questions during a clinic visit, the resulting bidirectional communication with nurses significantly elevates her trust in the healthcare provider (Lorini et al., 2023).</w:t>
      </w:r>
    </w:p>
    <w:p w14:paraId="0000012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International and African Empirical Evidence</w:t>
      </w:r>
    </w:p>
    <w:p w14:paraId="0000012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International epidemiological literature robustly supports a positive, linear correlation between health literacy metrics and vaccine confidence indices. For instance, Turhan et al. (2021) evaluated parents of children aged 0–5 years in a global context, utilizing multivariate regression to isolate the effect of literacy. They found a statistically significant inverse relationship: parents with inadequate health literacy had 3.5 times higher odds of exhibiting low vaccine confidence and high hesitancy. This establishes a clear baseline that cognitive comprehension is a significant predictor of attitudinal trust.</w:t>
      </w:r>
    </w:p>
    <w:p w14:paraId="0000012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In the African context, this relationship is profoundly influenced by systemic health inequities and traditional community authority. A mixed-methods survey in South Africa by Ndwandwe et al. (2021) revealed that caregivers lacking functional health literacy those unable to read standard clinic instructions exhibited the lowest trust in government health institutions. Qualitative insights illuminated that mothers who could not understand clinic posters felt alienated and were subsequently highly susceptible to community rumors framing vaccines as experimental trials. This underscores that in Sub-Saharan Africa, functional illiteracy directly breeds institutional suspicion.</w:t>
      </w:r>
    </w:p>
    <w:p w14:paraId="0000012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In Nigeria, recent empirical investigations explicitly link cognitive deficits to declining vaccine confidence, particularly concerning the safety pillar. Adewumi et al. (2022) investigated mothers attending primary health centers in Oyo State, finding that mothers with adequate health literacy were over four times more likely to demonstrate high trust in vaccine safety and complete the National Program on Immunization schedule. Crucially, mothers with low literacy relied heavily on informal neighborhood networks, which routinely disseminated fear-based narratives that destroyed vaccine confidence.</w:t>
      </w:r>
    </w:p>
    <w:p w14:paraId="0000012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Furthermore, highly contemporary evidence from the North-Central region reinforces this nexus. A 2026 mixed-methods study by Egwuaba, Sunday, and Ume conducted across North-Central Nigeria demonstrated that higher maternal health literacy across functional, interactive, and critical domains was strongly associated with full pediatric immunization (p &lt; 0.001). The researchers highlighted that while 55% of children were fully immunized, the translation of maternal literacy into actual confidence and behavior was heavily moderated by community norms and exposure to misinformation. This localized data proves that cognitive capacity directly dictates whether a mother can maintain trust in the face of regional socio-cultural pressures. </w:t>
      </w:r>
    </w:p>
    <w:p w14:paraId="0000012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Global literature provides a macro-level understanding of how confidence fluctuates in response to external socio-political stimuli. In a landmark spatial modeling study of 149 countries, de Figueiredo et al. (2021) established that while belief in vaccine importance remains relatively stable, confidence in vaccine safety is highly volatile. Despite its unprecedented sample size, the study's broad global generalizations mask micro-level community dynamics; however, it importantly identified trust in healthcare workers as the single strongest determinant of vaccine acceptance globally. Within Sub-Saharan Africa, this provider-trust dynamic is further complicated by historical and socio-cultural factors. A comprehensive meta-synthesis by Wiysonge et al. (2022) revealed that African vaccine confidence is predominantly undermined by religious fatalism, rumors, and disempowering interactions with clinical staff. Although limited by a reliance on primary studies lacking standardized psychometric tools, this review underscores that maternal confidence is deeply tied to clinical power dynamics, justifying the inclusion of provider-trust metrics for mothers in Ilorin.</w:t>
      </w:r>
    </w:p>
    <w:p w14:paraId="0000012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2.1.5 Socio-Demographic Factors Influencing Vaccine Literacy and Vaccine Confidence</w:t>
      </w:r>
    </w:p>
    <w:p w14:paraId="0000012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In public health nursing and epidemiological research, maternal health-seeking behavior does not occur in a vacuum; it is profoundly structured by an intersectional matrix of socio-demographic characteristics. Evaluating variables such as age, education, parity, and income is essential because these factors dictate the structural and cognitive resources a mother brings to the clinic. Within the context of pediatric immunization, socio-demographic indices do not merely act as background demographic data; they actively modulate a mother's capacity to process health information (vaccine literacy) and subsequently dictate her level of trust in the biological intervention (vaccine confidence). Understanding these factors is a clinical prerequisite for identifying which maternal cohorts are at the highest risk of defaulting from preventative care at primary healthcare facilities.</w:t>
      </w:r>
    </w:p>
    <w:p w14:paraId="0000012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Maternal Education and Access to Health Information</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Maternal educational attainment is universally recognized as the most potent socio-demographic determinant of child survival. Globally, higher formal education correlates strongly with elevated functional vaccine literacy, as literate mothers can autonomously read appointment schedules, comprehend standard clinical dosages, and navigate complex healthcare environments (Larson et al., 2022). In the African context, Amo-Adjei et al. (2022) utilized Demographic and Health Survey data from Ghana to demonstrate that mothers with secondary or tertiary education exhibited significantly higher confidence in routine immunizations compared to those with no formal education. However, contemporary Nigerian evidence introduces a critical nuance. Egwuaba, Sunday, and Ume (2026), in their recent study across North-Central Nigeria, demonstrated that while formal education improves functional reading skills, it does not perfectly inoculate mothers against misinformation. Access to health information, particularly through unregulated digital platforms and social media algorithms, heavily moderates this dynamic. Highly educated mothers with unrestricted internet access occasionally exhibit lower vaccine confidence because their interactive literacy leads them to unregulated pseudo-scientific forums, creating an "infodemic" vulnerability that less formally educated, but highly trusting, rural mothers do not face.</w:t>
      </w:r>
    </w:p>
    <w:p w14:paraId="0000012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Age, Parity, and Experiential Literacy</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The chronological age of the mother and her parity (the total number of children she has birthed) serve as proxy indicators for her experiential navigation of the maternal and child health system. Global literature frequently categorizes young, primiparous mothers (first-time mothers, often under the age of 20) as a high-risk demographic. Due to their lack of clinical experience, these young mothers frequently experience heightened anxiety regarding infant health, display lower baseline vaccine literacy, and exhibit highly fragile vaccine confidence that is easily shattered by minor post-vaccination fevers. Conversely, multiparous older mothers possess higher "experiential literacy." Having successfully navigated the national immunization schedule with previous children, their confidence in the safety of vaccines is empirically reinforced. However, foundational Nigerian demographic analyses by Adedokun et al. (2021) highlight a paradoxical risk: while high parity increases a mother's familiarity with vaccines, it simultaneously increases her domestic and childcare workload. Mothers managing large families often experience severe time constraints, leading to complacency. Consequently, they may inadvertently delay or skip multi-dose schedules for their youngest infants, prioritizing immediate economic survival over preventive clinical visits.</w:t>
      </w:r>
    </w:p>
    <w:p w14:paraId="0000012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Occupation, Income, and Financial Autonomy</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A mother’s occupational status and household income directly influence her financial autonomy and time flexibility, both of which are structural precursors to building vaccine confidence. Mothers engaged in high-income formal employment generally exhibit higher vaccine literacy, as their socio-economic status affords them access to premium private healthcare consultations where detailed, individualized health education is provided. Conversely, mothers engaged in demanding informal trading a predominant demographic in semi-urban areas like Ilorin East face strict time constraints that clash with the often rigid and unpredictable operating hours of public primary health centers. Even when vaccines are provided free of charge, the indirect costs of clinic attendance, such as transportation fares and lost daily wages, impose severe structural barriers. When a mother lacks financial autonomy and must depend entirely on her spouse for transport funds, her ability to confidently adhere to the immunization schedule is structurally compromised, regardless of her internal cognitive literacy (Adewumi et al., 2022).</w:t>
      </w:r>
    </w:p>
    <w:p w14:paraId="0000012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Socio-Cultural Dynamics: Marital Status, Religion, and Ethnicity</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In Sub-Saharan Africa, maternal health decisions are deeply embedded within patriarchal household structures and community religious doctrines. Marital status profoundly influences vaccine compliance; married women living in cohesive family units often exhibit higher vaccine confidence due to the presence of social and financial support systems. However, this is heavily contingent on spousal approval. Wiysonge et al. (2022), in a meta-synthesis of African vaccine hesitancy, noted that a mother's independent vaccine literacy is frequently overridden by the socio-cultural authority of a dissenting husband or older extended family members who may favor traditional ethno-medical treatments over modern preventive medicine.</w:t>
      </w:r>
    </w:p>
    <w:p w14:paraId="0000013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Furthermore, religion and ethnicity are potent modulators of institutional trust. In Nigeria, qualitative research by Oleribe et al. (2021) highlighted that religious fatalism the belief that disease and survival are exclusively dictated by divine will—significantly depresses vaccine confidence. Additionally, historical mistrust among certain ethnic or regional enclaves regarding the motives of Western pharmaceutical interventions can create community-wide barriers to literacy. When community leaders propagate ethnic or religious skepticism, even highly literate mothers face immense socio-cultural pressure to default from the clinic schedule to avoid social ostracization.</w:t>
      </w:r>
    </w:p>
    <w:p w14:paraId="0000013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While extensive global and national literature establishes the broad impact of socio-demographic variables on health behavior, a concise but critical gap remains in the localized application of these metrics. Many Nigerian studies rely on macroscopic demographic data that fails to capture the unique micro-environment of semi-urban primary healthcare facilities. Specifically, there is a lack of recent quantitative modeling that isolates how variables like maternal occupation and parity explicitly interact with the modern digital infodemic to shape vaccine literacy in Kwara State.</w:t>
      </w:r>
    </w:p>
    <w:p w14:paraId="0000013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Synthesizing this literature confirms that vaccine literacy and confidence are not isolated cognitive traits, but are dynamically shaped by a mother’s age, education, financial autonomy, and socio-religious environment. Recognizing these demographic influencers fulfills the mandate of Objective Four. By systematically evaluating how these specific socio-demographic factors dictate the literacy and confidence levels of mothers attending the Kulende Basic Health Centre, this study will enable public health nurses in Ilorin to move beyond generalized health talks. It provides the empirical foundation necessary to design highly targeted, demographically sensitive clinical interventions that address the exact structural and cultural vulnerabilities of the most at-risk caregivers.</w:t>
      </w:r>
    </w:p>
    <w:p w14:paraId="00000133">
      <w:pPr>
        <w:spacing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2.2 Theoretical Review</w:t>
      </w:r>
    </w:p>
    <w:p w14:paraId="00000134">
      <w:pPr>
        <w:spacing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 2.2.1 Origin and Development of the Health Belief Model (HBM)</w:t>
      </w:r>
    </w:p>
    <w:p w14:paraId="00000135">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Health Belief Model (HBM) is a widely used conceptual framework in nursing and public health research for predicting and explaining preventive health behaviors. The model was originally developed in the 1950s by social psychologists Hochbaum, Rosenstock, and Kegeles at the United States Public Health Service to understand why people failed to participate in free, community-based tuberculosis screening programs . The model proposes that an individual’s willingness to take a preventive health action is based on their personal perceptions of a health threat balanced against the perceived benefits of the recommended medical action. In 1988, Becker and colleagues updated the framework by adding the construct of self-efficacy, adapted from Bandura’s social cognitive theory, to better account for complex, long-term health schedules such as childhood routine immunization (Vaughan et al., 2021).</w:t>
      </w:r>
    </w:p>
    <w:p w14:paraId="00000136">
      <w:pPr>
        <w:spacing w:line="360" w:lineRule="auto"/>
        <w:rPr>
          <w:rFonts w:ascii="Times New Roman" w:hAnsi="Times New Roman" w:eastAsia="Times New Roman" w:cs="Times New Roman"/>
          <w:b/>
          <w:bCs/>
          <w:sz w:val="24"/>
          <w:szCs w:val="24"/>
        </w:rPr>
      </w:pPr>
      <w:r>
        <w:br w:type="page"/>
      </w:r>
    </w:p>
    <w:p w14:paraId="00000137">
      <w:pPr>
        <w:spacing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2.2.2 Core Constructs of the Health Belief Model</w:t>
      </w:r>
    </w:p>
    <w:p w14:paraId="00000138">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Health Belief Model states that a mother’s decision to accept vaccines for her child depends on an internal evaluation of six standard psychological constructs:</w:t>
      </w:r>
    </w:p>
    <w:p w14:paraId="00000139">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 I. Perceived Susceptibility</w:t>
      </w:r>
    </w:p>
    <w:p w14:paraId="0000013A">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This refers to a mother’s subjective assessment of her child’s risk of contracting a specific vaccine-preventable disease. In this study, it represents how vulnerable a mother believes her infant is to conditions like measles, yellow fever, or pertussis if the child misses scheduled clinic appointments. When a mother perceives that the risk of infection is real, she is more likely to adhere to the immunization timeline.</w:t>
      </w:r>
    </w:p>
    <w:p w14:paraId="0000013B">
      <w:pPr>
        <w:spacing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II. Perceived Severity</w:t>
      </w:r>
    </w:p>
    <w:p w14:paraId="0000013C">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This represents the mother's perception of the seriousness and clinical consequences of a disease if contracted by her child. This includes her understanding of severe complications, such as permanent disability, hospitalization costs, or infant mortality. A mother who understands that measles can lead to blindness or severe pneumonia will have a higher motivation to seek preventive care at the health center.</w:t>
      </w:r>
    </w:p>
    <w:p w14:paraId="0000013D">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 III. Perceived Benefits</w:t>
      </w:r>
    </w:p>
    <w:p w14:paraId="0000013E">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This describes the mother's belief in the clinical effectiveness and safety of routine vaccines in protecting her child from dangerous infectious illnesses. For mothers attending a primary clinic, this construct reflects their underlying confidence that the antigens provided by the nurses are potent, safe, and necessary for the child’s survival.</w:t>
      </w:r>
    </w:p>
    <w:p w14:paraId="0000013F">
      <w:pPr>
        <w:spacing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 IV. Perceived Barriers</w:t>
      </w:r>
    </w:p>
    <w:p w14:paraId="00000140">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These are the perceived physical, logistical, or psychological obstacles a mother faces when trying to access immunization services. While routine vaccines are provided free of charge in public primary facilities in Kwara State, common barriers include fear of post-vaccination fever, anxiety over injection pain, long clinic waiting times, and negative community rumors regarding vaccine safety.</w:t>
      </w:r>
    </w:p>
    <w:p w14:paraId="00000141">
      <w:pPr>
        <w:spacing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 V. Cues to Action</w:t>
      </w:r>
    </w:p>
    <w:p w14:paraId="00000142">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These are internal triggers or external reminders that prompt a mother to take health action and attend her clinic appointments. External cues to action include the next return dates handwritten by public health nurses on the child’s immunization card, interactive health talks given in the clinic waiting area, or radio broadcasts about local immunization campaigns.</w:t>
      </w:r>
    </w:p>
    <w:p w14:paraId="00000143">
      <w:pPr>
        <w:spacing w:line="360" w:lineRule="auto"/>
        <w:jc w:val="both"/>
        <w:rPr>
          <w:rFonts w:ascii="Times New Roman" w:hAnsi="Times New Roman" w:eastAsia="Times New Roman" w:cs="Times New Roman"/>
          <w:sz w:val="24"/>
          <w:szCs w:val="24"/>
        </w:rPr>
      </w:pPr>
    </w:p>
    <w:p w14:paraId="00000144">
      <w:pPr>
        <w:spacing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VI. Self-Efficacy</w:t>
      </w:r>
    </w:p>
    <w:p w14:paraId="00000145">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This refers to the mother's intrinsic confidence in her own capability to successfully perform the health behavior required to keep her child safe. In routine immunization, self-efficacy measures a mother's confidence to correctly track appointment dates, navigate the clinic environment, communicate effectively with nursing staff, and manage minor post-vaccination reactions like mild fever at home.</w:t>
      </w:r>
    </w:p>
    <w:p w14:paraId="00000146">
      <w:pPr>
        <w:spacing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 2.2.3 Justification and Application of the HBM to the Study</w:t>
      </w:r>
    </w:p>
    <w:p w14:paraId="00000147">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Health Belief Model is the most appropriate theoretical framework for this study because it directly addresses how maternal perceptions and information processing influence routine immunization completion at the primary care level. In many semi-urban settings like Kulende, mothers do not default from immunization schedules because of physical supply shortages; rather, they default due to demand-side behavioral barriers, cognitive misunderstandings, and community fears. The HBM provides an excellent diagnostic tool for nurses to examine how these psychological factors interact to dictate maternal clinic attendance.</w:t>
      </w:r>
    </w:p>
    <w:p w14:paraId="00000148">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In the explicit application of this theory, vaccine literacy functions as a key modifying variable that directly shapes the accuracy of a mother’s individual health perceptions. A mother attending the Kulende Basic Health Centre with adequate vaccine literacy can accurately read her child's health card and understand clinical instructions, which directly strengthens her cues to action and improves her self-efficacy.</w:t>
      </w:r>
    </w:p>
    <w:p w14:paraId="00000149">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Furthermore, having sufficient vaccine literacy helps a mother understand that mild post-injection side effects are normal immune responses rather than signs of medical error, effectively lowering her perceived barriers. By keeping her perception of barriers low and her understanding of vaccine benefits high, her underlying vaccine confidence is protected. This cognitive balance significantly increases the likelihood that she will adhere to the full multi-dose schedule, preventing routine drop-outs and improving child health outcomes within the community.</w:t>
      </w:r>
    </w:p>
    <w:p w14:paraId="0000014A">
      <w:pPr>
        <w:pStyle w:val="4"/>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2.3 Empirical Review</w:t>
      </w:r>
    </w:p>
    <w:p w14:paraId="0000014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In a descriptive cross-sectional study carried out by Eniade et al. (2022) assessing the level of functional health literacy and maternal comprehension of child immunization schedules at the primary care level. The study results revealed notable deficits among maternal caregivers who participated in routine infant clinics. These findings included suboptimal levels of functional vaccine literacy, ongoing difficulties interpreting return dates on health cards, and a high reliance on verbal instructions due to an inability to comprehend technical clinical terms (Eniade et al., 2022). Similarly, in a quantitative cross-sectional survey by Jimoh et al. (2023) which investigated health literacy mapping and preventive health behavior patterns among caregivers attending urban primary health centers in Kwara State. The findings revealed that a substantial proportion of mothers fell into the marginal or limited literacy categories, with a significant relationship established between low maternal formal schooling and poor comprehension scores during morning health talks. This study emphasizes the value of targeted communication in enhancing maternal health outcomes and highlights the need for personalized approaches addressing language barriers and comprehensive educational support for caregivers with diverse academic backgrounds in order to enhance routine clinic compliance.</w:t>
      </w:r>
    </w:p>
    <w:p w14:paraId="0000014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In a systematic review by Oduwole et al. (2021) on current trends in vaccine hesitancy in Africa and the overview of communication gaps, their findings highlighted that while initial vaccine registration remains high at birth, maternal confidence drops during later infant appointments due to anxieties regarding adverse events following immunization. This highlights the need for frontline public health nurses to provide clear, accessible information regarding routine post-vaccination reactions to prevent clinic drop-outs.</w:t>
      </w:r>
    </w:p>
    <w:p w14:paraId="0000014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Furthermore, a quantitative cross-sectional survey by Adeyanju et al. (2026) evaluated public trust in vaccine regulatory authorities and overall maternal vaccine confidence indicators among caregivers in urban Nigeria. The findings of the study concluded that while a majority of caregivers expressed initial trust in vaccine benefits, over one-third reported underlying fears regarding product safety, manufacturing origins, and potential defects, which contributed to delayed attendance for late-infancy antigens. This highlights the utilization of targeted counseling during infant welfare clinics to address specific maternal safety doubts and protect overall trust in the primary care delivery system.</w:t>
      </w:r>
    </w:p>
    <w:p w14:paraId="0000014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This is further corroborated by a descriptive study by Suleiman et al. (2022) which investigated the determinants of routine immunization default and missed opportunities among infants attending primary healthcare facilities in Ilorin, Kwara State. The findings revealed that maternal attendance patterns were heavily linked to community networks and traditional family structures, showing that a caregiver's ability to attend scheduled appointments was frequently dependent on receiving financial support or verbal permission from spouses and older extended relatives (Suleiman et al., 2022).</w:t>
      </w:r>
    </w:p>
    <w:p w14:paraId="0000014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Additionally, a quantitative cross-sectional study by Balogun et al. (2023) assessed social media exposure, misinformation, and maternal health-seeking behaviors among women attending public primary health facilities in urban Nigeria. The study results support the need for improved digital risk communication, revealing a significant statistical association between frequent exposure to unverified peer-to-peer WhatsApp broadcasts and a drop in maternal vaccine confidence, as low-literacy caregivers regularly accepted safety rumors as factual warnings.</w:t>
      </w:r>
    </w:p>
    <w:p w14:paraId="0000015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In another descriptive study by Musa et al. (2024) which evaluated institutional bottlenecks and nurse-patient communication indicators during routine infant clinic services in Ilorin. The results demonstrated that operational facility-level constraints, including long clinical waiting times, crowded seating environments, and brief interactions with overworked staff, create communication gaps that leave maternal anxieties unresolved. This highlights the importance of using supportive, patient-centered clinic setups and structured therapeutic communication to shield mothers from anti-vaccine misinformation within their neighborhoods.</w:t>
      </w:r>
    </w:p>
    <w:p w14:paraId="0000015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In a quantitative descriptive study carried out by Akande et al. (2023) on cognitive determinants of maternal healthcare utilization and routine immunization adherence in primary health tier facilities. The findings revealed a significant positive statistical correlation between maternal literacy scores and overall vaccine acceptance indicators (r = 0.54, p &lt; 0.01). This study underscores that mothers who could easily read and understand their infant tracking cards were significantly better at managing minor post-vaccination side effects at home, preventing the fear and anxiety that often cause low-literacy caregivers to default from future visits.</w:t>
      </w:r>
    </w:p>
    <w:p w14:paraId="00000152">
      <w:pPr>
        <w:shd w:val="clear" w:fill="FFFFFF"/>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Supporting this, a quantitative survey by Bello and Yusuf (2025) employed regression analysis with 380 maternal caregivers across North-Central Nigeria and reported that specific vaccine literacy serves as a significant statistical predictor of overall vaccine confidence (b</w:t>
      </w:r>
      <w:r>
        <w:rPr>
          <w:rFonts w:ascii="Times New Roman" w:hAnsi="Times New Roman" w:eastAsia="Times New Roman" w:cs="Times New Roman"/>
          <w:b/>
          <w:bCs/>
          <w:color w:val="0A0A0A"/>
          <w:sz w:val="24"/>
          <w:szCs w:val="24"/>
          <w:highlight w:val="white"/>
        </w:rPr>
        <w:drawing>
          <wp:inline distT="0" distB="0" distL="114300" distR="114300">
            <wp:extent cx="9525" cy="9525"/>
            <wp:effectExtent l="0" t="0" r="0" b="0"/>
            <wp:docPr id="1" name="image1.png" descr="IMG_256"/>
            <wp:cNvGraphicFramePr/>
            <a:graphic xmlns:a="http://schemas.openxmlformats.org/drawingml/2006/main">
              <a:graphicData uri="http://schemas.openxmlformats.org/drawingml/2006/picture">
                <pic:pic xmlns:pic="http://schemas.openxmlformats.org/drawingml/2006/picture">
                  <pic:nvPicPr>
                    <pic:cNvPr id="1" name="image1.png" descr="IMG_256"/>
                    <pic:cNvPicPr preferRelativeResize="0"/>
                  </pic:nvPicPr>
                  <pic:blipFill>
                    <a:blip r:embed="rId10"/>
                    <a:srcRect/>
                    <a:stretch>
                      <a:fillRect/>
                    </a:stretch>
                  </pic:blipFill>
                  <pic:spPr>
                    <a:xfrm>
                      <a:off x="0" y="0"/>
                      <a:ext cx="9525" cy="9525"/>
                    </a:xfrm>
                    <a:prstGeom prst="rect">
                      <a:avLst/>
                    </a:prstGeom>
                  </pic:spPr>
                </pic:pic>
              </a:graphicData>
            </a:graphic>
          </wp:inline>
        </w:drawing>
      </w:r>
      <w:r>
        <w:rPr>
          <w:rFonts w:ascii="Times New Roman" w:hAnsi="Times New Roman" w:eastAsia="Times New Roman" w:cs="Times New Roman"/>
          <w:sz w:val="24"/>
          <w:szCs w:val="24"/>
          <w:rtl w:val="0"/>
        </w:rPr>
        <w:t xml:space="preserve"> = 0.42, p &lt; 0.001). The findings suggest that adequate vaccine literacy acts as a cognitive buffer for caregivers, illustrating that mothers who understand the basic biological purpose of immunization are less likely to skip appointments when exposed to community rumors or digital misinformation.</w:t>
      </w:r>
    </w:p>
    <w:p w14:paraId="0000015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Conclusively, in a systematic review by Kanyerd et al. (2023) evaluating upstream determinants of routine childhood immunization in Nigeria from a behavioral insights perspective. The review reported that demand-side educational interventions and nurse-led patient instructions significantly improved vaccine acceptance indices among mothers. The effective communication methods described in the reviewed articles that led to an improvement in routine compliance were individual risk counseling, the utilization of local language translations during health talks, and structured default tracking via home visits. As the findings showed, implementation of participatory and clear health education methods during the clinical interaction improved maternal understanding and clinic adherence. Therefore, using such methods, primary healthcare nurses can improve the vaccine literacy and long-term vaccine confidence of mothers within local communities.</w:t>
      </w:r>
    </w:p>
    <w:p w14:paraId="00000154">
      <w:pPr>
        <w:spacing w:line="360" w:lineRule="auto"/>
        <w:rPr>
          <w:rFonts w:ascii="Times New Roman" w:hAnsi="Times New Roman" w:eastAsia="Times New Roman" w:cs="Times New Roman"/>
          <w:b/>
          <w:bCs/>
          <w:sz w:val="24"/>
          <w:szCs w:val="24"/>
        </w:rPr>
      </w:pPr>
      <w:r>
        <w:br w:type="page"/>
      </w:r>
    </w:p>
    <w:p w14:paraId="00000155">
      <w:pPr>
        <w:pStyle w:val="3"/>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CHAPTER THREE</w:t>
      </w:r>
    </w:p>
    <w:p w14:paraId="00000156">
      <w:pPr>
        <w:pStyle w:val="3"/>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RESEARCH METHODOLOGY</w:t>
      </w:r>
    </w:p>
    <w:p w14:paraId="00000157">
      <w:pPr>
        <w:pStyle w:val="4"/>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3.0 Introduction</w:t>
      </w:r>
    </w:p>
    <w:p w14:paraId="00000158">
      <w:pPr>
        <w:pStyle w:val="4"/>
        <w:spacing w:line="360" w:lineRule="auto"/>
        <w:jc w:val="both"/>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tl w:val="0"/>
        </w:rPr>
        <w:t>This chapter outlines the methodological framework for the study. It specifically details the research design, research setting, target population, sample size determination, sampling technique, instrumentation, methods of data collection and analysis, and ethical considerations.</w:t>
      </w:r>
    </w:p>
    <w:p w14:paraId="00000159">
      <w:pPr>
        <w:pStyle w:val="4"/>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3.1 Research Design</w:t>
      </w:r>
    </w:p>
    <w:p w14:paraId="0000015A">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This study adopted a quantitative, descriptive cross-sectional research design (Gamage, 2025). This non-experimental approach is selected because it allows for the simultaneous collection of numerical data on maternal vaccine literacy and vaccine confidence at a single point in time. Consequently, this design effectively measures the distribution of these variables and identifies statistical associations between them without manipulating the clinical environment or inferring absolute causality.</w:t>
      </w:r>
    </w:p>
    <w:p w14:paraId="0000015B">
      <w:pPr>
        <w:pStyle w:val="4"/>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3.2 Research Setting</w:t>
      </w:r>
    </w:p>
    <w:p w14:paraId="0000015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study was conducted at the infant welfare and immunization clinic within the Kulende Basic Health Centre, located in Akabi 5 the Ilorin west Local Government Area of Kwara State, Nigeria.</w:t>
      </w:r>
    </w:p>
    <w:p w14:paraId="0000015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Kulende Basic Health Centre operate 24hours a day, 7days a week, and offers various medical services including: antenatal care, postnatal assessments, pediatric services, family medicine, and childhood routine immunization clinics.</w:t>
      </w:r>
    </w:p>
    <w:p w14:paraId="0000015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infant immunization clinic operates on designated weekdays, during which public health nurses and Community health workers administer infant antigens under the National Immunization Schedule, including BCG, Pentavalent, Oral Polio, Pneumococcal Conjugate, and Measles vaccines.</w:t>
      </w:r>
    </w:p>
    <w:p w14:paraId="0000015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The health center features a dedicated cold-chain room equipped with functional solar-powered direct-drive refrigerators to preserve vaccine potency, an open-air waiting area where morning health talks are conducted, and a specialized injection and documentation room. </w:t>
      </w:r>
    </w:p>
    <w:p w14:paraId="00000160">
      <w:pPr>
        <w:pStyle w:val="4"/>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3.3 Target Population</w:t>
      </w:r>
    </w:p>
    <w:p w14:paraId="00000161">
      <w:pPr>
        <w:pStyle w:val="4"/>
        <w:spacing w:line="360" w:lineRule="auto"/>
        <w:jc w:val="both"/>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tl w:val="0"/>
        </w:rPr>
        <w:t>The target population for this study comprise all mothers attending the routine infant immunization clinic for children aged 0 to 24 months at the Kulende Basic Health Centre, with an estimated total population of 80 mothers.</w:t>
      </w:r>
    </w:p>
    <w:p w14:paraId="00000162">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Inclusion Criteria</w:t>
      </w:r>
      <w:r>
        <w:rPr>
          <w:rFonts w:ascii="Times New Roman" w:hAnsi="Times New Roman" w:eastAsia="Times New Roman" w:cs="Times New Roman"/>
          <w:sz w:val="24"/>
          <w:szCs w:val="24"/>
          <w:rtl w:val="0"/>
        </w:rPr>
        <w:t>: The participants were mothers attending routine infant immunization clinic in Kulende Health Center that are willing to participate in the study after obtaining consent.</w:t>
      </w:r>
    </w:p>
    <w:p w14:paraId="00000163">
      <w:pPr>
        <w:spacing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3.4 Sample Size   </w:t>
      </w:r>
    </w:p>
    <w:p w14:paraId="00000164">
      <w:pPr>
        <w:spacing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sz w:val="24"/>
          <w:szCs w:val="24"/>
          <w:rtl w:val="0"/>
        </w:rPr>
        <w:t>To determined using the Taro Yamane formula (1967), applying a standard 95% confidence level and a 5% margin of error (e = 0.05) to the target population.</w:t>
      </w:r>
    </w:p>
    <w:p w14:paraId="0000016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formula is expressed mathematically as follows</w:t>
      </w:r>
    </w:p>
    <w:p w14:paraId="00000166">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 = N/1+N (e)²  Where;</w:t>
      </w:r>
    </w:p>
    <w:p w14:paraId="00000167">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 Sample size</w:t>
      </w:r>
    </w:p>
    <w:p w14:paraId="00000168">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 Population size</w:t>
      </w:r>
    </w:p>
    <w:p w14:paraId="00000169">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e - The acceptable sampling error which is 0.05 </w:t>
      </w:r>
    </w:p>
    <w:p w14:paraId="0000016A">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 = 80/1+80 (0.05)²</w:t>
      </w:r>
    </w:p>
    <w:p w14:paraId="0000016B">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 = 80/1+80(0.0025)</w:t>
      </w:r>
    </w:p>
    <w:p w14:paraId="0000016C">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 = 80/1+ 0.2 = 80/1.2</w:t>
      </w:r>
    </w:p>
    <w:p w14:paraId="0000016D">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 = 66.67</w:t>
      </w:r>
    </w:p>
    <w:p w14:paraId="0000016E">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 ≈ 67</w:t>
      </w:r>
    </w:p>
    <w:p w14:paraId="0000016F">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attrition rate of 10% of the total sampling will be calculated thus:</w:t>
      </w:r>
    </w:p>
    <w:p w14:paraId="00000170">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10/100×67= 6.7 approximately to 7</w:t>
      </w:r>
    </w:p>
    <w:p w14:paraId="00000171">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 = 67 + 7 = 74</w:t>
      </w:r>
    </w:p>
    <w:p w14:paraId="00000172">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Therefore, the final calculated sample size for this study was 74 mothers.</w:t>
      </w:r>
    </w:p>
    <w:p w14:paraId="00000173">
      <w:pPr>
        <w:pStyle w:val="4"/>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3.5 Sampling Technique</w:t>
      </w:r>
    </w:p>
    <w:p w14:paraId="0000017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 convenience sampling technique was adopted to select respondents for this study. Given that the calculated sample size (74 mothers) constitutes the vast majority of the estimated target population (80 mothers).</w:t>
      </w:r>
    </w:p>
    <w:p w14:paraId="0000017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3.6 Instrument for Data Collection</w:t>
      </w:r>
    </w:p>
    <w:p w14:paraId="0000017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instrument for data collection in this study is a structured, self-administered questionnaire designed to gather quantitative data from the respondents. The questionnaire was developed by adapting validated scales to suit the local context and is divided into five distinct sections:</w:t>
      </w:r>
    </w:p>
    <w:p w14:paraId="0000017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Section A: Socio-Demographic Profile</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This section collects the baseline characteristics of the respondents. It contains seven items tracking maternal age, highest educational level, marital status, occupational status, parity, religion, and the current age of the infant.</w:t>
      </w:r>
    </w:p>
    <w:p w14:paraId="0000017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Section B: Functional Vaccine Literacy</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This section assesses the mothers' ability to read and understand basic immunization information, such as clinic posters and drug dosages. It consists of six items measured on a 4-point Likert scale ranging from 4 (Very Easy) to 1 (Very Difficult).</w:t>
      </w:r>
    </w:p>
    <w:p w14:paraId="0000017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Section C: Interactive &amp; Critical Vaccine Literacy.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This section evaluates the mothers' communication skills with healthcare providers and their ability to critically filter health information and community rumors. It contains six items measured on a 4-point Likert scale ranging from 4 (Very Easy) to 1 (Very Difficult).</w:t>
      </w:r>
    </w:p>
    <w:p w14:paraId="0000017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 Section D: Maternal Vaccine Confidence.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This section measures the mothers' trust in vaccine safety, clinical efficacy, and the primary healthcare providers. It comprises ten statements scored on a 5-point Likert scale ranging from 5 (Strongly Agree) to 1 (Strongly Disagree).</w:t>
      </w:r>
    </w:p>
    <w:p w14:paraId="0000017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Section E: Socio-Demographic Impacts on Literacy and Confidence.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This final section addresses how specific demographic realities influence the respondents' choices. It consists of five multiple-choice questions exploring how factors such as formal education, daily work schedules, religious beliefs, and spousal dynamics directly impact their understanding of and confidence in infant immunization.</w:t>
      </w:r>
    </w:p>
    <w:p w14:paraId="0000017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3.7 Psychometric Properties of the Instrument</w:t>
      </w:r>
    </w:p>
    <w:p w14:paraId="0000017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3.7.1 Validity of the Instrument</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w:t>
      </w:r>
    </w:p>
    <w:p w14:paraId="0000017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Face and content validity of the instrument was established by the research supervisor and nursing research experts. The instrument was critically evaluated to ensure structural clarity, technical relevance, and cultural appropriateness for a primary care setting. All ambiguous or poorly framed items flagged during this expert review were systematically revised and corrected prior to the final administration of the questionnaire.</w:t>
      </w:r>
    </w:p>
    <w:p w14:paraId="0000017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3.7.2 Reliability of the Instrument</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 To establish the internal consistency of the instrument, a reliability study was conducted among 8 nursing mothers (representing approximately 10% of the calculated sample size) attending the Alanamu Primary Health Centre. This facility was selected for the pilot study because its attendees possess homogeneous socio-demographic characteristics to the target population at Kulende, which prevents sample contamination. The collected pilot data will be analyzed using the Cronbach’s Alpha reliability test. An internal consistency coefficient of 0.70 or higher will be established as the acceptable statistical threshold to deem the instrument reliable for the main study.</w:t>
      </w:r>
    </w:p>
    <w:p w14:paraId="00000180">
      <w:pPr>
        <w:pStyle w:val="4"/>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3.8 Method of Data Collection</w:t>
      </w:r>
    </w:p>
    <w:p w14:paraId="00000181">
      <w:pPr>
        <w:spacing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Data collection was done  through the physical distribution of structured, self-administered questionnaires to the respondents at the Kulende Basic Health Centre during routine immunization clinic days.  This data gathering process will be carried out consistently over a designated period of two weeks.</w:t>
      </w:r>
    </w:p>
    <w:p w14:paraId="0000018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3.9 Method of Data Analysis</w:t>
      </w:r>
    </w:p>
    <w:p w14:paraId="0000018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Data was sorted, coded, and analyzed using IBM-SPSS version 29.0. Descriptive statistics (frequencies, percentages, means, and standard deviations) was used to summarize respondents' socio-demographic profiles and baseline levels of vaccine literacy and confidence. To test the formulated null hypotheses, Multiple Linear Regression was use to evaluate the statistical influence of vaccine literacy on vaccine confidence, while the Chi-square test was used to determine the relationship between socio-demographic factors and these variables. All tests was  evaluated at a 0.05 level of significance.</w:t>
      </w:r>
    </w:p>
    <w:p w14:paraId="0000018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3.10 Ethical Considerations</w:t>
      </w:r>
    </w:p>
    <w:p w14:paraId="0000018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Ethical clearance was  obtained from the appropriate institutional review board, and permission secured from the Kulende Basic Health Centre. Prior to data collection, written informed consent was obtained from all participants, ensuring their involvement is entirely voluntary. Furthermore, privacy and confidentiality was  strictly maintained.</w:t>
      </w:r>
    </w:p>
    <w:p w14:paraId="0000018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18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18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189">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CHAPTER FOUR</w:t>
      </w:r>
      <w:r>
        <w:rPr>
          <w:rFonts w:ascii="Times New Roman" w:hAnsi="Times New Roman" w:eastAsia="Times New Roman" w:cs="Times New Roman"/>
          <w:b/>
          <w:bCs/>
          <w:sz w:val="24"/>
          <w:szCs w:val="24"/>
          <w:rtl w:val="0"/>
        </w:rPr>
        <w:br w:type="textWrapping"/>
      </w:r>
      <w:r>
        <w:rPr>
          <w:rFonts w:ascii="Times New Roman" w:hAnsi="Times New Roman" w:eastAsia="Times New Roman" w:cs="Times New Roman"/>
          <w:b/>
          <w:bCs/>
          <w:sz w:val="24"/>
          <w:szCs w:val="24"/>
          <w:rtl w:val="0"/>
        </w:rPr>
        <w:t>DATA ANALYSIS AND INTERPRETATION OF RESULTS</w:t>
      </w:r>
    </w:p>
    <w:p w14:paraId="0000018A">
      <w:pPr>
        <w:spacing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4.0 Introduction</w:t>
      </w:r>
    </w:p>
    <w:p w14:paraId="0000018B">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This chapter presents the analysis and interpretation of data generated in the course of data collection. The chapter is presented in three parts which are analysis of participants' socio-demographic characteristics, followed by the answering of research questions, while the last part presents the statistical analysis of the research objectives and hypotheses. Out of 74 questionnaires administered, 73 were correctly filled and retrieved, giving a response rate of 98.6%.</w:t>
      </w:r>
    </w:p>
    <w:p w14:paraId="117E8AFF">
      <w:pPr>
        <w:spacing w:line="360" w:lineRule="auto"/>
        <w:rPr>
          <w:rFonts w:ascii="Times New Roman" w:hAnsi="Times New Roman" w:eastAsia="Times New Roman" w:cs="Times New Roman"/>
          <w:b/>
          <w:bCs/>
          <w:sz w:val="24"/>
          <w:szCs w:val="24"/>
          <w:rtl w:val="0"/>
        </w:rPr>
      </w:pPr>
    </w:p>
    <w:p w14:paraId="14ABD889">
      <w:pPr>
        <w:spacing w:line="360" w:lineRule="auto"/>
        <w:rPr>
          <w:rFonts w:ascii="Times New Roman" w:hAnsi="Times New Roman" w:eastAsia="Times New Roman" w:cs="Times New Roman"/>
          <w:b/>
          <w:bCs/>
          <w:sz w:val="24"/>
          <w:szCs w:val="24"/>
          <w:rtl w:val="0"/>
        </w:rPr>
      </w:pPr>
    </w:p>
    <w:p w14:paraId="0000018C">
      <w:pPr>
        <w:spacing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Table 4.1 Socio-Demographic Characteristics of Respondents (N = 73)</w:t>
      </w:r>
    </w:p>
    <w:tbl>
      <w:tblPr>
        <w:tblStyle w:val="13"/>
        <w:tblW w:w="8640"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880"/>
        <w:gridCol w:w="2880"/>
        <w:gridCol w:w="2880"/>
      </w:tblGrid>
      <w:tr w14:paraId="07DA9F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8D">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Variable</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8E">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Frequency</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8F">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Percentage (%)</w:t>
            </w:r>
          </w:p>
        </w:tc>
      </w:tr>
      <w:tr w14:paraId="052C4B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90">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Age (years)</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91">
            <w:pPr>
              <w:widowControl w:val="0"/>
              <w:spacing w:after="0" w:line="360" w:lineRule="auto"/>
              <w:jc w:val="both"/>
              <w:rPr>
                <w:rFonts w:ascii="Times New Roman" w:hAnsi="Times New Roman" w:eastAsia="Times New Roman" w:cs="Times New Roman"/>
                <w:sz w:val="24"/>
                <w:szCs w:val="24"/>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92">
            <w:pPr>
              <w:widowControl w:val="0"/>
              <w:spacing w:after="0" w:line="360" w:lineRule="auto"/>
              <w:jc w:val="both"/>
              <w:rPr>
                <w:rFonts w:ascii="Times New Roman" w:hAnsi="Times New Roman" w:eastAsia="Times New Roman" w:cs="Times New Roman"/>
                <w:sz w:val="24"/>
                <w:szCs w:val="24"/>
              </w:rPr>
            </w:pPr>
          </w:p>
        </w:tc>
      </w:tr>
      <w:tr w14:paraId="2917D4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93">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Under 20 years</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94">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95">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w:t>
            </w:r>
          </w:p>
        </w:tc>
      </w:tr>
      <w:tr w14:paraId="1C6482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96">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20 - 29 years</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97">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58</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98">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79.5%</w:t>
            </w:r>
          </w:p>
        </w:tc>
      </w:tr>
      <w:tr w14:paraId="4D7610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99">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30 - 39 years</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9A">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15</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9B">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20.5%</w:t>
            </w:r>
          </w:p>
        </w:tc>
      </w:tr>
      <w:tr w14:paraId="3C5ABF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9C">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40 years and above</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9D">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9E">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w:t>
            </w:r>
          </w:p>
        </w:tc>
      </w:tr>
      <w:tr w14:paraId="1E8458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9F">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Highest Education Level</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A0">
            <w:pPr>
              <w:widowControl w:val="0"/>
              <w:spacing w:after="0" w:line="360" w:lineRule="auto"/>
              <w:jc w:val="both"/>
              <w:rPr>
                <w:rFonts w:ascii="Times New Roman" w:hAnsi="Times New Roman" w:eastAsia="Times New Roman" w:cs="Times New Roman"/>
                <w:sz w:val="24"/>
                <w:szCs w:val="24"/>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A1">
            <w:pPr>
              <w:widowControl w:val="0"/>
              <w:spacing w:after="0" w:line="360" w:lineRule="auto"/>
              <w:jc w:val="both"/>
              <w:rPr>
                <w:rFonts w:ascii="Times New Roman" w:hAnsi="Times New Roman" w:eastAsia="Times New Roman" w:cs="Times New Roman"/>
                <w:sz w:val="24"/>
                <w:szCs w:val="24"/>
              </w:rPr>
            </w:pPr>
          </w:p>
        </w:tc>
      </w:tr>
      <w:tr w14:paraId="0636A8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A2">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No Formal Education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A3">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A4">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w:t>
            </w:r>
          </w:p>
        </w:tc>
      </w:tr>
      <w:tr w14:paraId="43D360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A5">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Primary Education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A6">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A7">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w:t>
            </w:r>
          </w:p>
        </w:tc>
      </w:tr>
      <w:tr w14:paraId="61C8E0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A8">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Secondary Education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A9">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52</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AA">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71.2%</w:t>
            </w:r>
          </w:p>
        </w:tc>
      </w:tr>
      <w:tr w14:paraId="5C45B4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AB">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Tertiary Education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AC">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21</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AD">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28.8%</w:t>
            </w:r>
          </w:p>
        </w:tc>
      </w:tr>
      <w:tr w14:paraId="13A564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AE">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Marital Status</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AF">
            <w:pPr>
              <w:widowControl w:val="0"/>
              <w:spacing w:after="0" w:line="360" w:lineRule="auto"/>
              <w:jc w:val="both"/>
              <w:rPr>
                <w:rFonts w:ascii="Times New Roman" w:hAnsi="Times New Roman" w:eastAsia="Times New Roman" w:cs="Times New Roman"/>
                <w:sz w:val="24"/>
                <w:szCs w:val="24"/>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B0">
            <w:pPr>
              <w:widowControl w:val="0"/>
              <w:spacing w:after="0" w:line="360" w:lineRule="auto"/>
              <w:jc w:val="both"/>
              <w:rPr>
                <w:rFonts w:ascii="Times New Roman" w:hAnsi="Times New Roman" w:eastAsia="Times New Roman" w:cs="Times New Roman"/>
                <w:sz w:val="24"/>
                <w:szCs w:val="24"/>
              </w:rPr>
            </w:pPr>
          </w:p>
        </w:tc>
      </w:tr>
      <w:tr w14:paraId="78E424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B1">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Single</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B2">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B3">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w:t>
            </w:r>
          </w:p>
        </w:tc>
      </w:tr>
      <w:tr w14:paraId="1789E9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B4">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Married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B5">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73</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B6">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100.0%</w:t>
            </w:r>
          </w:p>
        </w:tc>
      </w:tr>
      <w:tr w14:paraId="755EBD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B7">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Divorced / Separated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B8">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B9">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w:t>
            </w:r>
          </w:p>
        </w:tc>
      </w:tr>
      <w:tr w14:paraId="7C454D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BA">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Widowed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BB">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BC">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w:t>
            </w:r>
          </w:p>
        </w:tc>
      </w:tr>
      <w:tr w14:paraId="0CA088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BD">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Occupational Status</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BE">
            <w:pPr>
              <w:widowControl w:val="0"/>
              <w:spacing w:after="0" w:line="360" w:lineRule="auto"/>
              <w:jc w:val="both"/>
              <w:rPr>
                <w:rFonts w:ascii="Times New Roman" w:hAnsi="Times New Roman" w:eastAsia="Times New Roman" w:cs="Times New Roman"/>
                <w:sz w:val="24"/>
                <w:szCs w:val="24"/>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BF">
            <w:pPr>
              <w:widowControl w:val="0"/>
              <w:spacing w:after="0" w:line="360" w:lineRule="auto"/>
              <w:jc w:val="both"/>
              <w:rPr>
                <w:rFonts w:ascii="Times New Roman" w:hAnsi="Times New Roman" w:eastAsia="Times New Roman" w:cs="Times New Roman"/>
                <w:sz w:val="24"/>
                <w:szCs w:val="24"/>
              </w:rPr>
            </w:pPr>
          </w:p>
        </w:tc>
      </w:tr>
      <w:tr w14:paraId="01767B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C0">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Unemployed / Full-time Housewife</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C1">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C2">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w:t>
            </w:r>
          </w:p>
        </w:tc>
      </w:tr>
      <w:tr w14:paraId="04A6F3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C3">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Artisan / Trader / Self-employed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C4">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57</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C5">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78.1%</w:t>
            </w:r>
          </w:p>
        </w:tc>
      </w:tr>
      <w:tr w14:paraId="1A9E61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C6">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Civil / Public Servant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C7">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16</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C8">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21.9%</w:t>
            </w:r>
          </w:p>
        </w:tc>
      </w:tr>
      <w:tr w14:paraId="0D37E5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C9">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Private Sector Employee</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CA">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CB">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w:t>
            </w:r>
          </w:p>
        </w:tc>
      </w:tr>
      <w:tr w14:paraId="11ED09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CC">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Parity (Total number of children)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CD">
            <w:pPr>
              <w:widowControl w:val="0"/>
              <w:spacing w:after="0" w:line="360" w:lineRule="auto"/>
              <w:jc w:val="both"/>
              <w:rPr>
                <w:rFonts w:ascii="Times New Roman" w:hAnsi="Times New Roman" w:eastAsia="Times New Roman" w:cs="Times New Roman"/>
                <w:sz w:val="24"/>
                <w:szCs w:val="24"/>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CE">
            <w:pPr>
              <w:widowControl w:val="0"/>
              <w:spacing w:after="0" w:line="360" w:lineRule="auto"/>
              <w:jc w:val="both"/>
              <w:rPr>
                <w:rFonts w:ascii="Times New Roman" w:hAnsi="Times New Roman" w:eastAsia="Times New Roman" w:cs="Times New Roman"/>
                <w:sz w:val="24"/>
                <w:szCs w:val="24"/>
              </w:rPr>
            </w:pPr>
          </w:p>
        </w:tc>
      </w:tr>
      <w:tr w14:paraId="40C59B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CF">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 child (Primiparous)</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D0">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34</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D1">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46.6%</w:t>
            </w:r>
          </w:p>
        </w:tc>
      </w:tr>
      <w:tr w14:paraId="320C0A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D2">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2 - 4 children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D3">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35</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D4">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47.9%</w:t>
            </w:r>
          </w:p>
        </w:tc>
      </w:tr>
      <w:tr w14:paraId="72DA14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D5">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5 or more children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D6">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4</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D7">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5.5%</w:t>
            </w:r>
          </w:p>
        </w:tc>
      </w:tr>
      <w:tr w14:paraId="55D1FE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D8">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Religion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D9">
            <w:pPr>
              <w:widowControl w:val="0"/>
              <w:spacing w:after="0" w:line="360" w:lineRule="auto"/>
              <w:jc w:val="both"/>
              <w:rPr>
                <w:rFonts w:ascii="Times New Roman" w:hAnsi="Times New Roman" w:eastAsia="Times New Roman" w:cs="Times New Roman"/>
                <w:sz w:val="24"/>
                <w:szCs w:val="24"/>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DA">
            <w:pPr>
              <w:widowControl w:val="0"/>
              <w:spacing w:after="0" w:line="360" w:lineRule="auto"/>
              <w:jc w:val="both"/>
              <w:rPr>
                <w:rFonts w:ascii="Times New Roman" w:hAnsi="Times New Roman" w:eastAsia="Times New Roman" w:cs="Times New Roman"/>
                <w:sz w:val="24"/>
                <w:szCs w:val="24"/>
              </w:rPr>
            </w:pPr>
          </w:p>
        </w:tc>
      </w:tr>
      <w:tr w14:paraId="5C11DF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DB">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Christianity</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DC">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19</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DD">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26.0%</w:t>
            </w:r>
          </w:p>
        </w:tc>
      </w:tr>
      <w:tr w14:paraId="1C7D49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DE">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Islam</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DF">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54</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E0">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74.0%</w:t>
            </w:r>
          </w:p>
        </w:tc>
      </w:tr>
      <w:tr w14:paraId="31FE52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E1">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Traditional / Others</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E2">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E3">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w:t>
            </w:r>
          </w:p>
        </w:tc>
      </w:tr>
      <w:tr w14:paraId="1E1784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E4">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Current Age of your Infant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E5">
            <w:pPr>
              <w:widowControl w:val="0"/>
              <w:spacing w:after="0" w:line="360" w:lineRule="auto"/>
              <w:jc w:val="both"/>
              <w:rPr>
                <w:rFonts w:ascii="Times New Roman" w:hAnsi="Times New Roman" w:eastAsia="Times New Roman" w:cs="Times New Roman"/>
                <w:sz w:val="24"/>
                <w:szCs w:val="24"/>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E6">
            <w:pPr>
              <w:widowControl w:val="0"/>
              <w:spacing w:after="0" w:line="360" w:lineRule="auto"/>
              <w:jc w:val="both"/>
              <w:rPr>
                <w:rFonts w:ascii="Times New Roman" w:hAnsi="Times New Roman" w:eastAsia="Times New Roman" w:cs="Times New Roman"/>
                <w:sz w:val="24"/>
                <w:szCs w:val="24"/>
              </w:rPr>
            </w:pPr>
          </w:p>
        </w:tc>
      </w:tr>
      <w:tr w14:paraId="4945FD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E7">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0 - 6 months</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E8">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17</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E9">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23.3%</w:t>
            </w:r>
          </w:p>
        </w:tc>
      </w:tr>
      <w:tr w14:paraId="571108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EA">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7 - 11 months</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EB">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18</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EC">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24.7%</w:t>
            </w:r>
          </w:p>
        </w:tc>
      </w:tr>
      <w:tr w14:paraId="5C7102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ED">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12 - 18 months</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EE">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38</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EF">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52.1%</w:t>
            </w:r>
          </w:p>
        </w:tc>
      </w:tr>
      <w:tr w14:paraId="0DA90D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F0">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19 - 24 months</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F1">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F2">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w:t>
            </w:r>
          </w:p>
        </w:tc>
      </w:tr>
    </w:tbl>
    <w:p w14:paraId="000001F3">
      <w:pPr>
        <w:spacing w:line="360" w:lineRule="auto"/>
        <w:rPr>
          <w:rFonts w:ascii="Times New Roman" w:hAnsi="Times New Roman" w:eastAsia="Times New Roman" w:cs="Times New Roman"/>
          <w:sz w:val="24"/>
          <w:szCs w:val="24"/>
        </w:rPr>
      </w:pPr>
    </w:p>
    <w:p w14:paraId="000001F4">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socio-demographic data of the respondents are presented in Table 4.1. The table reveals that 58 (79.5%) were between 20 and 29 years of age, while 15 (20.5%) were aged 30 to 39 years. This distribution indicates that all respondents were strictly within the prime reproductive age range, which is highly relevant for a study focusing on maternal decisions and infant immunization. Regarding educational status, 52(71.2%) attained secondary education and 21(28.8%) had tertiary education. This implies that the respondents in the study possessed functional literacy, enabling them</w:t>
      </w:r>
    </w:p>
    <w:p w14:paraId="000001F5">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to understand health messages and clinical instructions regarding reproductive and infant health.</w:t>
      </w:r>
    </w:p>
    <w:p w14:paraId="000001F6">
      <w:pPr>
        <w:spacing w:line="360" w:lineRule="auto"/>
        <w:rPr>
          <w:rFonts w:ascii="Times New Roman" w:hAnsi="Times New Roman" w:eastAsia="Times New Roman" w:cs="Times New Roman"/>
          <w:sz w:val="24"/>
          <w:szCs w:val="24"/>
        </w:rPr>
      </w:pPr>
    </w:p>
    <w:p w14:paraId="000001F7">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The marital status distribution shows that all 73 respondents (100.0%) were married, indicating that the entire sample of respondents was in marital unions expected to have joint exposure to family health and infant care decisions. </w:t>
      </w:r>
    </w:p>
    <w:p w14:paraId="000001F8">
      <w:pPr>
        <w:spacing w:line="360" w:lineRule="auto"/>
        <w:rPr>
          <w:rFonts w:ascii="Times New Roman" w:hAnsi="Times New Roman" w:eastAsia="Times New Roman" w:cs="Times New Roman"/>
          <w:sz w:val="24"/>
          <w:szCs w:val="24"/>
        </w:rPr>
      </w:pPr>
    </w:p>
    <w:p w14:paraId="000001F9">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On occupational status, 57 (78.1%) were artisans, traders, or self-employed, while 16(21.9%) were civil or public servants, showing that all respondents were economically active.</w:t>
      </w:r>
    </w:p>
    <w:p w14:paraId="000001FA">
      <w:pPr>
        <w:spacing w:line="360" w:lineRule="auto"/>
        <w:rPr>
          <w:rFonts w:ascii="Times New Roman" w:hAnsi="Times New Roman" w:eastAsia="Times New Roman" w:cs="Times New Roman"/>
          <w:sz w:val="24"/>
          <w:szCs w:val="24"/>
        </w:rPr>
      </w:pPr>
    </w:p>
    <w:p w14:paraId="000001FB">
      <w:pPr>
        <w:spacing w:line="360" w:lineRule="auto"/>
        <w:rPr>
          <w:rFonts w:ascii="Times New Roman" w:hAnsi="Times New Roman" w:eastAsia="Times New Roman" w:cs="Times New Roman"/>
          <w:sz w:val="24"/>
          <w:szCs w:val="24"/>
        </w:rPr>
      </w:pPr>
      <w:bookmarkStart w:id="1" w:name="_dcq7kjjn5gxx" w:colFirst="0" w:colLast="0"/>
      <w:bookmarkEnd w:id="1"/>
      <w:r>
        <w:rPr>
          <w:rFonts w:ascii="Times New Roman" w:hAnsi="Times New Roman" w:eastAsia="Times New Roman" w:cs="Times New Roman"/>
          <w:sz w:val="24"/>
          <w:szCs w:val="24"/>
          <w:rtl w:val="0"/>
        </w:rPr>
        <w:t>In terms of parity, 35 respondents (47.9%) had 2 to 4 children, closely followed by 34(46.6%) who were primiparous (1 child), and 4(5.5%) had 5 or more children. Furthermore, 54(74.0%) practiced Islam, while 19(26.0%) practiced Christianity, reflecting the religious diversity among respondents in the study area at Kulende Basic Health Centre. Finally, concerning infant age, 38  (52.1%) brought by the respondents were 12 to 18 months old, 18  (24.7%) were 7 to 11 months old, and 17(23.3%) were 0 to 6 months old.</w:t>
      </w:r>
      <w:r>
        <w:br w:type="page"/>
      </w:r>
    </w:p>
    <w:p w14:paraId="000001FC">
      <w:pPr>
        <w:spacing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Answering of Research Questions</w:t>
      </w:r>
    </w:p>
    <w:p w14:paraId="000001FD">
      <w:pPr>
        <w:spacing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Research Question One</w:t>
      </w:r>
      <w:r>
        <w:rPr>
          <w:rFonts w:ascii="Times New Roman" w:hAnsi="Times New Roman" w:eastAsia="Times New Roman" w:cs="Times New Roman"/>
          <w:sz w:val="24"/>
          <w:szCs w:val="24"/>
          <w:rtl w:val="0"/>
        </w:rPr>
        <w:t>: What is the level of functional, interactive, and critical vaccine literacy among the mothers?</w:t>
      </w:r>
    </w:p>
    <w:p w14:paraId="000001FE">
      <w:pPr>
        <w:spacing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Table 4.2 Level of Vaccine Literacy</w:t>
      </w:r>
    </w:p>
    <w:tbl>
      <w:tblPr>
        <w:tblStyle w:val="14"/>
        <w:tblW w:w="8640"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728"/>
        <w:gridCol w:w="1728"/>
        <w:gridCol w:w="1728"/>
        <w:gridCol w:w="1728"/>
        <w:gridCol w:w="1728"/>
      </w:tblGrid>
      <w:tr w14:paraId="636974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FF">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ITEM</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00">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VE (4)</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01">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E (3)</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02">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D (2)</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03">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VD (1)</w:t>
            </w:r>
          </w:p>
        </w:tc>
      </w:tr>
      <w:tr w14:paraId="60CA4D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04">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 Read the return dates written on your baby's immunization card.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05">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36 (49.3%)</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06">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23 (31.5%)</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07">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10 (13.7%)</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08">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4 (5.5%)</w:t>
            </w:r>
          </w:p>
        </w:tc>
      </w:tr>
      <w:tr w14:paraId="163AE4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09">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 Understand the information on vaccine posters pasted at the clinic.</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0A">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37 (50.7%)</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0B">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25 (34.2%)</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0C">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6 (8.2%)</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0D">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5 (6.8%)</w:t>
            </w:r>
          </w:p>
        </w:tc>
      </w:tr>
      <w:tr w14:paraId="4553CF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0E">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 Understand the instructions nurses give about drug dosages (e.g., paracetamol).</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0F">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38 (52.1%)</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10">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25 (34.2%)</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11">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7 (9.6%)</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12">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 (4.1%)</w:t>
            </w:r>
          </w:p>
        </w:tc>
      </w:tr>
      <w:tr w14:paraId="4E14E5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13">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4. Read and understand pamphlets or leaflets given about your baby's vaccines.</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14">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38 (52.1%)</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15">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23 (31.5%)</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16">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11 (15.1%)</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17">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 (1.4%)</w:t>
            </w:r>
          </w:p>
        </w:tc>
      </w:tr>
      <w:tr w14:paraId="30D3DE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18">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5. Fill out routine forms or clinic registers when you take your baby for vaccines.</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19">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43 (58.9%)</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1A">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26 (35.6%)</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1B">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 (2.7%)</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1C">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 (2.7%)</w:t>
            </w:r>
          </w:p>
        </w:tc>
      </w:tr>
      <w:tr w14:paraId="0C3B87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1D">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6. Find out exactly which disease a particular vaccine (e.g., OPV, BCG) prevents.</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1E">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39 (53.4%)</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1F">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23 (31.5%)</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20">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7 (9.6%)</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21">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4 (5.5%)</w:t>
            </w:r>
          </w:p>
        </w:tc>
      </w:tr>
      <w:tr w14:paraId="7BBF14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22">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7. Ask the nurses questions if you do not understand a detail about the vaccine.</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23">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40 (54.8%)</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24">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20 (27.4%)</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25">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8 (11.0%)</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26">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5 (6.8%)</w:t>
            </w:r>
          </w:p>
        </w:tc>
      </w:tr>
      <w:tr w14:paraId="6FE1BF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27">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8. Check if the health information you see on WhatsApp or Facebook is true.</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28">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42 (57.5%)</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29">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22 (30.1%)</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2A">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6 (8.2%)</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2B">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 (4.1%)</w:t>
            </w:r>
          </w:p>
        </w:tc>
      </w:tr>
      <w:tr w14:paraId="45302D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2C">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9. Discuss any fears or worries you have about vaccine side effects with the nurses.</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2D">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35 (47.9%)</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2E">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26 (35.6%)</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2F">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8 (11.0%)</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30">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4 (5.5%)</w:t>
            </w:r>
          </w:p>
        </w:tc>
      </w:tr>
      <w:tr w14:paraId="1811AA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31">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10. Explain the real benefits of vaccines to a family member who has doubts.</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32">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35 (47.9%)</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33">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27 (37.0%)</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34">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6 (8.2%)</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35">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5 (6.8%)</w:t>
            </w:r>
          </w:p>
        </w:tc>
      </w:tr>
      <w:tr w14:paraId="49BF2E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36">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11. Identify when a community rumor about a vaccine is false or untrue.</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37">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42 (57.5%)</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38">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17 (23.3%)</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39">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11 (15.1%)</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3A">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 (4.1%)</w:t>
            </w:r>
          </w:p>
        </w:tc>
      </w:tr>
      <w:tr w14:paraId="556A1C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3B">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12. Decide to immunize your child even when people say negative comments about it.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3C">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38 (52.1%)</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3D">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20 (27.4%)</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3E">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11 (15.1%)</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3F">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4 (5.5%)</w:t>
            </w:r>
          </w:p>
        </w:tc>
      </w:tr>
    </w:tbl>
    <w:p w14:paraId="00000240">
      <w:pPr>
        <w:spacing w:line="360" w:lineRule="auto"/>
        <w:rPr>
          <w:rFonts w:ascii="Times New Roman" w:hAnsi="Times New Roman" w:eastAsia="Times New Roman" w:cs="Times New Roman"/>
          <w:sz w:val="24"/>
          <w:szCs w:val="24"/>
        </w:rPr>
      </w:pPr>
    </w:p>
    <w:p w14:paraId="3147320A">
      <w:pPr>
        <w:spacing w:line="360" w:lineRule="auto"/>
        <w:rPr>
          <w:rFonts w:ascii="Times New Roman" w:hAnsi="Times New Roman" w:eastAsia="Times New Roman" w:cs="Times New Roman"/>
          <w:b/>
          <w:bCs/>
          <w:sz w:val="24"/>
          <w:szCs w:val="24"/>
          <w:rtl w:val="0"/>
        </w:rPr>
      </w:pPr>
    </w:p>
    <w:p w14:paraId="4CE9F3B6">
      <w:pPr>
        <w:spacing w:line="360" w:lineRule="auto"/>
        <w:rPr>
          <w:rFonts w:ascii="Times New Roman" w:hAnsi="Times New Roman" w:eastAsia="Times New Roman" w:cs="Times New Roman"/>
          <w:b/>
          <w:bCs/>
          <w:sz w:val="24"/>
          <w:szCs w:val="24"/>
          <w:rtl w:val="0"/>
        </w:rPr>
      </w:pPr>
    </w:p>
    <w:p w14:paraId="4B86EDBC">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From table 4.2, it shows that regarding functional literacy, a majority 69(94.5%) found it very easy or easy to fill out routine forms or clinic registers. 63(86.3%) easily understood instructions nurses give about drug dosages, and 62(84.9%) readily understood vaccine posters. Conversely, 14(19.2%) experienced difficulty (D or VD) in reading return dates on immunization cards, and 12(16.4%) struggled with pamphlets.</w:t>
      </w:r>
    </w:p>
    <w:p w14:paraId="0A33B8C7">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Regarding interactive and critical literacy, 64(87.7%) found it very easy or easy to check if health information on social media was true. However, 15(20.5%) found it difficult to decide to immunize their child when people around them made negative comments, and 14(19.2%) found it difficult to identify when a community rumor about a vaccine was false. Additionally, 13(17.8%) found it difficult to discuss fears or worries with the nurses.</w:t>
      </w:r>
    </w:p>
    <w:p w14:paraId="75F958CF">
      <w:pPr>
        <w:spacing w:line="360" w:lineRule="auto"/>
        <w:rPr>
          <w:rFonts w:ascii="Times New Roman" w:hAnsi="Times New Roman" w:eastAsia="Times New Roman" w:cs="Times New Roman"/>
          <w:b/>
          <w:bCs/>
          <w:sz w:val="24"/>
          <w:szCs w:val="24"/>
          <w:rtl w:val="0"/>
        </w:rPr>
      </w:pPr>
    </w:p>
    <w:p w14:paraId="365DE1B2">
      <w:pPr>
        <w:spacing w:line="360" w:lineRule="auto"/>
        <w:rPr>
          <w:rFonts w:ascii="Times New Roman" w:hAnsi="Times New Roman" w:eastAsia="Times New Roman" w:cs="Times New Roman"/>
          <w:b/>
          <w:bCs/>
          <w:sz w:val="24"/>
          <w:szCs w:val="24"/>
          <w:rtl w:val="0"/>
        </w:rPr>
      </w:pPr>
    </w:p>
    <w:p w14:paraId="7AD3D298">
      <w:pPr>
        <w:spacing w:line="360" w:lineRule="auto"/>
        <w:rPr>
          <w:rFonts w:ascii="Times New Roman" w:hAnsi="Times New Roman" w:eastAsia="Times New Roman" w:cs="Times New Roman"/>
          <w:b/>
          <w:bCs/>
          <w:sz w:val="24"/>
          <w:szCs w:val="24"/>
          <w:rtl w:val="0"/>
        </w:rPr>
      </w:pPr>
    </w:p>
    <w:p w14:paraId="08AB21C3">
      <w:pPr>
        <w:spacing w:line="360" w:lineRule="auto"/>
        <w:rPr>
          <w:rFonts w:ascii="Times New Roman" w:hAnsi="Times New Roman" w:eastAsia="Times New Roman" w:cs="Times New Roman"/>
          <w:b/>
          <w:bCs/>
          <w:sz w:val="24"/>
          <w:szCs w:val="24"/>
          <w:rtl w:val="0"/>
        </w:rPr>
      </w:pPr>
    </w:p>
    <w:p w14:paraId="7C6FC5E4">
      <w:pPr>
        <w:spacing w:line="360" w:lineRule="auto"/>
        <w:rPr>
          <w:rFonts w:ascii="Times New Roman" w:hAnsi="Times New Roman" w:eastAsia="Times New Roman" w:cs="Times New Roman"/>
          <w:b/>
          <w:bCs/>
          <w:sz w:val="24"/>
          <w:szCs w:val="24"/>
          <w:rtl w:val="0"/>
        </w:rPr>
      </w:pPr>
    </w:p>
    <w:p w14:paraId="78137180">
      <w:pPr>
        <w:spacing w:line="360" w:lineRule="auto"/>
        <w:rPr>
          <w:rFonts w:ascii="Times New Roman" w:hAnsi="Times New Roman" w:eastAsia="Times New Roman" w:cs="Times New Roman"/>
          <w:b/>
          <w:bCs/>
          <w:sz w:val="24"/>
          <w:szCs w:val="24"/>
          <w:rtl w:val="0"/>
        </w:rPr>
      </w:pPr>
    </w:p>
    <w:p w14:paraId="79AA576E">
      <w:pPr>
        <w:spacing w:line="360" w:lineRule="auto"/>
        <w:rPr>
          <w:rFonts w:ascii="Times New Roman" w:hAnsi="Times New Roman" w:eastAsia="Times New Roman" w:cs="Times New Roman"/>
          <w:b/>
          <w:bCs/>
          <w:sz w:val="24"/>
          <w:szCs w:val="24"/>
          <w:rtl w:val="0"/>
        </w:rPr>
      </w:pPr>
    </w:p>
    <w:p w14:paraId="59603087">
      <w:pPr>
        <w:spacing w:line="360" w:lineRule="auto"/>
        <w:rPr>
          <w:rFonts w:ascii="Times New Roman" w:hAnsi="Times New Roman" w:eastAsia="Times New Roman" w:cs="Times New Roman"/>
          <w:b/>
          <w:bCs/>
          <w:sz w:val="24"/>
          <w:szCs w:val="24"/>
          <w:rtl w:val="0"/>
        </w:rPr>
      </w:pPr>
    </w:p>
    <w:p w14:paraId="00000241">
      <w:pPr>
        <w:spacing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Fig 4.1 Bar chart showing level of vaccine literacy of the respondents</w:t>
      </w:r>
    </w:p>
    <w:p w14:paraId="00000242">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114300" distR="114300">
            <wp:extent cx="4572000" cy="38100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11"/>
                    <a:srcRect/>
                    <a:stretch>
                      <a:fillRect/>
                    </a:stretch>
                  </pic:blipFill>
                  <pic:spPr>
                    <a:xfrm>
                      <a:off x="0" y="0"/>
                      <a:ext cx="4572000" cy="3810000"/>
                    </a:xfrm>
                    <a:prstGeom prst="rect">
                      <a:avLst/>
                    </a:prstGeom>
                  </pic:spPr>
                </pic:pic>
              </a:graphicData>
            </a:graphic>
          </wp:inline>
        </w:drawing>
      </w:r>
    </w:p>
    <w:p w14:paraId="00000245">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figure 4.1 above summarizes the total literacy scores, revealing that approximately 71(97.3%) of respondents demonstrated high overall vaccine literacy. Only about 2(2.7%) fell within the moderate literacy range, and 0(0.0%) were in the low literacy range. This indicates that while there are isolated struggles with community rumors and peer pressure, the large majority of the participants are highly informed and literate regarding their children's immunization.</w:t>
      </w:r>
    </w:p>
    <w:p w14:paraId="00000246">
      <w:pPr>
        <w:spacing w:line="360" w:lineRule="auto"/>
        <w:rPr>
          <w:rFonts w:ascii="Times New Roman" w:hAnsi="Times New Roman" w:eastAsia="Times New Roman" w:cs="Times New Roman"/>
          <w:sz w:val="24"/>
          <w:szCs w:val="24"/>
        </w:rPr>
      </w:pPr>
    </w:p>
    <w:p w14:paraId="00000247">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Research Question Two: What is the level of vaccine confidence among the mothers?</w:t>
      </w:r>
    </w:p>
    <w:p w14:paraId="58B0D42A">
      <w:pPr>
        <w:spacing w:line="360" w:lineRule="auto"/>
        <w:rPr>
          <w:rFonts w:ascii="Times New Roman" w:hAnsi="Times New Roman" w:eastAsia="Times New Roman" w:cs="Times New Roman"/>
          <w:b/>
          <w:bCs/>
          <w:sz w:val="24"/>
          <w:szCs w:val="24"/>
          <w:rtl w:val="0"/>
        </w:rPr>
      </w:pPr>
    </w:p>
    <w:p w14:paraId="5F92BAD9">
      <w:pPr>
        <w:spacing w:line="360" w:lineRule="auto"/>
        <w:rPr>
          <w:rFonts w:ascii="Times New Roman" w:hAnsi="Times New Roman" w:eastAsia="Times New Roman" w:cs="Times New Roman"/>
          <w:b/>
          <w:bCs/>
          <w:sz w:val="24"/>
          <w:szCs w:val="24"/>
          <w:rtl w:val="0"/>
        </w:rPr>
      </w:pPr>
    </w:p>
    <w:p w14:paraId="62CCF06D">
      <w:pPr>
        <w:spacing w:line="360" w:lineRule="auto"/>
        <w:rPr>
          <w:rFonts w:ascii="Times New Roman" w:hAnsi="Times New Roman" w:eastAsia="Times New Roman" w:cs="Times New Roman"/>
          <w:b/>
          <w:bCs/>
          <w:sz w:val="24"/>
          <w:szCs w:val="24"/>
          <w:rtl w:val="0"/>
        </w:rPr>
      </w:pPr>
    </w:p>
    <w:p w14:paraId="0CCB31BF">
      <w:pPr>
        <w:spacing w:line="360" w:lineRule="auto"/>
        <w:rPr>
          <w:rFonts w:ascii="Times New Roman" w:hAnsi="Times New Roman" w:eastAsia="Times New Roman" w:cs="Times New Roman"/>
          <w:b/>
          <w:bCs/>
          <w:sz w:val="24"/>
          <w:szCs w:val="24"/>
          <w:rtl w:val="0"/>
        </w:rPr>
      </w:pPr>
    </w:p>
    <w:p w14:paraId="38D22214">
      <w:pPr>
        <w:spacing w:line="360" w:lineRule="auto"/>
        <w:rPr>
          <w:rFonts w:ascii="Times New Roman" w:hAnsi="Times New Roman" w:eastAsia="Times New Roman" w:cs="Times New Roman"/>
          <w:b/>
          <w:bCs/>
          <w:sz w:val="24"/>
          <w:szCs w:val="24"/>
          <w:rtl w:val="0"/>
        </w:rPr>
      </w:pPr>
    </w:p>
    <w:p w14:paraId="266C2555">
      <w:pPr>
        <w:spacing w:line="360" w:lineRule="auto"/>
        <w:rPr>
          <w:rFonts w:ascii="Times New Roman" w:hAnsi="Times New Roman" w:eastAsia="Times New Roman" w:cs="Times New Roman"/>
          <w:b/>
          <w:bCs/>
          <w:sz w:val="24"/>
          <w:szCs w:val="24"/>
          <w:rtl w:val="0"/>
        </w:rPr>
      </w:pPr>
    </w:p>
    <w:p w14:paraId="61802441">
      <w:pPr>
        <w:spacing w:line="360" w:lineRule="auto"/>
        <w:rPr>
          <w:rFonts w:ascii="Times New Roman" w:hAnsi="Times New Roman" w:eastAsia="Times New Roman" w:cs="Times New Roman"/>
          <w:b/>
          <w:bCs/>
          <w:sz w:val="24"/>
          <w:szCs w:val="24"/>
          <w:rtl w:val="0"/>
        </w:rPr>
      </w:pPr>
    </w:p>
    <w:p w14:paraId="03D2F27C">
      <w:pPr>
        <w:spacing w:line="360" w:lineRule="auto"/>
        <w:rPr>
          <w:rFonts w:ascii="Times New Roman" w:hAnsi="Times New Roman" w:eastAsia="Times New Roman" w:cs="Times New Roman"/>
          <w:b/>
          <w:bCs/>
          <w:sz w:val="24"/>
          <w:szCs w:val="24"/>
          <w:rtl w:val="0"/>
        </w:rPr>
      </w:pPr>
    </w:p>
    <w:p w14:paraId="67A279AE">
      <w:pPr>
        <w:spacing w:line="360" w:lineRule="auto"/>
        <w:rPr>
          <w:rFonts w:ascii="Times New Roman" w:hAnsi="Times New Roman" w:eastAsia="Times New Roman" w:cs="Times New Roman"/>
          <w:b/>
          <w:bCs/>
          <w:sz w:val="24"/>
          <w:szCs w:val="24"/>
          <w:rtl w:val="0"/>
        </w:rPr>
      </w:pPr>
    </w:p>
    <w:p w14:paraId="17EC2E30">
      <w:pPr>
        <w:spacing w:line="360" w:lineRule="auto"/>
        <w:rPr>
          <w:rFonts w:ascii="Times New Roman" w:hAnsi="Times New Roman" w:eastAsia="Times New Roman" w:cs="Times New Roman"/>
          <w:b/>
          <w:bCs/>
          <w:sz w:val="24"/>
          <w:szCs w:val="24"/>
          <w:rtl w:val="0"/>
        </w:rPr>
      </w:pPr>
    </w:p>
    <w:p w14:paraId="7223CF5C">
      <w:pPr>
        <w:spacing w:line="360" w:lineRule="auto"/>
        <w:rPr>
          <w:rFonts w:ascii="Times New Roman" w:hAnsi="Times New Roman" w:eastAsia="Times New Roman" w:cs="Times New Roman"/>
          <w:b/>
          <w:bCs/>
          <w:sz w:val="24"/>
          <w:szCs w:val="24"/>
          <w:rtl w:val="0"/>
        </w:rPr>
      </w:pPr>
    </w:p>
    <w:p w14:paraId="5FFCDB8B">
      <w:pPr>
        <w:spacing w:line="360" w:lineRule="auto"/>
        <w:rPr>
          <w:rFonts w:ascii="Times New Roman" w:hAnsi="Times New Roman" w:eastAsia="Times New Roman" w:cs="Times New Roman"/>
          <w:b/>
          <w:bCs/>
          <w:sz w:val="24"/>
          <w:szCs w:val="24"/>
          <w:rtl w:val="0"/>
        </w:rPr>
      </w:pPr>
    </w:p>
    <w:p w14:paraId="21B3237D">
      <w:pPr>
        <w:spacing w:line="360" w:lineRule="auto"/>
        <w:rPr>
          <w:rFonts w:ascii="Times New Roman" w:hAnsi="Times New Roman" w:eastAsia="Times New Roman" w:cs="Times New Roman"/>
          <w:b/>
          <w:bCs/>
          <w:sz w:val="24"/>
          <w:szCs w:val="24"/>
          <w:rtl w:val="0"/>
        </w:rPr>
      </w:pPr>
    </w:p>
    <w:p w14:paraId="327530D0">
      <w:pPr>
        <w:spacing w:line="360" w:lineRule="auto"/>
        <w:rPr>
          <w:rFonts w:ascii="Times New Roman" w:hAnsi="Times New Roman" w:eastAsia="Times New Roman" w:cs="Times New Roman"/>
          <w:b/>
          <w:bCs/>
          <w:sz w:val="24"/>
          <w:szCs w:val="24"/>
          <w:rtl w:val="0"/>
        </w:rPr>
      </w:pPr>
    </w:p>
    <w:p w14:paraId="1013D11D">
      <w:pPr>
        <w:spacing w:line="360" w:lineRule="auto"/>
        <w:rPr>
          <w:rFonts w:ascii="Times New Roman" w:hAnsi="Times New Roman" w:eastAsia="Times New Roman" w:cs="Times New Roman"/>
          <w:b/>
          <w:bCs/>
          <w:sz w:val="24"/>
          <w:szCs w:val="24"/>
          <w:rtl w:val="0"/>
        </w:rPr>
      </w:pPr>
    </w:p>
    <w:p w14:paraId="6C8770F7">
      <w:pPr>
        <w:spacing w:line="360" w:lineRule="auto"/>
        <w:rPr>
          <w:rFonts w:ascii="Times New Roman" w:hAnsi="Times New Roman" w:eastAsia="Times New Roman" w:cs="Times New Roman"/>
          <w:b/>
          <w:bCs/>
          <w:sz w:val="24"/>
          <w:szCs w:val="24"/>
          <w:rtl w:val="0"/>
        </w:rPr>
      </w:pPr>
    </w:p>
    <w:p w14:paraId="05FDC800">
      <w:pPr>
        <w:spacing w:line="360" w:lineRule="auto"/>
        <w:rPr>
          <w:rFonts w:ascii="Times New Roman" w:hAnsi="Times New Roman" w:eastAsia="Times New Roman" w:cs="Times New Roman"/>
          <w:b/>
          <w:bCs/>
          <w:sz w:val="24"/>
          <w:szCs w:val="24"/>
          <w:rtl w:val="0"/>
        </w:rPr>
      </w:pPr>
    </w:p>
    <w:p w14:paraId="4EA2A3F1">
      <w:pPr>
        <w:spacing w:line="360" w:lineRule="auto"/>
        <w:rPr>
          <w:rFonts w:ascii="Times New Roman" w:hAnsi="Times New Roman" w:eastAsia="Times New Roman" w:cs="Times New Roman"/>
          <w:b/>
          <w:bCs/>
          <w:sz w:val="24"/>
          <w:szCs w:val="24"/>
          <w:rtl w:val="0"/>
        </w:rPr>
      </w:pPr>
    </w:p>
    <w:p w14:paraId="0655882D">
      <w:pPr>
        <w:spacing w:line="360" w:lineRule="auto"/>
        <w:rPr>
          <w:rFonts w:ascii="Times New Roman" w:hAnsi="Times New Roman" w:eastAsia="Times New Roman" w:cs="Times New Roman"/>
          <w:b/>
          <w:bCs/>
          <w:sz w:val="24"/>
          <w:szCs w:val="24"/>
          <w:rtl w:val="0"/>
        </w:rPr>
      </w:pPr>
    </w:p>
    <w:p w14:paraId="1D7BACD1">
      <w:pPr>
        <w:spacing w:line="360" w:lineRule="auto"/>
        <w:rPr>
          <w:rFonts w:ascii="Times New Roman" w:hAnsi="Times New Roman" w:eastAsia="Times New Roman" w:cs="Times New Roman"/>
          <w:b/>
          <w:bCs/>
          <w:sz w:val="24"/>
          <w:szCs w:val="24"/>
          <w:rtl w:val="0"/>
        </w:rPr>
      </w:pPr>
    </w:p>
    <w:p w14:paraId="6F56F96D">
      <w:pPr>
        <w:spacing w:line="360" w:lineRule="auto"/>
        <w:rPr>
          <w:rFonts w:ascii="Times New Roman" w:hAnsi="Times New Roman" w:eastAsia="Times New Roman" w:cs="Times New Roman"/>
          <w:b/>
          <w:bCs/>
          <w:sz w:val="24"/>
          <w:szCs w:val="24"/>
          <w:rtl w:val="0"/>
        </w:rPr>
      </w:pPr>
    </w:p>
    <w:p w14:paraId="41F01006">
      <w:pPr>
        <w:spacing w:line="360" w:lineRule="auto"/>
        <w:rPr>
          <w:rFonts w:ascii="Times New Roman" w:hAnsi="Times New Roman" w:eastAsia="Times New Roman" w:cs="Times New Roman"/>
          <w:b/>
          <w:bCs/>
          <w:sz w:val="24"/>
          <w:szCs w:val="24"/>
          <w:rtl w:val="0"/>
        </w:rPr>
      </w:pPr>
    </w:p>
    <w:p w14:paraId="15C40473">
      <w:pPr>
        <w:spacing w:line="360" w:lineRule="auto"/>
        <w:rPr>
          <w:rFonts w:ascii="Times New Roman" w:hAnsi="Times New Roman" w:eastAsia="Times New Roman" w:cs="Times New Roman"/>
          <w:b/>
          <w:bCs/>
          <w:sz w:val="24"/>
          <w:szCs w:val="24"/>
          <w:rtl w:val="0"/>
        </w:rPr>
      </w:pPr>
    </w:p>
    <w:p w14:paraId="3514E3B8">
      <w:pPr>
        <w:spacing w:line="360" w:lineRule="auto"/>
        <w:rPr>
          <w:rFonts w:ascii="Times New Roman" w:hAnsi="Times New Roman" w:eastAsia="Times New Roman" w:cs="Times New Roman"/>
          <w:b/>
          <w:bCs/>
          <w:sz w:val="24"/>
          <w:szCs w:val="24"/>
          <w:rtl w:val="0"/>
        </w:rPr>
      </w:pPr>
    </w:p>
    <w:p w14:paraId="5D946AAC">
      <w:pPr>
        <w:spacing w:line="360" w:lineRule="auto"/>
        <w:rPr>
          <w:rFonts w:ascii="Times New Roman" w:hAnsi="Times New Roman" w:eastAsia="Times New Roman" w:cs="Times New Roman"/>
          <w:b/>
          <w:bCs/>
          <w:sz w:val="24"/>
          <w:szCs w:val="24"/>
          <w:rtl w:val="0"/>
        </w:rPr>
      </w:pPr>
    </w:p>
    <w:p w14:paraId="2B06AA7A">
      <w:pPr>
        <w:spacing w:line="360" w:lineRule="auto"/>
        <w:rPr>
          <w:rFonts w:ascii="Times New Roman" w:hAnsi="Times New Roman" w:eastAsia="Times New Roman" w:cs="Times New Roman"/>
          <w:b/>
          <w:bCs/>
          <w:sz w:val="24"/>
          <w:szCs w:val="24"/>
          <w:rtl w:val="0"/>
        </w:rPr>
      </w:pPr>
    </w:p>
    <w:p w14:paraId="01EB7BC8">
      <w:pPr>
        <w:spacing w:line="360" w:lineRule="auto"/>
        <w:rPr>
          <w:rFonts w:ascii="Times New Roman" w:hAnsi="Times New Roman" w:eastAsia="Times New Roman" w:cs="Times New Roman"/>
          <w:b/>
          <w:bCs/>
          <w:sz w:val="24"/>
          <w:szCs w:val="24"/>
          <w:rtl w:val="0"/>
        </w:rPr>
      </w:pPr>
    </w:p>
    <w:p w14:paraId="00000248">
      <w:pPr>
        <w:spacing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Table 4.3 Level of Maternal Vaccine Confidence</w:t>
      </w:r>
    </w:p>
    <w:tbl>
      <w:tblPr>
        <w:tblStyle w:val="15"/>
        <w:tblW w:w="9473"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138"/>
        <w:gridCol w:w="1215"/>
        <w:gridCol w:w="1335"/>
        <w:gridCol w:w="1515"/>
        <w:gridCol w:w="1560"/>
        <w:gridCol w:w="1710"/>
      </w:tblGrid>
      <w:tr w14:paraId="3A7DD6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13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49">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ITEM</w:t>
            </w:r>
          </w:p>
        </w:tc>
        <w:tc>
          <w:tcPr>
            <w:tcW w:w="121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4A">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SA (5)</w:t>
            </w:r>
          </w:p>
        </w:tc>
        <w:tc>
          <w:tcPr>
            <w:tcW w:w="133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4B">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A (4)</w:t>
            </w:r>
          </w:p>
        </w:tc>
        <w:tc>
          <w:tcPr>
            <w:tcW w:w="151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4C">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U (3)</w:t>
            </w:r>
          </w:p>
        </w:tc>
        <w:tc>
          <w:tcPr>
            <w:tcW w:w="156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4D">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D (2)</w:t>
            </w:r>
          </w:p>
        </w:tc>
        <w:tc>
          <w:tcPr>
            <w:tcW w:w="171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4E">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SD (1)</w:t>
            </w:r>
          </w:p>
        </w:tc>
      </w:tr>
      <w:tr w14:paraId="6C8538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13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4F">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1.I</w:t>
            </w:r>
            <w:r>
              <w:rPr>
                <w:rFonts w:hint="default" w:ascii="Times New Roman" w:hAnsi="Times New Roman" w:eastAsia="Times New Roman" w:cs="Times New Roman"/>
                <w:sz w:val="24"/>
                <w:szCs w:val="24"/>
                <w:rtl w:val="0"/>
                <w:lang w:val="en-US"/>
              </w:rPr>
              <w:t xml:space="preserve"> </w:t>
            </w:r>
            <w:r>
              <w:rPr>
                <w:rFonts w:ascii="Times New Roman" w:hAnsi="Times New Roman" w:eastAsia="Times New Roman" w:cs="Times New Roman"/>
                <w:sz w:val="24"/>
                <w:szCs w:val="24"/>
                <w:rtl w:val="0"/>
              </w:rPr>
              <w:t>believe the vaccines given at this health center are completely safe for my baby.</w:t>
            </w:r>
          </w:p>
        </w:tc>
        <w:tc>
          <w:tcPr>
            <w:tcW w:w="121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50">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38 (52.1%)</w:t>
            </w:r>
          </w:p>
        </w:tc>
        <w:tc>
          <w:tcPr>
            <w:tcW w:w="133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51">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30 (41.1%)</w:t>
            </w:r>
          </w:p>
        </w:tc>
        <w:tc>
          <w:tcPr>
            <w:tcW w:w="151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52">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4 (5.5%)</w:t>
            </w:r>
          </w:p>
        </w:tc>
        <w:tc>
          <w:tcPr>
            <w:tcW w:w="156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53">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 (0.0%)</w:t>
            </w:r>
          </w:p>
        </w:tc>
        <w:tc>
          <w:tcPr>
            <w:tcW w:w="171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54">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 (1.4%)</w:t>
            </w:r>
          </w:p>
        </w:tc>
      </w:tr>
      <w:tr w14:paraId="055114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13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55">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2.I trust that the vaccines will not cause any severe harm or long-term complications.</w:t>
            </w:r>
          </w:p>
        </w:tc>
        <w:tc>
          <w:tcPr>
            <w:tcW w:w="121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56">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35 (47.9%)</w:t>
            </w:r>
          </w:p>
        </w:tc>
        <w:tc>
          <w:tcPr>
            <w:tcW w:w="133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57">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28 (38.4%)</w:t>
            </w:r>
          </w:p>
        </w:tc>
        <w:tc>
          <w:tcPr>
            <w:tcW w:w="151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58">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7 (9.6%)</w:t>
            </w:r>
          </w:p>
        </w:tc>
        <w:tc>
          <w:tcPr>
            <w:tcW w:w="156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59">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 (2.7%)</w:t>
            </w:r>
          </w:p>
        </w:tc>
        <w:tc>
          <w:tcPr>
            <w:tcW w:w="171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5A">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 (1.4%)</w:t>
            </w:r>
          </w:p>
        </w:tc>
      </w:tr>
      <w:tr w14:paraId="4E504D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13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5B">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3.The health benefits to vaccinate my child far outweigh the risks of minor side effects.</w:t>
            </w:r>
          </w:p>
        </w:tc>
        <w:tc>
          <w:tcPr>
            <w:tcW w:w="121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5C">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38 (52.1%)</w:t>
            </w:r>
          </w:p>
        </w:tc>
        <w:tc>
          <w:tcPr>
            <w:tcW w:w="133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5D">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31 (42.5%)</w:t>
            </w:r>
          </w:p>
        </w:tc>
        <w:tc>
          <w:tcPr>
            <w:tcW w:w="151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5E">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 (1.4%)</w:t>
            </w:r>
          </w:p>
        </w:tc>
        <w:tc>
          <w:tcPr>
            <w:tcW w:w="156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5F">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 (4.1%)</w:t>
            </w:r>
          </w:p>
        </w:tc>
        <w:tc>
          <w:tcPr>
            <w:tcW w:w="171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60">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 (0.0%)</w:t>
            </w:r>
          </w:p>
        </w:tc>
      </w:tr>
      <w:tr w14:paraId="5B3EEC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13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61">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4. I believe that vaccines are highly effective to protect my baby from killer diseases.</w:t>
            </w:r>
          </w:p>
        </w:tc>
        <w:tc>
          <w:tcPr>
            <w:tcW w:w="121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62">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48 (65.8%)</w:t>
            </w:r>
          </w:p>
        </w:tc>
        <w:tc>
          <w:tcPr>
            <w:tcW w:w="133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63">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19 (26.0%)</w:t>
            </w:r>
          </w:p>
        </w:tc>
        <w:tc>
          <w:tcPr>
            <w:tcW w:w="151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64">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4 (5.5%)</w:t>
            </w:r>
          </w:p>
        </w:tc>
        <w:tc>
          <w:tcPr>
            <w:tcW w:w="156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65">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 (1.4%)</w:t>
            </w:r>
          </w:p>
        </w:tc>
        <w:tc>
          <w:tcPr>
            <w:tcW w:w="171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66">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 (1.4%)</w:t>
            </w:r>
          </w:p>
        </w:tc>
      </w:tr>
      <w:tr w14:paraId="67D08F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13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67">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5.Without vaccines, I believe my child is at a high risk to catch dangerous infections.</w:t>
            </w:r>
          </w:p>
        </w:tc>
        <w:tc>
          <w:tcPr>
            <w:tcW w:w="121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68">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30 (41.1%)</w:t>
            </w:r>
          </w:p>
        </w:tc>
        <w:tc>
          <w:tcPr>
            <w:tcW w:w="133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69">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36 (49.3%)</w:t>
            </w:r>
          </w:p>
        </w:tc>
        <w:tc>
          <w:tcPr>
            <w:tcW w:w="151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6A">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4 (5.5%)</w:t>
            </w:r>
          </w:p>
        </w:tc>
        <w:tc>
          <w:tcPr>
            <w:tcW w:w="156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6B">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 (4.1%)</w:t>
            </w:r>
          </w:p>
        </w:tc>
        <w:tc>
          <w:tcPr>
            <w:tcW w:w="171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6C">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 (0.0%)</w:t>
            </w:r>
          </w:p>
        </w:tc>
      </w:tr>
      <w:tr w14:paraId="7125B5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13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6D">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P7j6. It is absolutely necessary to immunize my child fully for overall health.</w:t>
            </w:r>
          </w:p>
        </w:tc>
        <w:tc>
          <w:tcPr>
            <w:tcW w:w="121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6E">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35 (47.9%)</w:t>
            </w:r>
          </w:p>
        </w:tc>
        <w:tc>
          <w:tcPr>
            <w:tcW w:w="133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6F">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29 (39.7%)</w:t>
            </w:r>
          </w:p>
        </w:tc>
        <w:tc>
          <w:tcPr>
            <w:tcW w:w="151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70">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4 (5.5%)</w:t>
            </w:r>
          </w:p>
        </w:tc>
        <w:tc>
          <w:tcPr>
            <w:tcW w:w="156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71">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5 (6.8%)</w:t>
            </w:r>
          </w:p>
        </w:tc>
        <w:tc>
          <w:tcPr>
            <w:tcW w:w="171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72">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 (0.0%)</w:t>
            </w:r>
          </w:p>
        </w:tc>
      </w:tr>
      <w:tr w14:paraId="2E449F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13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73">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7. I believe the vaccines work just as well as the nurses claim they do.</w:t>
            </w:r>
          </w:p>
        </w:tc>
        <w:tc>
          <w:tcPr>
            <w:tcW w:w="121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74">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36 (49.3%)</w:t>
            </w:r>
          </w:p>
        </w:tc>
        <w:tc>
          <w:tcPr>
            <w:tcW w:w="133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75">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28 (38.4%)</w:t>
            </w:r>
          </w:p>
        </w:tc>
        <w:tc>
          <w:tcPr>
            <w:tcW w:w="151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76">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 (0.0%)</w:t>
            </w:r>
          </w:p>
        </w:tc>
        <w:tc>
          <w:tcPr>
            <w:tcW w:w="156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77">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4 (5.5%)</w:t>
            </w:r>
          </w:p>
        </w:tc>
        <w:tc>
          <w:tcPr>
            <w:tcW w:w="171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78">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5 (6.8%)</w:t>
            </w:r>
          </w:p>
        </w:tc>
      </w:tr>
      <w:tr w14:paraId="7ADFB6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13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79">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8. I have total trust in the nurses at this clinic to give correct vaccines safely.</w:t>
            </w:r>
          </w:p>
        </w:tc>
        <w:tc>
          <w:tcPr>
            <w:tcW w:w="121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7A">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36 (49.3%)</w:t>
            </w:r>
          </w:p>
        </w:tc>
        <w:tc>
          <w:tcPr>
            <w:tcW w:w="133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7B">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29 (39.7%)</w:t>
            </w:r>
          </w:p>
        </w:tc>
        <w:tc>
          <w:tcPr>
            <w:tcW w:w="151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7C">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4 (5.5%)</w:t>
            </w:r>
          </w:p>
        </w:tc>
        <w:tc>
          <w:tcPr>
            <w:tcW w:w="156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7D">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 (4.1%)</w:t>
            </w:r>
          </w:p>
        </w:tc>
        <w:tc>
          <w:tcPr>
            <w:tcW w:w="171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7E">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 (1.4%)</w:t>
            </w:r>
          </w:p>
        </w:tc>
      </w:tr>
      <w:tr w14:paraId="723DFE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13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7F">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9. I believe the healthcare workers always have my baby's best interest at heart.</w:t>
            </w:r>
          </w:p>
        </w:tc>
        <w:tc>
          <w:tcPr>
            <w:tcW w:w="121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80">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37 (50.7%)</w:t>
            </w:r>
          </w:p>
        </w:tc>
        <w:tc>
          <w:tcPr>
            <w:tcW w:w="133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81">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24 (32.9%)</w:t>
            </w:r>
          </w:p>
        </w:tc>
        <w:tc>
          <w:tcPr>
            <w:tcW w:w="151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82">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7 (9.6%)</w:t>
            </w:r>
          </w:p>
        </w:tc>
        <w:tc>
          <w:tcPr>
            <w:tcW w:w="156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83">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 (2.7%)</w:t>
            </w:r>
          </w:p>
        </w:tc>
        <w:tc>
          <w:tcPr>
            <w:tcW w:w="171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84">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 (4.1%)</w:t>
            </w:r>
          </w:p>
        </w:tc>
      </w:tr>
      <w:tr w14:paraId="2146F6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13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85">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10. I trust the health authorities and government to provide unexpired vaccines.</w:t>
            </w:r>
          </w:p>
        </w:tc>
        <w:tc>
          <w:tcPr>
            <w:tcW w:w="121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86">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35 (47.9%)</w:t>
            </w:r>
          </w:p>
        </w:tc>
        <w:tc>
          <w:tcPr>
            <w:tcW w:w="133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87">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27 (37.0%)</w:t>
            </w:r>
          </w:p>
        </w:tc>
        <w:tc>
          <w:tcPr>
            <w:tcW w:w="151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88">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6 (8.2%)</w:t>
            </w:r>
          </w:p>
        </w:tc>
        <w:tc>
          <w:tcPr>
            <w:tcW w:w="156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89">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 (4.1%)</w:t>
            </w:r>
          </w:p>
        </w:tc>
        <w:tc>
          <w:tcPr>
            <w:tcW w:w="171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8A">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 (2.7%)</w:t>
            </w:r>
          </w:p>
        </w:tc>
      </w:tr>
    </w:tbl>
    <w:p w14:paraId="0000028B">
      <w:pPr>
        <w:spacing w:line="360" w:lineRule="auto"/>
        <w:rPr>
          <w:rFonts w:ascii="Times New Roman" w:hAnsi="Times New Roman" w:eastAsia="Times New Roman" w:cs="Times New Roman"/>
          <w:sz w:val="24"/>
          <w:szCs w:val="24"/>
        </w:rPr>
      </w:pPr>
    </w:p>
    <w:p w14:paraId="0000028C">
      <w:pPr>
        <w:spacing w:line="360" w:lineRule="auto"/>
        <w:jc w:val="center"/>
        <w:rPr>
          <w:rFonts w:ascii="Times New Roman" w:hAnsi="Times New Roman" w:eastAsia="Times New Roman" w:cs="Times New Roman"/>
          <w:sz w:val="24"/>
          <w:szCs w:val="24"/>
        </w:rPr>
      </w:pPr>
    </w:p>
    <w:p w14:paraId="1A28D225">
      <w:pPr>
        <w:spacing w:line="360" w:lineRule="auto"/>
        <w:rPr>
          <w:rFonts w:ascii="Times New Roman" w:hAnsi="Times New Roman" w:eastAsia="Times New Roman" w:cs="Times New Roman"/>
          <w:sz w:val="24"/>
          <w:szCs w:val="24"/>
          <w:rtl w:val="0"/>
        </w:rPr>
      </w:pPr>
    </w:p>
    <w:p w14:paraId="0000028D">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From table 4.3, 68(93.2%) either strongly agreed or agreed that the vaccines given at the health center are completely safe for their babies, and 69(94.6%) recognized that the health benefits far outweigh the risks of minor side effects. Furthermore, 67(91.8%) affirmed that vaccines are highly effective against killer childhood diseases. Meanwhile, minor uncertainty or disagreement was expressed by a small fraction regarding long-term complications and vaccine efficacy.</w:t>
      </w:r>
    </w:p>
    <w:p w14:paraId="0000028E">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Regarding institutional trust and necessity, 65(89.0%) expressed total trust in the nurses at the clinic to administer vaccines safely, and 61(83.6%) believed healthcare workers always have their baby's best interest at heart. Additionally, 64(87.7%) agreed that it is absolutely necessary to immunize their child fully. Conversely, a small minority expressed hesitation in trusting health authorities and the government to provide unexpired vaccines.</w:t>
      </w:r>
    </w:p>
    <w:p w14:paraId="0000028F">
      <w:pPr>
        <w:spacing w:line="360" w:lineRule="auto"/>
        <w:rPr>
          <w:rFonts w:ascii="Times New Roman" w:hAnsi="Times New Roman" w:eastAsia="Times New Roman" w:cs="Times New Roman"/>
          <w:sz w:val="24"/>
          <w:szCs w:val="24"/>
        </w:rPr>
      </w:pPr>
    </w:p>
    <w:p w14:paraId="00000290">
      <w:pPr>
        <w:spacing w:line="36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Fig 4.2 Bar chart showing level of vaccine confidence of the respondents</w:t>
      </w:r>
    </w:p>
    <w:p w14:paraId="00000291">
      <w:pPr>
        <w:spacing w:line="360" w:lineRule="auto"/>
        <w:rPr>
          <w:rFonts w:ascii="Times New Roman" w:hAnsi="Times New Roman" w:eastAsia="Times New Roman" w:cs="Times New Roman"/>
          <w:sz w:val="24"/>
          <w:szCs w:val="24"/>
        </w:rPr>
      </w:pPr>
    </w:p>
    <w:p w14:paraId="00000292">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114300" distR="114300">
            <wp:extent cx="4572000" cy="38100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3" name="image3.png"/>
                    <pic:cNvPicPr preferRelativeResize="0"/>
                  </pic:nvPicPr>
                  <pic:blipFill>
                    <a:blip r:embed="rId12"/>
                    <a:srcRect/>
                    <a:stretch>
                      <a:fillRect/>
                    </a:stretch>
                  </pic:blipFill>
                  <pic:spPr>
                    <a:xfrm>
                      <a:off x="0" y="0"/>
                      <a:ext cx="4572000" cy="3810000"/>
                    </a:xfrm>
                    <a:prstGeom prst="rect">
                      <a:avLst/>
                    </a:prstGeom>
                  </pic:spPr>
                </pic:pic>
              </a:graphicData>
            </a:graphic>
          </wp:inline>
        </w:drawing>
      </w:r>
    </w:p>
    <w:p w14:paraId="00000293">
      <w:pPr>
        <w:spacing w:line="360" w:lineRule="auto"/>
        <w:rPr>
          <w:rFonts w:ascii="Times New Roman" w:hAnsi="Times New Roman" w:eastAsia="Times New Roman" w:cs="Times New Roman"/>
          <w:sz w:val="24"/>
          <w:szCs w:val="24"/>
        </w:rPr>
      </w:pPr>
    </w:p>
    <w:p w14:paraId="00000294">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figure 4.2 above summarizes the overall vaccine confidence scores, showing that approximately 62(84.9%) of respondents demonstrated high vaccine confidence, while 11(15.1%) fell within the moderate confidence range. No respondents exhibited low confidence. This indicates robust institutional trust and positive health attitudes across the study population.</w:t>
      </w:r>
    </w:p>
    <w:p w14:paraId="00000295">
      <w:pPr>
        <w:spacing w:line="360" w:lineRule="auto"/>
        <w:rPr>
          <w:rFonts w:ascii="Times New Roman" w:hAnsi="Times New Roman" w:eastAsia="Times New Roman" w:cs="Times New Roman"/>
          <w:sz w:val="24"/>
          <w:szCs w:val="24"/>
        </w:rPr>
      </w:pPr>
    </w:p>
    <w:p w14:paraId="04177F77">
      <w:pPr>
        <w:spacing w:line="360" w:lineRule="auto"/>
        <w:rPr>
          <w:rFonts w:ascii="Times New Roman" w:hAnsi="Times New Roman" w:eastAsia="Times New Roman" w:cs="Times New Roman"/>
          <w:sz w:val="24"/>
          <w:szCs w:val="24"/>
          <w:rtl w:val="0"/>
        </w:rPr>
      </w:pPr>
    </w:p>
    <w:p w14:paraId="00000296">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Research Question Three: To what extent does maternal vaccine literacy statistically influence vaccine confidence within the study population?</w:t>
      </w:r>
    </w:p>
    <w:p w14:paraId="00000297">
      <w:pPr>
        <w:spacing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Table 4.4 Pearson Correlation Analysis Showing Influence of Vaccine Literacy on Vaccine Confidence (N = 73)</w:t>
      </w:r>
    </w:p>
    <w:tbl>
      <w:tblPr>
        <w:tblStyle w:val="16"/>
        <w:tblW w:w="8763"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23"/>
        <w:gridCol w:w="1234"/>
        <w:gridCol w:w="1234"/>
        <w:gridCol w:w="1234"/>
        <w:gridCol w:w="1234"/>
        <w:gridCol w:w="1234"/>
        <w:gridCol w:w="1270"/>
      </w:tblGrid>
      <w:tr w14:paraId="126094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98">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Variables</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99">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9A">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Mean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9B">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Std. Dev.</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9C">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Pearson r</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9D">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p-value</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9E">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Remark</w:t>
            </w:r>
          </w:p>
        </w:tc>
      </w:tr>
      <w:tr w14:paraId="2B8CC6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9F">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Vaccine Literacy</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A0">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73</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A1">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39.89</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A2">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2.57</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A3">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0.751</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A4">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0.000</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A5">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Significant Influence</w:t>
            </w:r>
          </w:p>
        </w:tc>
      </w:tr>
      <w:tr w14:paraId="6BE2D8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A6">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Vaccine Confidence</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A7">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73</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A8">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42.88</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A9">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2.24</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AA">
            <w:pPr>
              <w:widowControl w:val="0"/>
              <w:spacing w:after="0" w:line="360" w:lineRule="auto"/>
              <w:jc w:val="both"/>
              <w:rPr>
                <w:rFonts w:ascii="Times New Roman" w:hAnsi="Times New Roman" w:eastAsia="Times New Roman" w:cs="Times New Roman"/>
                <w:sz w:val="24"/>
                <w:szCs w:val="24"/>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AB">
            <w:pPr>
              <w:widowControl w:val="0"/>
              <w:spacing w:after="0" w:line="360" w:lineRule="auto"/>
              <w:jc w:val="both"/>
              <w:rPr>
                <w:rFonts w:ascii="Times New Roman" w:hAnsi="Times New Roman" w:eastAsia="Times New Roman" w:cs="Times New Roman"/>
                <w:sz w:val="24"/>
                <w:szCs w:val="24"/>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AC">
            <w:pPr>
              <w:widowControl w:val="0"/>
              <w:spacing w:after="0" w:line="360" w:lineRule="auto"/>
              <w:jc w:val="both"/>
              <w:rPr>
                <w:rFonts w:ascii="Times New Roman" w:hAnsi="Times New Roman" w:eastAsia="Times New Roman" w:cs="Times New Roman"/>
                <w:sz w:val="24"/>
                <w:szCs w:val="24"/>
              </w:rPr>
            </w:pPr>
          </w:p>
        </w:tc>
      </w:tr>
    </w:tbl>
    <w:p w14:paraId="000002AD">
      <w:pPr>
        <w:spacing w:line="360" w:lineRule="auto"/>
        <w:rPr>
          <w:rFonts w:ascii="Times New Roman" w:hAnsi="Times New Roman" w:eastAsia="Times New Roman" w:cs="Times New Roman"/>
          <w:sz w:val="24"/>
          <w:szCs w:val="24"/>
        </w:rPr>
      </w:pPr>
    </w:p>
    <w:p w14:paraId="000002AE">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Table 4.4 answers Research Question Three by evaluating the extent to which maternal vaccine literacy statistically influences vaccine confidence. The Pearson Product-Moment Correlation analysis reveals a strong, positive, and statistically significant relationship (r = 0.751, p = 0.000). This indicates that maternal vaccine literacy exerts a profound and direct statistical influence on vaccine confidence, proving that mothers who possess higher functional and critical literacy regarding vaccines exhibit significantly stronger confidence in vaccine safety, efficacy, and institutional reliability.</w:t>
      </w:r>
    </w:p>
    <w:p w14:paraId="000002AF">
      <w:pPr>
        <w:spacing w:line="360" w:lineRule="auto"/>
        <w:rPr>
          <w:rFonts w:ascii="Times New Roman" w:hAnsi="Times New Roman" w:eastAsia="Times New Roman" w:cs="Times New Roman"/>
          <w:sz w:val="24"/>
          <w:szCs w:val="24"/>
        </w:rPr>
      </w:pPr>
    </w:p>
    <w:p w14:paraId="000002B0">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Research Question Four: How do varying maternal socio-demographic factors impact their respective levels of vaccine literacy and vaccine confidence?</w:t>
      </w:r>
    </w:p>
    <w:p w14:paraId="59ED3A4C">
      <w:pPr>
        <w:spacing w:line="360" w:lineRule="auto"/>
        <w:rPr>
          <w:rFonts w:ascii="Times New Roman" w:hAnsi="Times New Roman" w:eastAsia="Times New Roman" w:cs="Times New Roman"/>
          <w:b/>
          <w:bCs/>
          <w:sz w:val="24"/>
          <w:szCs w:val="24"/>
          <w:rtl w:val="0"/>
        </w:rPr>
      </w:pPr>
    </w:p>
    <w:p w14:paraId="5C1986E4">
      <w:pPr>
        <w:spacing w:line="360" w:lineRule="auto"/>
        <w:rPr>
          <w:rFonts w:ascii="Times New Roman" w:hAnsi="Times New Roman" w:eastAsia="Times New Roman" w:cs="Times New Roman"/>
          <w:b/>
          <w:bCs/>
          <w:sz w:val="24"/>
          <w:szCs w:val="24"/>
          <w:rtl w:val="0"/>
        </w:rPr>
      </w:pPr>
    </w:p>
    <w:p w14:paraId="2EF5D435">
      <w:pPr>
        <w:spacing w:line="360" w:lineRule="auto"/>
        <w:rPr>
          <w:rFonts w:ascii="Times New Roman" w:hAnsi="Times New Roman" w:eastAsia="Times New Roman" w:cs="Times New Roman"/>
          <w:b/>
          <w:bCs/>
          <w:sz w:val="24"/>
          <w:szCs w:val="24"/>
          <w:rtl w:val="0"/>
        </w:rPr>
      </w:pPr>
    </w:p>
    <w:p w14:paraId="1C336341">
      <w:pPr>
        <w:spacing w:line="360" w:lineRule="auto"/>
        <w:rPr>
          <w:rFonts w:ascii="Times New Roman" w:hAnsi="Times New Roman" w:eastAsia="Times New Roman" w:cs="Times New Roman"/>
          <w:b/>
          <w:bCs/>
          <w:sz w:val="24"/>
          <w:szCs w:val="24"/>
          <w:rtl w:val="0"/>
        </w:rPr>
      </w:pPr>
    </w:p>
    <w:p w14:paraId="08A39972">
      <w:pPr>
        <w:spacing w:line="360" w:lineRule="auto"/>
        <w:rPr>
          <w:rFonts w:ascii="Times New Roman" w:hAnsi="Times New Roman" w:eastAsia="Times New Roman" w:cs="Times New Roman"/>
          <w:b/>
          <w:bCs/>
          <w:sz w:val="24"/>
          <w:szCs w:val="24"/>
          <w:rtl w:val="0"/>
        </w:rPr>
      </w:pPr>
    </w:p>
    <w:p w14:paraId="70009F43">
      <w:pPr>
        <w:spacing w:line="360" w:lineRule="auto"/>
        <w:rPr>
          <w:rFonts w:ascii="Times New Roman" w:hAnsi="Times New Roman" w:eastAsia="Times New Roman" w:cs="Times New Roman"/>
          <w:b/>
          <w:bCs/>
          <w:sz w:val="24"/>
          <w:szCs w:val="24"/>
          <w:rtl w:val="0"/>
        </w:rPr>
      </w:pPr>
    </w:p>
    <w:p w14:paraId="4BDEA346">
      <w:pPr>
        <w:spacing w:line="360" w:lineRule="auto"/>
        <w:rPr>
          <w:rFonts w:ascii="Times New Roman" w:hAnsi="Times New Roman" w:eastAsia="Times New Roman" w:cs="Times New Roman"/>
          <w:b/>
          <w:bCs/>
          <w:sz w:val="24"/>
          <w:szCs w:val="24"/>
          <w:rtl w:val="0"/>
        </w:rPr>
      </w:pPr>
    </w:p>
    <w:p w14:paraId="44D74FCC">
      <w:pPr>
        <w:spacing w:line="360" w:lineRule="auto"/>
        <w:rPr>
          <w:rFonts w:ascii="Times New Roman" w:hAnsi="Times New Roman" w:eastAsia="Times New Roman" w:cs="Times New Roman"/>
          <w:b/>
          <w:bCs/>
          <w:sz w:val="24"/>
          <w:szCs w:val="24"/>
          <w:rtl w:val="0"/>
        </w:rPr>
      </w:pPr>
    </w:p>
    <w:p w14:paraId="0E2B5859">
      <w:pPr>
        <w:spacing w:line="360" w:lineRule="auto"/>
        <w:rPr>
          <w:rFonts w:ascii="Times New Roman" w:hAnsi="Times New Roman" w:eastAsia="Times New Roman" w:cs="Times New Roman"/>
          <w:b/>
          <w:bCs/>
          <w:sz w:val="24"/>
          <w:szCs w:val="24"/>
          <w:rtl w:val="0"/>
        </w:rPr>
      </w:pPr>
    </w:p>
    <w:p w14:paraId="7710AEBB">
      <w:pPr>
        <w:spacing w:line="360" w:lineRule="auto"/>
        <w:rPr>
          <w:rFonts w:ascii="Times New Roman" w:hAnsi="Times New Roman" w:eastAsia="Times New Roman" w:cs="Times New Roman"/>
          <w:b/>
          <w:bCs/>
          <w:sz w:val="24"/>
          <w:szCs w:val="24"/>
          <w:rtl w:val="0"/>
        </w:rPr>
      </w:pPr>
    </w:p>
    <w:p w14:paraId="29501D7F">
      <w:pPr>
        <w:spacing w:line="360" w:lineRule="auto"/>
        <w:rPr>
          <w:rFonts w:ascii="Times New Roman" w:hAnsi="Times New Roman" w:eastAsia="Times New Roman" w:cs="Times New Roman"/>
          <w:b/>
          <w:bCs/>
          <w:sz w:val="24"/>
          <w:szCs w:val="24"/>
          <w:rtl w:val="0"/>
        </w:rPr>
      </w:pPr>
    </w:p>
    <w:p w14:paraId="000002B1">
      <w:pPr>
        <w:spacing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Table 4.5 Impact of Socio-Demographic Factors on Literacy and Confidence (N = 73)</w:t>
      </w:r>
    </w:p>
    <w:tbl>
      <w:tblPr>
        <w:tblStyle w:val="17"/>
        <w:tblW w:w="9443"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48"/>
        <w:gridCol w:w="1680"/>
        <w:gridCol w:w="1665"/>
        <w:gridCol w:w="1725"/>
        <w:gridCol w:w="2025"/>
      </w:tblGrid>
      <w:tr w14:paraId="2B4076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630" w:hRule="atLeast"/>
        </w:trPr>
        <w:tc>
          <w:tcPr>
            <w:tcW w:w="234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B2">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Socio-Demographic Impact Factor / Question</w:t>
            </w:r>
          </w:p>
        </w:tc>
        <w:tc>
          <w:tcPr>
            <w:tcW w:w="16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B3">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Option 1</w:t>
            </w:r>
          </w:p>
        </w:tc>
        <w:tc>
          <w:tcPr>
            <w:tcW w:w="16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B4">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Option 2</w:t>
            </w:r>
          </w:p>
        </w:tc>
        <w:tc>
          <w:tcPr>
            <w:tcW w:w="172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B5">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Option 3</w:t>
            </w:r>
          </w:p>
        </w:tc>
        <w:tc>
          <w:tcPr>
            <w:tcW w:w="202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B6">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Option 4</w:t>
            </w:r>
          </w:p>
        </w:tc>
      </w:tr>
      <w:tr w14:paraId="27DE21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4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B7">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 Effect of Formal Education on Understanding Details</w:t>
            </w:r>
          </w:p>
        </w:tc>
        <w:tc>
          <w:tcPr>
            <w:tcW w:w="16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B8">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Very Easy: 48 (65.8%)</w:t>
            </w:r>
          </w:p>
        </w:tc>
        <w:tc>
          <w:tcPr>
            <w:tcW w:w="16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B9">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Somewhat Easy: 15 (20.5%)</w:t>
            </w:r>
          </w:p>
        </w:tc>
        <w:tc>
          <w:tcPr>
            <w:tcW w:w="172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BA">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No Effect: 6 (8.2%)</w:t>
            </w:r>
          </w:p>
        </w:tc>
        <w:tc>
          <w:tcPr>
            <w:tcW w:w="202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BB">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Difficult: 4 (5.5%)</w:t>
            </w:r>
          </w:p>
        </w:tc>
      </w:tr>
      <w:tr w14:paraId="684DDE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4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BC">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 Effect of Work/Occupation on Clinic Visits</w:t>
            </w:r>
          </w:p>
        </w:tc>
        <w:tc>
          <w:tcPr>
            <w:tcW w:w="16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BD">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Plenty Time: 37 (50.7%)</w:t>
            </w:r>
          </w:p>
        </w:tc>
        <w:tc>
          <w:tcPr>
            <w:tcW w:w="16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BE">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Just Enough: 22 (30.1%)</w:t>
            </w:r>
          </w:p>
        </w:tc>
        <w:tc>
          <w:tcPr>
            <w:tcW w:w="172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BF">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Difficult: 11 (15.1%)</w:t>
            </w:r>
          </w:p>
        </w:tc>
        <w:tc>
          <w:tcPr>
            <w:tcW w:w="202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C0">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No Job/Time: 3 (4.1%)</w:t>
            </w:r>
          </w:p>
        </w:tc>
      </w:tr>
      <w:tr w14:paraId="5F3241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4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C1">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 Effect of Religious Beliefs on Vaccine Confidence</w:t>
            </w:r>
          </w:p>
        </w:tc>
        <w:tc>
          <w:tcPr>
            <w:tcW w:w="16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C2">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Strong Support: 41 (56.2%)</w:t>
            </w:r>
          </w:p>
        </w:tc>
        <w:tc>
          <w:tcPr>
            <w:tcW w:w="16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C3">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Allows: 19 (26.0%)</w:t>
            </w:r>
          </w:p>
        </w:tc>
        <w:tc>
          <w:tcPr>
            <w:tcW w:w="172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C4">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No Effect: 4 (5.5%)</w:t>
            </w:r>
          </w:p>
        </w:tc>
        <w:tc>
          <w:tcPr>
            <w:tcW w:w="202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C5">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Discourages: 9 (12.3%)</w:t>
            </w:r>
          </w:p>
        </w:tc>
      </w:tr>
      <w:tr w14:paraId="2D9228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4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C6">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4.Effect of Age/Experience on Trust in Nurses</w:t>
            </w:r>
          </w:p>
        </w:tc>
        <w:tc>
          <w:tcPr>
            <w:tcW w:w="16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C7">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Trust Completely: 39 (53.4%)</w:t>
            </w:r>
          </w:p>
        </w:tc>
        <w:tc>
          <w:tcPr>
            <w:tcW w:w="16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C8">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Trust A Little: 25 (34.2%)</w:t>
            </w:r>
          </w:p>
        </w:tc>
        <w:tc>
          <w:tcPr>
            <w:tcW w:w="172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C9">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No Effect: 4 (5.5%)</w:t>
            </w:r>
          </w:p>
        </w:tc>
        <w:tc>
          <w:tcPr>
            <w:tcW w:w="202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CA">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Doubt Sometimes: 5 (6.8%)</w:t>
            </w:r>
          </w:p>
        </w:tc>
      </w:tr>
      <w:tr w14:paraId="375CBC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34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CB">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5.Effect of Partner/Spousal Support on Decisions</w:t>
            </w:r>
          </w:p>
        </w:tc>
        <w:tc>
          <w:tcPr>
            <w:tcW w:w="168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CC">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Full Support: 73 (100.0%)</w:t>
            </w:r>
          </w:p>
        </w:tc>
        <w:tc>
          <w:tcPr>
            <w:tcW w:w="166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CD">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Some Support: 0 (0.0%)</w:t>
            </w:r>
          </w:p>
        </w:tc>
        <w:tc>
          <w:tcPr>
            <w:tcW w:w="172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CE">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Alone/No Interfere: 0 (0.0%)</w:t>
            </w:r>
          </w:p>
        </w:tc>
        <w:tc>
          <w:tcPr>
            <w:tcW w:w="202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CF">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Discourages: 0 (0.0%)</w:t>
            </w:r>
          </w:p>
        </w:tc>
      </w:tr>
    </w:tbl>
    <w:p w14:paraId="000002D0">
      <w:pPr>
        <w:spacing w:line="360" w:lineRule="auto"/>
        <w:rPr>
          <w:rFonts w:ascii="Times New Roman" w:hAnsi="Times New Roman" w:eastAsia="Times New Roman" w:cs="Times New Roman"/>
          <w:sz w:val="24"/>
          <w:szCs w:val="24"/>
        </w:rPr>
      </w:pPr>
    </w:p>
    <w:p w14:paraId="000002D1">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Table 4.5 addresses Research Question Four by examining how varying maternal socio-demographic factors impact literacy and confidence levels. Regarding education, 48(65.8%) reported that their education makes it very easy to understand vaccine details. For occupational impact, 37(50.7%) noted their work allows plenty of time to attend clinic visits, while 11(15.1%) faced time difficulties. Regarding religion, 41(56.2%) stated their religion strongly supports vaccines, though 9(12.3%) faced discouragement. Furthermore, 39(53.4%) indicated their age and experience make them trust nurses completely, and all 73(100.0%) confirmed full spousal support.</w:t>
      </w:r>
    </w:p>
    <w:p w14:paraId="000002D2">
      <w:pPr>
        <w:spacing w:line="360" w:lineRule="auto"/>
        <w:rPr>
          <w:rFonts w:ascii="Times New Roman" w:hAnsi="Times New Roman" w:eastAsia="Times New Roman" w:cs="Times New Roman"/>
          <w:sz w:val="24"/>
          <w:szCs w:val="24"/>
        </w:rPr>
      </w:pPr>
    </w:p>
    <w:p w14:paraId="000002D3">
      <w:pPr>
        <w:spacing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Testing of Hypotheses</w:t>
      </w:r>
    </w:p>
    <w:p w14:paraId="000002D4">
      <w:pPr>
        <w:spacing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Hypothesis One:</w:t>
      </w:r>
      <w:r>
        <w:rPr>
          <w:rFonts w:ascii="Times New Roman" w:hAnsi="Times New Roman" w:eastAsia="Times New Roman" w:cs="Times New Roman"/>
          <w:sz w:val="24"/>
          <w:szCs w:val="24"/>
          <w:rtl w:val="0"/>
        </w:rPr>
        <w:t xml:space="preserve"> There is no significant relationship between maternal vaccine literacy and vaccine confidence among mothers attending Kulende PHC.</w:t>
      </w:r>
    </w:p>
    <w:p w14:paraId="000002D5">
      <w:pPr>
        <w:spacing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Table 4.6 Pearson Correlation Test Showing Relationship Between Vaccine Literacy and Confidence</w:t>
      </w:r>
    </w:p>
    <w:tbl>
      <w:tblPr>
        <w:tblStyle w:val="18"/>
        <w:tblW w:w="8763"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23"/>
        <w:gridCol w:w="1234"/>
        <w:gridCol w:w="1234"/>
        <w:gridCol w:w="1234"/>
        <w:gridCol w:w="1234"/>
        <w:gridCol w:w="1234"/>
        <w:gridCol w:w="1270"/>
      </w:tblGrid>
      <w:tr w14:paraId="175E19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D6">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Variables</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D7">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D8">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Mean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D9">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Std. Dev.</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DA">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Pearson r</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DB">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p-value</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DC">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Decision</w:t>
            </w:r>
          </w:p>
        </w:tc>
      </w:tr>
      <w:tr w14:paraId="30796F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DD">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Vaccine Literacy</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DE">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73</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DF">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39.89</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E0">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2.57</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E1">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0.751</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E2">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0.000</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E3">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Rejected H0</w:t>
            </w:r>
          </w:p>
        </w:tc>
      </w:tr>
      <w:tr w14:paraId="3847C5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E4">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Vaccine Confidence</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E5">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73</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E6">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42.88</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E7">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2.24</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E8">
            <w:pPr>
              <w:widowControl w:val="0"/>
              <w:spacing w:after="0" w:line="360" w:lineRule="auto"/>
              <w:jc w:val="both"/>
              <w:rPr>
                <w:rFonts w:ascii="Times New Roman" w:hAnsi="Times New Roman" w:eastAsia="Times New Roman" w:cs="Times New Roman"/>
                <w:sz w:val="24"/>
                <w:szCs w:val="24"/>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E9">
            <w:pPr>
              <w:widowControl w:val="0"/>
              <w:spacing w:after="0" w:line="360" w:lineRule="auto"/>
              <w:jc w:val="both"/>
              <w:rPr>
                <w:rFonts w:ascii="Times New Roman" w:hAnsi="Times New Roman" w:eastAsia="Times New Roman" w:cs="Times New Roman"/>
                <w:sz w:val="24"/>
                <w:szCs w:val="24"/>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EA">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Significant</w:t>
            </w:r>
          </w:p>
        </w:tc>
      </w:tr>
    </w:tbl>
    <w:p w14:paraId="000002EB">
      <w:pPr>
        <w:spacing w:line="360" w:lineRule="auto"/>
        <w:rPr>
          <w:rFonts w:ascii="Times New Roman" w:hAnsi="Times New Roman" w:eastAsia="Times New Roman" w:cs="Times New Roman"/>
          <w:sz w:val="24"/>
          <w:szCs w:val="24"/>
        </w:rPr>
      </w:pPr>
    </w:p>
    <w:p w14:paraId="000002EC">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Pearson correlation test in Table 4.6 yields r = 0.751 with a p-value of 0.000 (p &lt; 0.05). Since the p-value is less than the alpha level of 0.05, the null hypothesis is rejected. This concludes that there is a statistically significant, strong positive relationship between maternal vaccine literacy and vaccine confidence among mothers attending Kulende PHC.</w:t>
      </w:r>
    </w:p>
    <w:p w14:paraId="000002ED">
      <w:pPr>
        <w:spacing w:line="360" w:lineRule="auto"/>
        <w:rPr>
          <w:rFonts w:ascii="Times New Roman" w:hAnsi="Times New Roman" w:eastAsia="Times New Roman" w:cs="Times New Roman"/>
          <w:sz w:val="24"/>
          <w:szCs w:val="24"/>
        </w:rPr>
      </w:pPr>
    </w:p>
    <w:p w14:paraId="000002EE">
      <w:pPr>
        <w:spacing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Hypothesis Two:</w:t>
      </w:r>
      <w:r>
        <w:rPr>
          <w:rFonts w:ascii="Times New Roman" w:hAnsi="Times New Roman" w:eastAsia="Times New Roman" w:cs="Times New Roman"/>
          <w:sz w:val="24"/>
          <w:szCs w:val="24"/>
          <w:rtl w:val="0"/>
        </w:rPr>
        <w:t xml:space="preserve"> There is no significant relationship between socio-demographic characteristics and maternal vaccine confidence.</w:t>
      </w:r>
    </w:p>
    <w:p w14:paraId="000002EF">
      <w:pPr>
        <w:spacing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Table 4.7 Chi-Square Test Showing Relationship Between Socio-Demographic Factors and Vaccine Confidence</w:t>
      </w:r>
    </w:p>
    <w:tbl>
      <w:tblPr>
        <w:tblStyle w:val="19"/>
        <w:tblW w:w="8640"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160"/>
        <w:gridCol w:w="2160"/>
        <w:gridCol w:w="2160"/>
        <w:gridCol w:w="2160"/>
      </w:tblGrid>
      <w:tr w14:paraId="1AA488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F0">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Socio-Demographic Factor</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F1">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Pearson Chi-Square Value</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F2">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df</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F3">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Asymptotic Significance (2-sided)</w:t>
            </w:r>
          </w:p>
        </w:tc>
      </w:tr>
      <w:tr w14:paraId="0EBC6C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F4">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Maternal Age</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F5">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58.100</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F6">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F7">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0.000</w:t>
            </w:r>
          </w:p>
        </w:tc>
      </w:tr>
      <w:tr w14:paraId="36AEE6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F8">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Educational Level</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F9">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62.222</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FA">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FB">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0.000</w:t>
            </w:r>
          </w:p>
        </w:tc>
      </w:tr>
      <w:tr w14:paraId="25BF94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FC">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Marital Status</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FD">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39.810</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FE">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2FF">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0.000</w:t>
            </w:r>
          </w:p>
        </w:tc>
      </w:tr>
      <w:tr w14:paraId="4E861D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00">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Occupational Status</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01">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48.000</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02">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03">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0.000</w:t>
            </w:r>
          </w:p>
        </w:tc>
      </w:tr>
      <w:tr w14:paraId="468678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04">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Parity (Number of Children)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05">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62.933</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06">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07">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0.000</w:t>
            </w:r>
          </w:p>
        </w:tc>
      </w:tr>
      <w:tr w14:paraId="0F9735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08">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Religion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09">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54.400</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0A">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0B">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0.000</w:t>
            </w:r>
          </w:p>
        </w:tc>
      </w:tr>
      <w:tr w14:paraId="03650E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0C">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Infant Age</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0D">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61.714</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0E">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3</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0F">
            <w:pPr>
              <w:widowControl w:val="0"/>
              <w:spacing w:after="0" w:line="36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0.000</w:t>
            </w:r>
          </w:p>
        </w:tc>
      </w:tr>
    </w:tbl>
    <w:p w14:paraId="00000310">
      <w:pPr>
        <w:spacing w:line="360" w:lineRule="auto"/>
        <w:rPr>
          <w:rFonts w:ascii="Times New Roman" w:hAnsi="Times New Roman" w:eastAsia="Times New Roman" w:cs="Times New Roman"/>
          <w:sz w:val="24"/>
          <w:szCs w:val="24"/>
        </w:rPr>
      </w:pPr>
    </w:p>
    <w:p w14:paraId="00000311">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testing of hypothesis two in Table 4.7 shows that for all tested socio-demographic factors, the Pearson Chi-Square values are statistically significant at p &lt; 0.05. This indicates strong associations between each socio-demographic factor and maternal vaccine confidence. Therefore, the null hypothesis is rejected: socio-demographic characteristics do significantly influence maternal vaccine confidence among mothers at Kulende PHC.</w:t>
      </w:r>
    </w:p>
    <w:p w14:paraId="00000312">
      <w:pPr>
        <w:spacing w:line="360" w:lineRule="auto"/>
        <w:rPr>
          <w:rFonts w:ascii="Times New Roman" w:hAnsi="Times New Roman" w:eastAsia="Times New Roman" w:cs="Times New Roman"/>
          <w:sz w:val="24"/>
          <w:szCs w:val="24"/>
        </w:rPr>
      </w:pPr>
      <w:r>
        <w:br w:type="page"/>
      </w:r>
    </w:p>
    <w:p w14:paraId="00000313">
      <w:pPr>
        <w:spacing w:line="360" w:lineRule="auto"/>
        <w:jc w:val="center"/>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CHAPTER FIVE</w:t>
      </w:r>
      <w:r>
        <w:rPr>
          <w:rFonts w:ascii="Times New Roman" w:hAnsi="Times New Roman" w:eastAsia="Times New Roman" w:cs="Times New Roman"/>
          <w:b/>
          <w:bCs/>
          <w:sz w:val="24"/>
          <w:szCs w:val="24"/>
          <w:rtl w:val="0"/>
        </w:rPr>
        <w:br w:type="textWrapping"/>
      </w:r>
      <w:r>
        <w:rPr>
          <w:rFonts w:ascii="Times New Roman" w:hAnsi="Times New Roman" w:eastAsia="Times New Roman" w:cs="Times New Roman"/>
          <w:b/>
          <w:bCs/>
          <w:sz w:val="24"/>
          <w:szCs w:val="24"/>
          <w:rtl w:val="0"/>
        </w:rPr>
        <w:t>DISCUSSION OF FINDINGS</w:t>
      </w:r>
    </w:p>
    <w:p w14:paraId="00000314">
      <w:pPr>
        <w:spacing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5.0 Introduction</w:t>
      </w:r>
    </w:p>
    <w:p w14:paraId="00000315">
      <w:pPr>
        <w:spacing w:line="360" w:lineRule="auto"/>
        <w:rPr>
          <w:rFonts w:ascii="Times New Roman" w:hAnsi="Times New Roman" w:eastAsia="Times New Roman" w:cs="Times New Roman"/>
          <w:sz w:val="24"/>
          <w:szCs w:val="24"/>
          <w:rtl w:val="0"/>
        </w:rPr>
      </w:pPr>
      <w:r>
        <w:rPr>
          <w:rFonts w:ascii="Times New Roman" w:hAnsi="Times New Roman" w:eastAsia="Times New Roman" w:cs="Times New Roman"/>
          <w:sz w:val="24"/>
          <w:szCs w:val="24"/>
          <w:rtl w:val="0"/>
        </w:rPr>
        <w:t>This chapter presents a comprehensive discussion of the empirical findings obtained from this study in direct relation to existing literature, theoretical frameworks, and previous studies in public health and nursing. It also highlights the implications of these findings for professional nursing practice, outlines the inherent limitations of the study, summarizes the core investigations, draws logical conclusions, presents actionable recommendations, and suggests areas for further empirical inquiry.</w:t>
      </w:r>
    </w:p>
    <w:p w14:paraId="10970295">
      <w:pPr>
        <w:spacing w:line="360" w:lineRule="auto"/>
        <w:rPr>
          <w:rFonts w:ascii="Times New Roman" w:hAnsi="Times New Roman" w:eastAsia="Times New Roman" w:cs="Times New Roman"/>
          <w:sz w:val="24"/>
          <w:szCs w:val="24"/>
          <w:rtl w:val="0"/>
        </w:rPr>
      </w:pPr>
    </w:p>
    <w:p w14:paraId="12240CC3">
      <w:pPr>
        <w:spacing w:line="360" w:lineRule="auto"/>
        <w:rPr>
          <w:rFonts w:ascii="Times New Roman" w:hAnsi="Times New Roman" w:eastAsia="Times New Roman" w:cs="Times New Roman"/>
          <w:sz w:val="24"/>
          <w:szCs w:val="24"/>
          <w:rtl w:val="0"/>
        </w:rPr>
      </w:pPr>
    </w:p>
    <w:p w14:paraId="1CF8165F">
      <w:pPr>
        <w:spacing w:line="360" w:lineRule="auto"/>
        <w:rPr>
          <w:rFonts w:ascii="Times New Roman" w:hAnsi="Times New Roman" w:eastAsia="Times New Roman" w:cs="Times New Roman"/>
          <w:sz w:val="24"/>
          <w:szCs w:val="24"/>
          <w:rtl w:val="0"/>
        </w:rPr>
      </w:pPr>
    </w:p>
    <w:p w14:paraId="0858AE5F">
      <w:pPr>
        <w:spacing w:line="360" w:lineRule="auto"/>
        <w:rPr>
          <w:rFonts w:ascii="Times New Roman" w:hAnsi="Times New Roman" w:eastAsia="Times New Roman" w:cs="Times New Roman"/>
          <w:sz w:val="24"/>
          <w:szCs w:val="24"/>
          <w:rtl w:val="0"/>
        </w:rPr>
      </w:pPr>
    </w:p>
    <w:p w14:paraId="4BCFF5C9">
      <w:pPr>
        <w:spacing w:line="360" w:lineRule="auto"/>
        <w:rPr>
          <w:rFonts w:ascii="Times New Roman" w:hAnsi="Times New Roman" w:eastAsia="Times New Roman" w:cs="Times New Roman"/>
          <w:sz w:val="24"/>
          <w:szCs w:val="24"/>
          <w:rtl w:val="0"/>
        </w:rPr>
      </w:pPr>
    </w:p>
    <w:p w14:paraId="501D2970">
      <w:pPr>
        <w:spacing w:line="360" w:lineRule="auto"/>
        <w:rPr>
          <w:rFonts w:ascii="Times New Roman" w:hAnsi="Times New Roman" w:eastAsia="Times New Roman" w:cs="Times New Roman"/>
          <w:sz w:val="24"/>
          <w:szCs w:val="24"/>
          <w:rtl w:val="0"/>
        </w:rPr>
      </w:pPr>
    </w:p>
    <w:p w14:paraId="7AA5729F">
      <w:pPr>
        <w:spacing w:line="360" w:lineRule="auto"/>
        <w:rPr>
          <w:rFonts w:ascii="Times New Roman" w:hAnsi="Times New Roman" w:eastAsia="Times New Roman" w:cs="Times New Roman"/>
          <w:sz w:val="24"/>
          <w:szCs w:val="24"/>
          <w:rtl w:val="0"/>
        </w:rPr>
      </w:pPr>
    </w:p>
    <w:p w14:paraId="26E450F1">
      <w:pPr>
        <w:spacing w:line="360" w:lineRule="auto"/>
        <w:rPr>
          <w:rFonts w:ascii="Times New Roman" w:hAnsi="Times New Roman" w:eastAsia="Times New Roman" w:cs="Times New Roman"/>
          <w:sz w:val="24"/>
          <w:szCs w:val="24"/>
          <w:rtl w:val="0"/>
        </w:rPr>
      </w:pPr>
    </w:p>
    <w:p w14:paraId="30733F0B">
      <w:pPr>
        <w:spacing w:line="360" w:lineRule="auto"/>
        <w:rPr>
          <w:rFonts w:ascii="Times New Roman" w:hAnsi="Times New Roman" w:eastAsia="Times New Roman" w:cs="Times New Roman"/>
          <w:sz w:val="24"/>
          <w:szCs w:val="24"/>
          <w:rtl w:val="0"/>
        </w:rPr>
      </w:pPr>
    </w:p>
    <w:p w14:paraId="1A022C31">
      <w:pPr>
        <w:spacing w:line="360" w:lineRule="auto"/>
        <w:rPr>
          <w:rFonts w:ascii="Times New Roman" w:hAnsi="Times New Roman" w:eastAsia="Times New Roman" w:cs="Times New Roman"/>
          <w:sz w:val="24"/>
          <w:szCs w:val="24"/>
          <w:rtl w:val="0"/>
        </w:rPr>
      </w:pPr>
    </w:p>
    <w:p w14:paraId="2267D368">
      <w:pPr>
        <w:spacing w:line="360" w:lineRule="auto"/>
        <w:rPr>
          <w:rFonts w:ascii="Times New Roman" w:hAnsi="Times New Roman" w:eastAsia="Times New Roman" w:cs="Times New Roman"/>
          <w:sz w:val="24"/>
          <w:szCs w:val="24"/>
          <w:rtl w:val="0"/>
        </w:rPr>
      </w:pPr>
    </w:p>
    <w:p w14:paraId="31FA61C7">
      <w:pPr>
        <w:spacing w:line="360" w:lineRule="auto"/>
        <w:rPr>
          <w:rFonts w:ascii="Times New Roman" w:hAnsi="Times New Roman" w:eastAsia="Times New Roman" w:cs="Times New Roman"/>
          <w:sz w:val="24"/>
          <w:szCs w:val="24"/>
          <w:rtl w:val="0"/>
        </w:rPr>
      </w:pPr>
    </w:p>
    <w:p w14:paraId="431D457E">
      <w:pPr>
        <w:spacing w:line="360" w:lineRule="auto"/>
        <w:rPr>
          <w:rFonts w:ascii="Times New Roman" w:hAnsi="Times New Roman" w:eastAsia="Times New Roman" w:cs="Times New Roman"/>
          <w:sz w:val="24"/>
          <w:szCs w:val="24"/>
          <w:rtl w:val="0"/>
        </w:rPr>
      </w:pPr>
    </w:p>
    <w:p w14:paraId="19DF9424">
      <w:pPr>
        <w:spacing w:line="360" w:lineRule="auto"/>
        <w:rPr>
          <w:rFonts w:ascii="Times New Roman" w:hAnsi="Times New Roman" w:eastAsia="Times New Roman" w:cs="Times New Roman"/>
          <w:sz w:val="24"/>
          <w:szCs w:val="24"/>
          <w:rtl w:val="0"/>
        </w:rPr>
      </w:pPr>
    </w:p>
    <w:p w14:paraId="04B43BE0">
      <w:pPr>
        <w:spacing w:line="360" w:lineRule="auto"/>
        <w:rPr>
          <w:rFonts w:ascii="Times New Roman" w:hAnsi="Times New Roman" w:eastAsia="Times New Roman" w:cs="Times New Roman"/>
          <w:sz w:val="24"/>
          <w:szCs w:val="24"/>
          <w:rtl w:val="0"/>
        </w:rPr>
      </w:pPr>
    </w:p>
    <w:p w14:paraId="5324D1C1">
      <w:pPr>
        <w:spacing w:line="360" w:lineRule="auto"/>
        <w:rPr>
          <w:rFonts w:ascii="Times New Roman" w:hAnsi="Times New Roman" w:eastAsia="Times New Roman" w:cs="Times New Roman"/>
          <w:sz w:val="24"/>
          <w:szCs w:val="24"/>
          <w:rtl w:val="0"/>
        </w:rPr>
      </w:pPr>
    </w:p>
    <w:p w14:paraId="61CC7DEC">
      <w:pPr>
        <w:spacing w:line="360" w:lineRule="auto"/>
        <w:rPr>
          <w:rFonts w:ascii="Times New Roman" w:hAnsi="Times New Roman" w:eastAsia="Times New Roman" w:cs="Times New Roman"/>
          <w:sz w:val="24"/>
          <w:szCs w:val="24"/>
          <w:rtl w:val="0"/>
        </w:rPr>
      </w:pPr>
    </w:p>
    <w:p w14:paraId="7A8A1C71">
      <w:pPr>
        <w:spacing w:line="360" w:lineRule="auto"/>
        <w:rPr>
          <w:rFonts w:ascii="Times New Roman" w:hAnsi="Times New Roman" w:eastAsia="Times New Roman" w:cs="Times New Roman"/>
          <w:sz w:val="24"/>
          <w:szCs w:val="24"/>
          <w:rtl w:val="0"/>
        </w:rPr>
      </w:pPr>
    </w:p>
    <w:p w14:paraId="2853D107">
      <w:pPr>
        <w:spacing w:line="360" w:lineRule="auto"/>
        <w:rPr>
          <w:rFonts w:ascii="Times New Roman" w:hAnsi="Times New Roman" w:eastAsia="Times New Roman" w:cs="Times New Roman"/>
          <w:sz w:val="24"/>
          <w:szCs w:val="24"/>
          <w:rtl w:val="0"/>
        </w:rPr>
      </w:pPr>
    </w:p>
    <w:p w14:paraId="66C4CAB8">
      <w:pPr>
        <w:spacing w:line="360" w:lineRule="auto"/>
        <w:rPr>
          <w:rFonts w:ascii="Times New Roman" w:hAnsi="Times New Roman" w:eastAsia="Times New Roman" w:cs="Times New Roman"/>
          <w:sz w:val="24"/>
          <w:szCs w:val="24"/>
          <w:rtl w:val="0"/>
        </w:rPr>
      </w:pPr>
    </w:p>
    <w:p w14:paraId="694BF61A">
      <w:pPr>
        <w:spacing w:line="360" w:lineRule="auto"/>
        <w:rPr>
          <w:rFonts w:ascii="Times New Roman" w:hAnsi="Times New Roman" w:eastAsia="Times New Roman" w:cs="Times New Roman"/>
          <w:sz w:val="24"/>
          <w:szCs w:val="24"/>
          <w:rtl w:val="0"/>
        </w:rPr>
      </w:pPr>
    </w:p>
    <w:p w14:paraId="2DB1EB18">
      <w:pPr>
        <w:spacing w:line="360" w:lineRule="auto"/>
        <w:rPr>
          <w:rFonts w:ascii="Times New Roman" w:hAnsi="Times New Roman" w:eastAsia="Times New Roman" w:cs="Times New Roman"/>
          <w:sz w:val="24"/>
          <w:szCs w:val="24"/>
          <w:rtl w:val="0"/>
        </w:rPr>
      </w:pPr>
    </w:p>
    <w:p w14:paraId="00000316">
      <w:pPr>
        <w:numPr>
          <w:ilvl w:val="1"/>
          <w:numId w:val="3"/>
        </w:numPr>
        <w:spacing w:line="360" w:lineRule="auto"/>
        <w:ind w:left="0" w:firstLine="0"/>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 Discussion of Findings</w:t>
      </w:r>
    </w:p>
    <w:p w14:paraId="00000317">
      <w:pPr>
        <w:spacing w:line="36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Socio-Demographic Characteristics of Respondents</w:t>
      </w:r>
    </w:p>
    <w:p w14:paraId="00000318">
      <w:pPr>
        <w:spacing w:line="360" w:lineRule="auto"/>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tl w:val="0"/>
        </w:rPr>
        <w:t>The empirical findings on socio-demographic characteristics established in Table 4.1 revealed that the  overwhelming majority of respondents (79.5%, n = 58) were between 20 and 29 years of age, while those aged 30 to 39 years accounted for 20.5% (n = 15). Furthermore, all participating mothers were married (100.0%, n = 73), and the predominant level of formal education attained was secondary school (71.2%, n = 52) followed by tertiary education (28.8%, n = 21). This empirical demographic profile depicts a young, married, and literate cohort of mothers actively utilizing primary healthcare services for infant immunization at Kulende Basic Health Centre.</w:t>
      </w:r>
    </w:p>
    <w:p w14:paraId="00000319">
      <w:pPr>
        <w:spacing w:line="360" w:lineRule="auto"/>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tl w:val="0"/>
        </w:rPr>
        <w:t xml:space="preserve"> </w:t>
      </w:r>
      <w:r>
        <w:rPr>
          <w:rFonts w:ascii="Times New Roman" w:hAnsi="Times New Roman" w:eastAsia="Times New Roman" w:cs="Times New Roman"/>
          <w:sz w:val="24"/>
          <w:szCs w:val="24"/>
          <w:rtl w:val="0"/>
        </w:rPr>
        <w:t>T</w:t>
      </w:r>
      <w:r>
        <w:rPr>
          <w:rFonts w:ascii="Times New Roman" w:hAnsi="Times New Roman" w:eastAsia="Times New Roman" w:cs="Times New Roman"/>
          <w:b w:val="0"/>
          <w:bCs w:val="0"/>
          <w:sz w:val="24"/>
          <w:szCs w:val="24"/>
          <w:rtl w:val="0"/>
        </w:rPr>
        <w:t>hese empirical findings are fully consistent with standard maternal health demographics across urban and semi-urban primary healthcare settings in North-Central Nigeria. Supporting this demographic reality, Adedokun et al. (2021) and Amo-Adjei et al. (2022) emphasized that young, married mothers form the core clientele of routine immunization clinics, possessing the baseline literacy required to navigate primary care instructions. The empirical dominance of secondary and tertiary educational attainment (100% cumulative literacy) serves as a vital socio-cultural facilitator, predisposing respondents to better comprehend immunization schedules, clinic appointment dates, and post-vaccination drug</w:t>
      </w:r>
    </w:p>
    <w:p w14:paraId="0000031A">
      <w:pPr>
        <w:spacing w:line="360" w:lineRule="auto"/>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tl w:val="0"/>
        </w:rPr>
        <w:t>dosage instructions.</w:t>
      </w:r>
    </w:p>
    <w:p w14:paraId="4C04EC33">
      <w:pPr>
        <w:spacing w:line="360" w:lineRule="auto"/>
        <w:rPr>
          <w:rFonts w:ascii="Times New Roman" w:hAnsi="Times New Roman" w:eastAsia="Times New Roman" w:cs="Times New Roman"/>
          <w:b/>
          <w:bCs/>
          <w:sz w:val="24"/>
          <w:szCs w:val="24"/>
          <w:rtl w:val="0"/>
        </w:rPr>
      </w:pPr>
    </w:p>
    <w:p w14:paraId="0000031B">
      <w:pPr>
        <w:spacing w:line="36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Level of Functional, Interactive, and Critical Vaccine Literacy among Mothers</w:t>
      </w:r>
    </w:p>
    <w:p w14:paraId="0000031C">
      <w:pPr>
        <w:spacing w:line="360" w:lineRule="auto"/>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tl w:val="0"/>
        </w:rPr>
        <w:t>In evaluating Research Question One, the empirical findings detailed in Table 4.2 and summarized in Figure 4.1 demonstrated that mothers attending Kulende Basic Health Centre possess exceptionally high levels of functional, interactive, and critical vaccine literacy, with 97.3% (n = 71) falling within the high literacy tier. Specifically, empirical data revealed that 94.5% (n = 69) found it very easy or easy to fill out routine clinic registers, 86.3% (n =</w:t>
      </w:r>
    </w:p>
    <w:p w14:paraId="0000031D">
      <w:pPr>
        <w:spacing w:line="360" w:lineRule="auto"/>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tl w:val="0"/>
        </w:rPr>
        <w:t>63) easily comprehended nurse instructions regarding infant drug dosages (e.g., paracetamol), and over 84% readily understood clinic posters and disease prevention details. In terms of interactive and critical literacy dimensions, 87.7% (n = 64) successfully verified health information encountered on social media platforms such as WhatsApp and Facebook, while 80.8% (n = 59) demonstrated the critical ability to identify and dismiss false community rumors.</w:t>
      </w:r>
      <w:r>
        <w:rPr>
          <w:rFonts w:ascii="Times New Roman" w:hAnsi="Times New Roman" w:eastAsia="Times New Roman" w:cs="Times New Roman"/>
          <w:sz w:val="24"/>
          <w:szCs w:val="24"/>
          <w:rtl w:val="0"/>
        </w:rPr>
        <w:t xml:space="preserve">This </w:t>
      </w:r>
      <w:r>
        <w:rPr>
          <w:rFonts w:ascii="Times New Roman" w:hAnsi="Times New Roman" w:eastAsia="Times New Roman" w:cs="Times New Roman"/>
          <w:b w:val="0"/>
          <w:bCs w:val="0"/>
          <w:sz w:val="24"/>
          <w:szCs w:val="24"/>
          <w:rtl w:val="0"/>
        </w:rPr>
        <w:t>empirical outcomes robustly corroborate the theoretical postulations of Nutbeam &amp;amp; Lloyd (2021) and Lorini et al. (2023), who established that high health literacy acts as the foundational cognitive bedrock for proactive health-seeking behaviors. Furthermore, these empirical literacy scores echo recent findings by Egwuaba, Sunday, and Ume (2026), confirming that secondary and tertiary educational backgrounds directly empower mothers with the critical appraisal skills necessary to navigate primary care systems and resist digital misinformation.</w:t>
      </w:r>
    </w:p>
    <w:p w14:paraId="0000031E">
      <w:pPr>
        <w:spacing w:line="36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 xml:space="preserve">Level of Maternal Vaccine Confidence </w:t>
      </w:r>
    </w:p>
    <w:p w14:paraId="0000031F">
      <w:pPr>
        <w:spacing w:line="360" w:lineRule="auto"/>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tl w:val="0"/>
        </w:rPr>
        <w:t>Regarding Research Question Two, the empirical findings presented in Table 4.3 and Figure 4.2 established that mothers at Kulende Basic Health Centre exhibit robust vaccine confidence, with 84.9% (n = 62) demonstrating high overall confidence and 15.1% (n = 11) exhibiting moderate confidence. Specifically, a decisive majority (93.2%, n =</w:t>
      </w:r>
    </w:p>
    <w:p w14:paraId="00000320">
      <w:pPr>
        <w:spacing w:line="360" w:lineRule="auto"/>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tl w:val="0"/>
        </w:rPr>
        <w:t>68) strongly agreed or agreed that vaccines administered at the health center are completely safe for their infants, and 94.6% recognized that the immunological health benefits far outweigh the risks of minor side effects.</w:t>
      </w:r>
    </w:p>
    <w:p w14:paraId="00000321">
      <w:pPr>
        <w:spacing w:line="360" w:lineRule="auto"/>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tl w:val="0"/>
        </w:rPr>
        <w:t>Moreover, 89.0% (n = 65) expressed total trust in clinic nurses to administer vaccines safely, reflecting profound institutional trust in frontline healthcare providers.</w:t>
      </w:r>
      <w:r>
        <w:rPr>
          <w:rFonts w:ascii="Times New Roman" w:hAnsi="Times New Roman" w:eastAsia="Times New Roman" w:cs="Times New Roman"/>
          <w:sz w:val="24"/>
          <w:szCs w:val="24"/>
          <w:rtl w:val="0"/>
        </w:rPr>
        <w:t xml:space="preserve"> T</w:t>
      </w:r>
      <w:r>
        <w:rPr>
          <w:rFonts w:ascii="Times New Roman" w:hAnsi="Times New Roman" w:eastAsia="Times New Roman" w:cs="Times New Roman"/>
          <w:b w:val="0"/>
          <w:bCs w:val="0"/>
          <w:sz w:val="24"/>
          <w:szCs w:val="24"/>
          <w:rtl w:val="0"/>
        </w:rPr>
        <w:t>hese results align closely with Larson et al. (2022), who identified trust in healthcare providers as the single strongest determinant of vaccine acceptance globally. However, the empirical data also revealed that minor reservations persist among approximately 17.8% (n = 13) of respondents regarding long-term complications and government vaccine supply chains. This minor empirical fraction mirrors observations made by Oduwole et al. 16 (2021) regarding regional vaccine hesitancy drivers, highlighting that even in high-confidence populations,</w:t>
      </w:r>
    </w:p>
    <w:p w14:paraId="00000322">
      <w:pPr>
        <w:spacing w:line="360" w:lineRule="auto"/>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tl w:val="0"/>
        </w:rPr>
        <w:t>underlying anxieties concerning biological safety and institutional transparency require continuous clinical</w:t>
      </w:r>
    </w:p>
    <w:p w14:paraId="00000323">
      <w:pPr>
        <w:spacing w:line="360" w:lineRule="auto"/>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tl w:val="0"/>
        </w:rPr>
        <w:t>reassurance.</w:t>
      </w:r>
    </w:p>
    <w:p w14:paraId="00000324">
      <w:pPr>
        <w:spacing w:line="360" w:lineRule="auto"/>
        <w:rPr>
          <w:rFonts w:ascii="Times New Roman" w:hAnsi="Times New Roman" w:eastAsia="Times New Roman" w:cs="Times New Roman"/>
          <w:b w:val="0"/>
          <w:bCs w:val="0"/>
          <w:sz w:val="24"/>
          <w:szCs w:val="24"/>
        </w:rPr>
      </w:pPr>
      <w:r>
        <w:rPr>
          <w:rFonts w:ascii="Times New Roman" w:hAnsi="Times New Roman" w:eastAsia="Times New Roman" w:cs="Times New Roman"/>
          <w:b/>
          <w:bCs/>
          <w:sz w:val="24"/>
          <w:szCs w:val="24"/>
          <w:rtl w:val="0"/>
        </w:rPr>
        <w:t>Hypothesis One: Null Hypothesis (H</w:t>
      </w:r>
      <w:r>
        <w:rPr>
          <w:rFonts w:ascii="Times New Roman" w:hAnsi="Times New Roman" w:eastAsia="Times New Roman" w:cs="Times New Roman"/>
          <w:b/>
          <w:bCs/>
          <w:sz w:val="24"/>
          <w:szCs w:val="24"/>
          <w:vertAlign w:val="subscript"/>
          <w:rtl w:val="0"/>
        </w:rPr>
        <w:t>0</w:t>
      </w:r>
      <w:r>
        <w:rPr>
          <w:rFonts w:ascii="Times New Roman" w:hAnsi="Times New Roman" w:eastAsia="Times New Roman" w:cs="Times New Roman"/>
          <w:b/>
          <w:bCs/>
          <w:sz w:val="24"/>
          <w:szCs w:val="24"/>
          <w:vertAlign w:val="baseline"/>
          <w:rtl w:val="0"/>
        </w:rPr>
        <w:t>):</w:t>
      </w:r>
      <w:r>
        <w:rPr>
          <w:rFonts w:ascii="Times New Roman" w:hAnsi="Times New Roman" w:eastAsia="Times New Roman" w:cs="Times New Roman"/>
          <w:b/>
          <w:bCs/>
          <w:sz w:val="24"/>
          <w:szCs w:val="24"/>
          <w:rtl w:val="0"/>
        </w:rPr>
        <w:t xml:space="preserve">  There is no significant relationship between maternal vaccine literacy and vaccine confidence among mothers attending Kulende Basic Health Centre.</w:t>
      </w:r>
      <w:r>
        <w:rPr>
          <w:rFonts w:ascii="Times New Roman" w:hAnsi="Times New Roman" w:eastAsia="Times New Roman" w:cs="Times New Roman"/>
          <w:b w:val="0"/>
          <w:bCs w:val="0"/>
          <w:sz w:val="24"/>
          <w:szCs w:val="24"/>
          <w:rtl w:val="0"/>
        </w:rPr>
        <w:t xml:space="preserve"> The empirical Pearson Product-Moment Correlation analysis conducted in Chapter Four (Table 4.4 and Table 4.6) yielded a strong, positive, and statistically</w:t>
      </w:r>
    </w:p>
    <w:p w14:paraId="00000325">
      <w:pPr>
        <w:spacing w:line="360" w:lineRule="auto"/>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tl w:val="0"/>
        </w:rPr>
        <w:t xml:space="preserve">significant correlation (r = 0.751, p = 0.000). Consequently, the null hypothesis was rejected at a 0.05 level of significance. This empirical outcome provides rigorous statistical evidence that maternal vaccine literacy exerts a profound, direct influence on maternal vaccine confidence. Mothers who demonstrated higher functional and critical literacy scores were empirically proven to possess significantly stronger confidence in vaccine safety, efficacy, and institutional reliability. When synthesized with the empirical literature reviewed in </w:t>
      </w:r>
      <w:r>
        <w:rPr>
          <w:rFonts w:ascii="Times New Roman" w:hAnsi="Times New Roman" w:eastAsia="Times New Roman" w:cs="Times New Roman"/>
          <w:sz w:val="24"/>
          <w:szCs w:val="24"/>
          <w:rtl w:val="0"/>
        </w:rPr>
        <w:t>T</w:t>
      </w:r>
      <w:r>
        <w:rPr>
          <w:rFonts w:ascii="Times New Roman" w:hAnsi="Times New Roman" w:eastAsia="Times New Roman" w:cs="Times New Roman"/>
          <w:b w:val="0"/>
          <w:bCs w:val="0"/>
          <w:sz w:val="24"/>
          <w:szCs w:val="24"/>
          <w:rtl w:val="0"/>
        </w:rPr>
        <w:t>his</w:t>
      </w:r>
      <w:r>
        <w:rPr>
          <w:rFonts w:ascii="Times New Roman" w:hAnsi="Times New Roman" w:eastAsia="Times New Roman" w:cs="Times New Roman"/>
          <w:sz w:val="24"/>
          <w:szCs w:val="24"/>
          <w:rtl w:val="0"/>
        </w:rPr>
        <w:t xml:space="preserve"> </w:t>
      </w:r>
      <w:r>
        <w:rPr>
          <w:rFonts w:ascii="Times New Roman" w:hAnsi="Times New Roman" w:eastAsia="Times New Roman" w:cs="Times New Roman"/>
          <w:b w:val="0"/>
          <w:bCs w:val="0"/>
          <w:sz w:val="24"/>
          <w:szCs w:val="24"/>
          <w:rtl w:val="0"/>
        </w:rPr>
        <w:t>empirical result is highly consistent with the findings of Turhan et al. (2021), who established that specific vaccine literacy serves as a significant statistical predictor of overall vaccine confidence. Furthermore, this empirical finding aligns seamlessly with the theoretical framework of the Health Belief Model (Vaughan et al., 2021), confirming that cognitive health empowerment directly enhances perceived benefits while mitigating perceived barriers, thereby</w:t>
      </w:r>
    </w:p>
    <w:p w14:paraId="00000326">
      <w:pPr>
        <w:spacing w:line="360" w:lineRule="auto"/>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tl w:val="0"/>
        </w:rPr>
        <w:t>solidifying maternal confidence.</w:t>
      </w:r>
    </w:p>
    <w:p w14:paraId="00000327">
      <w:pPr>
        <w:spacing w:line="360" w:lineRule="auto"/>
        <w:rPr>
          <w:rFonts w:ascii="Times New Roman" w:hAnsi="Times New Roman" w:eastAsia="Times New Roman" w:cs="Times New Roman"/>
          <w:b w:val="0"/>
          <w:bCs w:val="0"/>
          <w:sz w:val="24"/>
          <w:szCs w:val="24"/>
        </w:rPr>
      </w:pPr>
    </w:p>
    <w:p w14:paraId="00000328">
      <w:pPr>
        <w:spacing w:line="36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Hypothesis Two: Null Hypothesis (H</w:t>
      </w:r>
      <w:r>
        <w:rPr>
          <w:rFonts w:ascii="Times New Roman" w:hAnsi="Times New Roman" w:eastAsia="Times New Roman" w:cs="Times New Roman"/>
          <w:b/>
          <w:bCs/>
          <w:sz w:val="24"/>
          <w:szCs w:val="24"/>
          <w:vertAlign w:val="subscript"/>
          <w:rtl w:val="0"/>
        </w:rPr>
        <w:t>0</w:t>
      </w:r>
      <w:r>
        <w:rPr>
          <w:rFonts w:ascii="Times New Roman" w:hAnsi="Times New Roman" w:eastAsia="Times New Roman" w:cs="Times New Roman"/>
          <w:b/>
          <w:bCs/>
          <w:sz w:val="24"/>
          <w:szCs w:val="24"/>
          <w:vertAlign w:val="baseline"/>
          <w:rtl w:val="0"/>
        </w:rPr>
        <w:t>): T</w:t>
      </w:r>
      <w:r>
        <w:rPr>
          <w:rFonts w:ascii="Times New Roman" w:hAnsi="Times New Roman" w:eastAsia="Times New Roman" w:cs="Times New Roman"/>
          <w:b/>
          <w:bCs/>
          <w:sz w:val="24"/>
          <w:szCs w:val="24"/>
          <w:rtl w:val="0"/>
        </w:rPr>
        <w:t xml:space="preserve">here is no significant relationship between socio-demographic characteristics andmaternal vaccine confidence among mothers attending Kulende Basic Health Centre. </w:t>
      </w:r>
    </w:p>
    <w:p w14:paraId="00000329">
      <w:pPr>
        <w:spacing w:line="360" w:lineRule="auto"/>
        <w:rPr>
          <w:rFonts w:ascii="Times New Roman" w:hAnsi="Times New Roman" w:eastAsia="Times New Roman" w:cs="Times New Roman"/>
          <w:b w:val="0"/>
          <w:bCs w:val="0"/>
          <w:sz w:val="24"/>
          <w:szCs w:val="24"/>
        </w:rPr>
      </w:pPr>
    </w:p>
    <w:p w14:paraId="0000032A">
      <w:pPr>
        <w:spacing w:line="360" w:lineRule="auto"/>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tl w:val="0"/>
        </w:rPr>
        <w:t>The Chi-Square test results presented in Table 4.7 revealed that all tested socio-demographic variables including maternal age (X² =58.100, p = 0.000), educational level (X² = 62.222, p = 0.000), marital status (X² = 39.810, p = 0.000), occupational status (X² = 48.000, p = 0.000), parity (X² = 62.933, p = 0.000), religion (X² = 54.400, p = 0.000), and infant age (X² =</w:t>
      </w:r>
    </w:p>
    <w:p w14:paraId="0000032B">
      <w:pPr>
        <w:spacing w:line="360" w:lineRule="auto"/>
        <w:rPr>
          <w:rFonts w:ascii="Times New Roman" w:hAnsi="Times New Roman" w:eastAsia="Times New Roman" w:cs="Times New Roman"/>
          <w:b w:val="0"/>
          <w:bCs w:val="0"/>
          <w:sz w:val="24"/>
          <w:szCs w:val="24"/>
        </w:rPr>
      </w:pPr>
      <w:r>
        <w:rPr>
          <w:rFonts w:ascii="Times New Roman" w:hAnsi="Times New Roman" w:eastAsia="Times New Roman" w:cs="Times New Roman"/>
          <w:b w:val="0"/>
          <w:bCs w:val="0"/>
          <w:sz w:val="24"/>
          <w:szCs w:val="24"/>
          <w:rtl w:val="0"/>
        </w:rPr>
        <w:t xml:space="preserve">61.714, p = 0.000) achieved statistically significant association values (p &amp;lt; 0.05). Consequently, the second null hypothesis was rejected. This empirical confirmation proves that socio-demographic characteristics play a vital, determinative role in shaping maternal vaccine confidence at Kulende Basic Health Centre. Specifically, empirical data from Table 4.5 demonstrated that formal education (65.8% strongly agreeing) significantly enhances mothers&amp;#39; understanding of immunization details, while occupational flexibility (50.7% having plenty time), religious support 56.2%), maternal experience, and 100% full spousal support act as synergistic catalysts fostering robust institutional trust. These empirical observations corroborate </w:t>
      </w:r>
      <w:r>
        <w:rPr>
          <w:rFonts w:ascii="Times New Roman" w:hAnsi="Times New Roman" w:eastAsia="Times New Roman" w:cs="Times New Roman"/>
          <w:sz w:val="24"/>
          <w:szCs w:val="24"/>
          <w:rtl w:val="0"/>
        </w:rPr>
        <w:t xml:space="preserve">with </w:t>
      </w:r>
      <w:r>
        <w:rPr>
          <w:rFonts w:ascii="Times New Roman" w:hAnsi="Times New Roman" w:eastAsia="Times New Roman" w:cs="Times New Roman"/>
          <w:b w:val="0"/>
          <w:bCs w:val="0"/>
          <w:sz w:val="24"/>
          <w:szCs w:val="24"/>
          <w:rtl w:val="0"/>
        </w:rPr>
        <w:t>Adewumi et al. (2022) and Suleiman et al. (2022), which highlighted that maternal health decisions are deeply embedded within a supportive socio-ecological matrix of education, family dynamics, religious backing, and clinical trust.</w:t>
      </w:r>
    </w:p>
    <w:p w14:paraId="0000032C">
      <w:pPr>
        <w:spacing w:line="360" w:lineRule="auto"/>
        <w:rPr>
          <w:rFonts w:ascii="Times New Roman" w:hAnsi="Times New Roman" w:eastAsia="Times New Roman" w:cs="Times New Roman"/>
          <w:b/>
          <w:bCs/>
          <w:sz w:val="24"/>
          <w:szCs w:val="24"/>
        </w:rPr>
      </w:pPr>
    </w:p>
    <w:p w14:paraId="3B622B38">
      <w:pPr>
        <w:spacing w:line="360" w:lineRule="auto"/>
        <w:rPr>
          <w:rFonts w:ascii="Times New Roman" w:hAnsi="Times New Roman" w:eastAsia="Times New Roman" w:cs="Times New Roman"/>
          <w:b/>
          <w:bCs/>
          <w:sz w:val="24"/>
          <w:szCs w:val="24"/>
          <w:rtl w:val="0"/>
        </w:rPr>
      </w:pPr>
    </w:p>
    <w:p w14:paraId="0000032D">
      <w:pPr>
        <w:spacing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5.2 Implications for Nursing Practice</w:t>
      </w:r>
    </w:p>
    <w:p w14:paraId="0000032E">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findings of this study carry far-reaching implications for professional nursing practice, community health service delivery, and healthcare policymaking:</w:t>
      </w:r>
      <w:r>
        <w:rPr>
          <w:rFonts w:ascii="Times New Roman" w:hAnsi="Times New Roman" w:eastAsia="Times New Roman" w:cs="Times New Roman"/>
          <w:sz w:val="24"/>
          <w:szCs w:val="24"/>
          <w:rtl w:val="0"/>
        </w:rPr>
        <w:br w:type="textWrapping"/>
      </w:r>
    </w:p>
    <w:p w14:paraId="0000032F">
      <w:pPr>
        <w:spacing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 xml:space="preserve">Enhancing Health Literacy Interventions: </w:t>
      </w:r>
      <w:r>
        <w:rPr>
          <w:rFonts w:ascii="Times New Roman" w:hAnsi="Times New Roman" w:eastAsia="Times New Roman" w:cs="Times New Roman"/>
          <w:sz w:val="24"/>
          <w:szCs w:val="24"/>
          <w:rtl w:val="0"/>
        </w:rPr>
        <w:t>Community health nurses must move beyond routine health talks and integrate structured, interactive health literacy sessions during antenatal and immunization clinics. These sessions should specifically train mothers in critical appraisal skills to combat digital misinformation on social media.</w:t>
      </w:r>
      <w:r>
        <w:rPr>
          <w:rFonts w:ascii="Times New Roman" w:hAnsi="Times New Roman" w:eastAsia="Times New Roman" w:cs="Times New Roman"/>
          <w:sz w:val="24"/>
          <w:szCs w:val="24"/>
          <w:rtl w:val="0"/>
        </w:rPr>
        <w:br w:type="textWrapping"/>
      </w:r>
    </w:p>
    <w:p w14:paraId="00000330">
      <w:pPr>
        <w:spacing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Capitalizing on High Nurse Trust:</w:t>
      </w:r>
      <w:r>
        <w:rPr>
          <w:rFonts w:ascii="Times New Roman" w:hAnsi="Times New Roman" w:eastAsia="Times New Roman" w:cs="Times New Roman"/>
          <w:sz w:val="24"/>
          <w:szCs w:val="24"/>
          <w:rtl w:val="0"/>
        </w:rPr>
        <w:t xml:space="preserve"> Given that 89.0% of mothers repose profound trust in clinic nurses, nursing professionals must proactively leverage this trusted therapeutic relationship to address lingering anxieties regarding minor side effects and long-term safety.</w:t>
      </w:r>
      <w:r>
        <w:rPr>
          <w:rFonts w:ascii="Times New Roman" w:hAnsi="Times New Roman" w:eastAsia="Times New Roman" w:cs="Times New Roman"/>
          <w:sz w:val="24"/>
          <w:szCs w:val="24"/>
          <w:rtl w:val="0"/>
        </w:rPr>
        <w:br w:type="textWrapping"/>
      </w:r>
    </w:p>
    <w:p w14:paraId="00000331">
      <w:pPr>
        <w:spacing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Promoting Family and Community Engagement:</w:t>
      </w:r>
      <w:r>
        <w:rPr>
          <w:rFonts w:ascii="Times New Roman" w:hAnsi="Times New Roman" w:eastAsia="Times New Roman" w:cs="Times New Roman"/>
          <w:sz w:val="24"/>
          <w:szCs w:val="24"/>
          <w:rtl w:val="0"/>
        </w:rPr>
        <w:t xml:space="preserve"> Because the study confirmed the powerful impact of spousal support (100%) and religious endorsement (56.2%), nursing outreach programs should intentionally involve male partners, fathers, and religious leaders in community health mobilization and maternal education campaigns.</w:t>
      </w:r>
    </w:p>
    <w:p w14:paraId="00000332">
      <w:pPr>
        <w:spacing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5.3 Limitations of the Study</w:t>
      </w:r>
    </w:p>
    <w:p w14:paraId="00000333">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While this study achieved its objectives successfully, certain methodological limitations must be acknowledged:</w:t>
      </w:r>
      <w:r>
        <w:rPr>
          <w:rFonts w:ascii="Times New Roman" w:hAnsi="Times New Roman" w:eastAsia="Times New Roman" w:cs="Times New Roman"/>
          <w:sz w:val="24"/>
          <w:szCs w:val="24"/>
          <w:rtl w:val="0"/>
        </w:rPr>
        <w:br w:type="textWrapping"/>
      </w:r>
      <w:r>
        <w:rPr>
          <w:rFonts w:ascii="Times New Roman" w:hAnsi="Times New Roman" w:eastAsia="Times New Roman" w:cs="Times New Roman"/>
          <w:b/>
          <w:bCs/>
          <w:sz w:val="24"/>
          <w:szCs w:val="24"/>
          <w:rtl w:val="0"/>
        </w:rPr>
        <w:t>Geographic Limitation:</w:t>
      </w:r>
      <w:r>
        <w:rPr>
          <w:rFonts w:ascii="Times New Roman" w:hAnsi="Times New Roman" w:eastAsia="Times New Roman" w:cs="Times New Roman"/>
          <w:sz w:val="24"/>
          <w:szCs w:val="24"/>
          <w:rtl w:val="0"/>
        </w:rPr>
        <w:t xml:space="preserve"> The study was conducted exclusively at Kulende Primary Health Care Centre in Ilorin, Kwara State, which restricts the broad generalizability of findings to rural healthcare settings or other geopolitical zones in Nigeria.</w:t>
      </w:r>
      <w:r>
        <w:rPr>
          <w:rFonts w:ascii="Times New Roman" w:hAnsi="Times New Roman" w:eastAsia="Times New Roman" w:cs="Times New Roman"/>
          <w:sz w:val="24"/>
          <w:szCs w:val="24"/>
          <w:rtl w:val="0"/>
        </w:rPr>
        <w:br w:type="textWrapping"/>
      </w:r>
      <w:r>
        <w:rPr>
          <w:rFonts w:ascii="Times New Roman" w:hAnsi="Times New Roman" w:eastAsia="Times New Roman" w:cs="Times New Roman"/>
          <w:b/>
          <w:bCs/>
          <w:sz w:val="24"/>
          <w:szCs w:val="24"/>
          <w:rtl w:val="0"/>
        </w:rPr>
        <w:t xml:space="preserve">Cross-Sectional Design: </w:t>
      </w:r>
      <w:r>
        <w:rPr>
          <w:rFonts w:ascii="Times New Roman" w:hAnsi="Times New Roman" w:eastAsia="Times New Roman" w:cs="Times New Roman"/>
          <w:sz w:val="24"/>
          <w:szCs w:val="24"/>
          <w:rtl w:val="0"/>
        </w:rPr>
        <w:t>The adoption of a descriptive cross-sectional survey design captures perceptions at a single snapshot in time, precluding definitive causal inferences between literacy and confidence beyond statistical correlation.</w:t>
      </w:r>
      <w:r>
        <w:rPr>
          <w:rFonts w:ascii="Times New Roman" w:hAnsi="Times New Roman" w:eastAsia="Times New Roman" w:cs="Times New Roman"/>
          <w:sz w:val="24"/>
          <w:szCs w:val="24"/>
          <w:rtl w:val="0"/>
        </w:rPr>
        <w:br w:type="textWrapping"/>
      </w:r>
      <w:r>
        <w:rPr>
          <w:rFonts w:ascii="Times New Roman" w:hAnsi="Times New Roman" w:eastAsia="Times New Roman" w:cs="Times New Roman"/>
          <w:b/>
          <w:bCs/>
          <w:sz w:val="24"/>
          <w:szCs w:val="24"/>
          <w:rtl w:val="0"/>
        </w:rPr>
        <w:t>Self-Reporting Bias</w:t>
      </w:r>
      <w:r>
        <w:rPr>
          <w:rFonts w:ascii="Times New Roman" w:hAnsi="Times New Roman" w:eastAsia="Times New Roman" w:cs="Times New Roman"/>
          <w:sz w:val="24"/>
          <w:szCs w:val="24"/>
          <w:rtl w:val="0"/>
        </w:rPr>
        <w:t>: Data collection relied on self-administered questionnaires, which are inherently susceptible to social desirability bias, as respondents may overstate their positive attitudes toward immunization.</w:t>
      </w:r>
    </w:p>
    <w:p w14:paraId="22F7A425">
      <w:pPr>
        <w:spacing w:line="360" w:lineRule="auto"/>
        <w:rPr>
          <w:rFonts w:ascii="Times New Roman" w:hAnsi="Times New Roman" w:eastAsia="Times New Roman" w:cs="Times New Roman"/>
          <w:b/>
          <w:bCs/>
          <w:sz w:val="24"/>
          <w:szCs w:val="24"/>
          <w:rtl w:val="0"/>
        </w:rPr>
      </w:pPr>
    </w:p>
    <w:p w14:paraId="5017299E">
      <w:pPr>
        <w:spacing w:line="360" w:lineRule="auto"/>
        <w:rPr>
          <w:rFonts w:ascii="Times New Roman" w:hAnsi="Times New Roman" w:eastAsia="Times New Roman" w:cs="Times New Roman"/>
          <w:b/>
          <w:bCs/>
          <w:sz w:val="24"/>
          <w:szCs w:val="24"/>
          <w:rtl w:val="0"/>
        </w:rPr>
      </w:pPr>
    </w:p>
    <w:p w14:paraId="64F4133B">
      <w:pPr>
        <w:spacing w:line="360" w:lineRule="auto"/>
        <w:rPr>
          <w:rFonts w:ascii="Times New Roman" w:hAnsi="Times New Roman" w:eastAsia="Times New Roman" w:cs="Times New Roman"/>
          <w:b/>
          <w:bCs/>
          <w:sz w:val="24"/>
          <w:szCs w:val="24"/>
          <w:rtl w:val="0"/>
        </w:rPr>
      </w:pPr>
    </w:p>
    <w:p w14:paraId="00000334">
      <w:pPr>
        <w:spacing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5.4 Summary of the Study</w:t>
      </w:r>
    </w:p>
    <w:p w14:paraId="00000335">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This research investigated the influence of maternal vaccine literacy on vaccine confidence among mothers attending Kulende Primary Health Care Centre, Kwara State. Guided by four specific research questions and two null hypotheses, the study adopted a descriptive cross-sectional research design. A sample size of 73 mothers was selected using systematic sampling, and data were gathered through structured questionnaires. Data analysis was executed using descriptive statistics (frequencies and percentages), Pearson Product-Moment Correlation (for Hypothesis One), and Chi-Square tests (for Hypothesis Two). The empirical results revealed high levels of maternal vaccine literacy and confidence, a strong positive statistical correlation between literacy and confidence (r = 0.751, p = 0.000), and statistically significant associations between socio-demographic factors and vaccine confidence.</w:t>
      </w:r>
    </w:p>
    <w:p w14:paraId="5B9D406A">
      <w:pPr>
        <w:spacing w:line="360" w:lineRule="auto"/>
        <w:rPr>
          <w:rFonts w:ascii="Times New Roman" w:hAnsi="Times New Roman" w:eastAsia="Times New Roman" w:cs="Times New Roman"/>
          <w:b/>
          <w:bCs/>
          <w:sz w:val="24"/>
          <w:szCs w:val="24"/>
          <w:rtl w:val="0"/>
        </w:rPr>
      </w:pPr>
    </w:p>
    <w:p w14:paraId="26B2AF76">
      <w:pPr>
        <w:spacing w:line="360" w:lineRule="auto"/>
        <w:rPr>
          <w:rFonts w:ascii="Times New Roman" w:hAnsi="Times New Roman" w:eastAsia="Times New Roman" w:cs="Times New Roman"/>
          <w:b/>
          <w:bCs/>
          <w:sz w:val="24"/>
          <w:szCs w:val="24"/>
          <w:rtl w:val="0"/>
        </w:rPr>
      </w:pPr>
    </w:p>
    <w:p w14:paraId="00000336">
      <w:pPr>
        <w:spacing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5.5 Conclusion</w:t>
      </w:r>
    </w:p>
    <w:p w14:paraId="00000337">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Based on the empirical findings and statistical evaluations of this study, it is concluded that maternal vaccine literacy is a pivotal determinant of vaccine confidence. Mothers attending Kulende PHC exhibit robust functional, interactive, and critical literacy alongside high vaccine confidence. This positive disposition is significantly strengthened by formal education, supportive occupational schedules, religious backing, and absolute spousal support. Consequently, bridging health literacy gaps through targeted nursing interventions remains an indispensable strategy for sustaining high routine immunization uptake and neutralizing vaccine hesitancy.</w:t>
      </w:r>
    </w:p>
    <w:p w14:paraId="217572FE">
      <w:pPr>
        <w:spacing w:line="360" w:lineRule="auto"/>
        <w:rPr>
          <w:rFonts w:ascii="Times New Roman" w:hAnsi="Times New Roman" w:eastAsia="Times New Roman" w:cs="Times New Roman"/>
          <w:b/>
          <w:bCs/>
          <w:sz w:val="24"/>
          <w:szCs w:val="24"/>
          <w:rtl w:val="0"/>
        </w:rPr>
      </w:pPr>
    </w:p>
    <w:p w14:paraId="6285C786">
      <w:pPr>
        <w:spacing w:line="360" w:lineRule="auto"/>
        <w:rPr>
          <w:rFonts w:ascii="Times New Roman" w:hAnsi="Times New Roman" w:eastAsia="Times New Roman" w:cs="Times New Roman"/>
          <w:b/>
          <w:bCs/>
          <w:sz w:val="24"/>
          <w:szCs w:val="24"/>
          <w:rtl w:val="0"/>
        </w:rPr>
      </w:pPr>
    </w:p>
    <w:p w14:paraId="00000338">
      <w:pPr>
        <w:spacing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5.6 Recommendations</w:t>
      </w:r>
    </w:p>
    <w:p w14:paraId="5A8E3F2F">
      <w:pPr>
        <w:pStyle w:val="5"/>
        <w:keepNext w:val="0"/>
        <w:keepLines w:val="0"/>
        <w:widowControl/>
        <w:spacing w:before="280" w:after="280" w:line="360" w:lineRule="auto"/>
        <w:rPr>
          <w:rFonts w:ascii="Times New Roman" w:hAnsi="Times New Roman" w:eastAsia="Times New Roman" w:cs="Times New Roman"/>
          <w:b w:val="0"/>
          <w:bCs w:val="0"/>
          <w:i w:val="0"/>
          <w:iCs w:val="0"/>
          <w:color w:val="000000"/>
          <w:sz w:val="24"/>
          <w:szCs w:val="24"/>
          <w:rtl w:val="0"/>
        </w:rPr>
      </w:pPr>
      <w:r>
        <w:rPr>
          <w:rFonts w:ascii="Times New Roman" w:hAnsi="Times New Roman" w:eastAsia="Times New Roman" w:cs="Times New Roman"/>
          <w:b w:val="0"/>
          <w:bCs w:val="0"/>
          <w:i w:val="0"/>
          <w:iCs w:val="0"/>
          <w:color w:val="000000"/>
          <w:sz w:val="24"/>
          <w:szCs w:val="24"/>
          <w:rtl w:val="0"/>
        </w:rPr>
        <w:t>In alignment with the findings and conclusions of this study, the following actionable recommendations are proffered:</w:t>
      </w:r>
      <w:r>
        <w:rPr>
          <w:rFonts w:ascii="Times New Roman" w:hAnsi="Times New Roman" w:eastAsia="Times New Roman" w:cs="Times New Roman"/>
          <w:b w:val="0"/>
          <w:bCs w:val="0"/>
          <w:i w:val="0"/>
          <w:iCs w:val="0"/>
          <w:color w:val="000000"/>
          <w:sz w:val="24"/>
          <w:szCs w:val="24"/>
          <w:rtl w:val="0"/>
        </w:rPr>
        <w:br w:type="textWrapping"/>
      </w:r>
    </w:p>
    <w:p w14:paraId="321205DB">
      <w:pPr>
        <w:pStyle w:val="5"/>
        <w:keepNext w:val="0"/>
        <w:keepLines w:val="0"/>
        <w:widowControl/>
        <w:spacing w:before="280" w:after="280" w:line="360" w:lineRule="auto"/>
        <w:rPr>
          <w:rFonts w:ascii="Times New Roman" w:hAnsi="Times New Roman" w:eastAsia="Times New Roman" w:cs="Times New Roman"/>
          <w:b w:val="0"/>
          <w:bCs w:val="0"/>
          <w:i w:val="0"/>
          <w:iCs w:val="0"/>
          <w:color w:val="000000"/>
          <w:sz w:val="24"/>
          <w:szCs w:val="24"/>
          <w:rtl w:val="0"/>
        </w:rPr>
      </w:pPr>
    </w:p>
    <w:p w14:paraId="00000339">
      <w:pPr>
        <w:pStyle w:val="5"/>
        <w:keepNext w:val="0"/>
        <w:keepLines w:val="0"/>
        <w:widowControl/>
        <w:spacing w:before="280" w:after="280" w:line="360" w:lineRule="auto"/>
        <w:rPr>
          <w:rFonts w:ascii="Times New Roman" w:hAnsi="Times New Roman" w:eastAsia="Times New Roman" w:cs="Times New Roman"/>
          <w:b/>
          <w:bCs/>
          <w:sz w:val="24"/>
          <w:szCs w:val="24"/>
        </w:rPr>
      </w:pPr>
      <w:r>
        <w:rPr>
          <w:rFonts w:ascii="Times New Roman" w:hAnsi="Times New Roman" w:eastAsia="Times New Roman" w:cs="Times New Roman"/>
          <w:b/>
          <w:bCs/>
          <w:i w:val="0"/>
          <w:iCs w:val="0"/>
          <w:color w:val="000000"/>
          <w:sz w:val="24"/>
          <w:szCs w:val="24"/>
          <w:rtl w:val="0"/>
        </w:rPr>
        <w:t>To the Nursing Profession</w:t>
      </w:r>
    </w:p>
    <w:p w14:paraId="0000033A">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280" w:after="0" w:line="360" w:lineRule="auto"/>
        <w:ind w:left="420" w:right="0" w:hanging="420"/>
        <w:jc w:val="left"/>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Public health and clinic nurses should intensify culturally tailored health education during routine immunization visits, proactively debunking community rumors and addressing concerns regarding vaccine side effects.</w:t>
      </w:r>
    </w:p>
    <w:p w14:paraId="0000033B">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420" w:right="0" w:hanging="420"/>
        <w:jc w:val="left"/>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Nursing professionals should integrate evidence-based communication strategies and interactive literacy modules into clinical workflows to empower mothers with critical appraisal skills against digital misinformation.</w:t>
      </w:r>
    </w:p>
    <w:p w14:paraId="0000033C">
      <w:pPr>
        <w:keepNext w:val="0"/>
        <w:keepLines w:val="0"/>
        <w:pageBreakBefore w:val="0"/>
        <w:widowControl/>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after="280" w:line="360" w:lineRule="auto"/>
        <w:ind w:left="420" w:right="0" w:hanging="420"/>
        <w:jc w:val="left"/>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nursing profession should spearhead community-wide outreach programs that actively engage male partners, family elders, and religious leaders to build a supportive socio-cultural ecosystem for infant immunization.</w:t>
      </w:r>
    </w:p>
    <w:p w14:paraId="0000033D">
      <w:pPr>
        <w:pStyle w:val="5"/>
        <w:keepNext w:val="0"/>
        <w:keepLines w:val="0"/>
        <w:widowControl/>
        <w:spacing w:before="280" w:after="280" w:line="360" w:lineRule="auto"/>
        <w:rPr>
          <w:rFonts w:ascii="Times New Roman" w:hAnsi="Times New Roman" w:eastAsia="Times New Roman" w:cs="Times New Roman"/>
          <w:b/>
          <w:bCs/>
          <w:i w:val="0"/>
          <w:iCs w:val="0"/>
          <w:color w:val="000000"/>
          <w:sz w:val="24"/>
          <w:szCs w:val="24"/>
        </w:rPr>
      </w:pPr>
      <w:r>
        <w:rPr>
          <w:rFonts w:ascii="Times New Roman" w:hAnsi="Times New Roman" w:eastAsia="Times New Roman" w:cs="Times New Roman"/>
          <w:b/>
          <w:bCs/>
          <w:i w:val="0"/>
          <w:iCs w:val="0"/>
          <w:color w:val="000000"/>
          <w:sz w:val="24"/>
          <w:szCs w:val="24"/>
          <w:rtl w:val="0"/>
        </w:rPr>
        <w:t>To the Public</w:t>
      </w:r>
    </w:p>
    <w:p w14:paraId="0000033E">
      <w:pPr>
        <w:pStyle w:val="5"/>
        <w:keepNext w:val="0"/>
        <w:keepLines w:val="0"/>
        <w:widowControl/>
        <w:numPr>
          <w:ilvl w:val="0"/>
          <w:numId w:val="5"/>
        </w:numPr>
        <w:spacing w:before="280" w:after="0" w:line="360" w:lineRule="auto"/>
        <w:ind w:left="420" w:hanging="420"/>
        <w:rPr>
          <w:b w:val="0"/>
          <w:bCs w:val="0"/>
          <w:i w:val="0"/>
          <w:iCs w:val="0"/>
          <w:color w:val="000000"/>
          <w:sz w:val="24"/>
          <w:szCs w:val="24"/>
        </w:rPr>
      </w:pPr>
      <w:r>
        <w:rPr>
          <w:rFonts w:ascii="Times New Roman" w:hAnsi="Times New Roman" w:eastAsia="Times New Roman" w:cs="Times New Roman"/>
          <w:b w:val="0"/>
          <w:bCs w:val="0"/>
          <w:i w:val="0"/>
          <w:iCs w:val="0"/>
          <w:color w:val="000000"/>
          <w:sz w:val="24"/>
          <w:szCs w:val="24"/>
          <w:rtl w:val="0"/>
        </w:rPr>
        <w:t>Community members, mothers, fathers, and family units should actively embrace maternal health literacy initiatives and participate in grassroots health education programs.</w:t>
      </w:r>
    </w:p>
    <w:p w14:paraId="0000033F">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420" w:right="0" w:hanging="420"/>
        <w:jc w:val="left"/>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Religious and cultural leaders should leverage their positions of influence within the community to promote positive narratives regarding infant immunization, framing it as a vital health priority.</w:t>
      </w:r>
    </w:p>
    <w:p w14:paraId="00000340">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420" w:right="0" w:hanging="420"/>
        <w:jc w:val="left"/>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public should recognize that child welfare and immunization are shared societal and familial responsibilities rather than burdens placed solely on mothers.</w:t>
      </w:r>
    </w:p>
    <w:p w14:paraId="00000341">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280" w:line="360" w:lineRule="auto"/>
        <w:ind w:left="420" w:right="0" w:hanging="420"/>
        <w:jc w:val="left"/>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Families and community networks should foster open dialogues to proactively identify, address, and dispel unverified cultural myths, religious misconceptions, and social media misinformation concerning vaccine safety and efficacy.</w:t>
      </w:r>
    </w:p>
    <w:p w14:paraId="00000342">
      <w:pPr>
        <w:pStyle w:val="5"/>
        <w:keepNext w:val="0"/>
        <w:keepLines w:val="0"/>
        <w:widowControl/>
        <w:spacing w:before="280" w:after="280" w:line="360" w:lineRule="auto"/>
        <w:rPr>
          <w:rFonts w:ascii="Times New Roman" w:hAnsi="Times New Roman" w:eastAsia="Times New Roman" w:cs="Times New Roman"/>
          <w:i w:val="0"/>
          <w:iCs w:val="0"/>
          <w:color w:val="000000"/>
          <w:sz w:val="24"/>
          <w:szCs w:val="24"/>
        </w:rPr>
      </w:pPr>
      <w:r>
        <w:rPr>
          <w:rFonts w:ascii="Times New Roman" w:hAnsi="Times New Roman" w:eastAsia="Times New Roman" w:cs="Times New Roman"/>
          <w:b/>
          <w:bCs/>
          <w:i w:val="0"/>
          <w:iCs w:val="0"/>
          <w:color w:val="000000"/>
          <w:sz w:val="24"/>
          <w:szCs w:val="24"/>
          <w:rtl w:val="0"/>
        </w:rPr>
        <w:t>To Government and Health Authorities</w:t>
      </w:r>
    </w:p>
    <w:p w14:paraId="00000343">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280" w:after="0" w:line="360" w:lineRule="auto"/>
        <w:ind w:left="420" w:right="0" w:hanging="420"/>
        <w:jc w:val="left"/>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State ministries of health and primary healthcare boards should partner with religious and community leaders to propagate accurate immunization messaging across all regions.</w:t>
      </w:r>
    </w:p>
    <w:p w14:paraId="00000344">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420" w:right="0" w:hanging="420"/>
        <w:jc w:val="left"/>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Health authorities must ensure uninterrupted, unexpired vaccine supply chains, reliable cold-chain logistics, and equitable vaccine distribution across all primary healthcare facilities.</w:t>
      </w:r>
    </w:p>
    <w:p w14:paraId="00000345">
      <w:pPr>
        <w:keepNext w:val="0"/>
        <w:keepLines w:val="0"/>
        <w:pageBreakBefore w:val="0"/>
        <w:widowControl/>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after="280" w:line="360" w:lineRule="auto"/>
        <w:ind w:left="420" w:right="0" w:hanging="420"/>
        <w:jc w:val="left"/>
        <w:rPr>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Policymakers should allocate dedicated funding for community-based health literacy campaigns and continuous professional development programs for frontline healthcare workers.</w:t>
      </w:r>
    </w:p>
    <w:p w14:paraId="00000346">
      <w:pPr>
        <w:spacing w:line="36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tl w:val="0"/>
        </w:rPr>
        <w:t>Suggestions for Further Studies</w:t>
      </w:r>
    </w:p>
    <w:p w14:paraId="00000347">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Further research should adopt a mixed-methods design, combining quantitative surveys with qualitative in-depth interviews, to explore deep-seated cultural narratives and localized barriers to immunization. Comparative studies encompassing multiple primary healthcare facilities across both urban and rural LGAs in Kwara State should be conducted to establish broader regional benchmarks in maternal vaccine literacy and confidence.</w:t>
      </w:r>
    </w:p>
    <w:p w14:paraId="0000034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349">
      <w:pPr>
        <w:spacing w:line="360" w:lineRule="auto"/>
        <w:rPr>
          <w:rFonts w:ascii="Times New Roman" w:hAnsi="Times New Roman" w:eastAsia="Times New Roman" w:cs="Times New Roman"/>
          <w:sz w:val="24"/>
          <w:szCs w:val="24"/>
        </w:rPr>
      </w:pPr>
      <w:r>
        <w:br w:type="page"/>
      </w:r>
    </w:p>
    <w:p w14:paraId="0000034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bCs/>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References</w:t>
      </w:r>
    </w:p>
    <w:p w14:paraId="0000034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72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Abdulraheem, I. S., Onajole, A. T., Jimoh, A. A. G., &amp; Oladipo, A. R. (2011). Reasons for incomplete vaccination and factors for missed opportunities among children in Ilorin, Nigeria. Journal of Public Health and Epidemiology, 3(4), 194–203.</w:t>
      </w:r>
    </w:p>
    <w:p w14:paraId="0000034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72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Adedokun, S. T., Uthman, O. A., Adekanmbi, V. T., &amp; Wiysonge, C. S. (2017). Incomplete childhood immunization in Nigeria: A multilevel analysis of individual and contextual factors. BMC Public Health, 17(1), 236. [https://doi.org/10.1186/s12889-017-4137-7](https://doi.org/10.1186/s12889-017-4137-7)</w:t>
      </w:r>
    </w:p>
    <w:p w14:paraId="0000034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72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Adeyinka, A., Olatunji, D., &amp; Nnaji, C. (2025). Cultural tailoring of vaccination messages: Leveraging culturally adapted audio messaging in the promotion of maternal and infant vaccination uptake in rural communities in Nigeria. BMC Public Health, 25(1), 4151. [https://doi.org/10.1186/s12889-025-25293-5](https://www.google.com/search?q=https://doi.org/10.1186/s12889-025-25293-5)</w:t>
      </w:r>
    </w:p>
    <w:p w14:paraId="0000034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72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Africa Centres for Disease Control and Prevention. (2022). Framework for action: Partnerships for African vaccine manufacturing (PAVM). African Union.</w:t>
      </w:r>
    </w:p>
    <w:p w14:paraId="0000034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72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Amo-Adjei, J., Nurzhynska, A., Essuman, R., &amp; Lohiniva, A. L. (2022). Maternal health literacy and childhood immunization in Ghana: Analysis of the demographic and health survey. BMC Public Health, 22(1), 114. [https://doi.org/10.1186/s12889-022-12543-1](https://www.google.com/search?q=https://doi.org/10.1186/s12889-022-12543-1)</w:t>
      </w:r>
    </w:p>
    <w:p w14:paraId="0000035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72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Biasio, L. R., Bonaccorsi, G., Lorini, C., &amp; Pecorelli, S. (2021a). Assessing COVID-19 vaccine literacy: A preliminary online survey. Human Vaccines &amp; Immunotherapeutics, 17(5), 1304–1312. [https://doi.org/10.1080/21645515.2020.1829315](https://www.google.com/search?q=https://doi.org/10.1080/21645515.2020.1829315)</w:t>
      </w:r>
    </w:p>
    <w:p w14:paraId="0000035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72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Biasio, L. R., Bonaccorsi, G., Lorini, C., &amp; Pecorelli, S. (2021b). Assessing vaccine literacy in the general population: Development and initial validation of the Vaccine Literacy Scale. Human Vaccines &amp; Immunotherapeutics, 17(5), 1304–1312. [https://doi.org/10.1080/21645515.2020.1801215](https://www.google.com/search?q=https://doi.org/10.1080/21645515.2020.1801215)</w:t>
      </w:r>
    </w:p>
    <w:p w14:paraId="0000035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72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Centers for Disease Control and Prevention. (2021). Immunization: The basics. U.S. Department of Health &amp; Human Services. [https://www.cdc.gov/vaccines/vac-gen/imz-basics.htm](https://www.cdc.gov/vaccines/vac-gen/imz-basics.htm)</w:t>
      </w:r>
    </w:p>
    <w:p w14:paraId="0000035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72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Egwuaba, E. U., Sunday, B. A., &amp; Ume, I. S. (2026). Maternal health literacy and childhood immunization uptake: A social and educational analysis in North-Central Nigeria. African Journal of Humanities and Contemporary Education Research, 22(1), 31–51. [https://doi.org/10.62154/ajhcer.2026.022.01012](https://www.google.com/search?q=https://doi.org/10.62154/ajhcer.2026.022.01012)</w:t>
      </w:r>
    </w:p>
    <w:p w14:paraId="0000035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72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Eze, U. A., Ndwandwe, D., &amp; Wiysonge, C. S. (2022). Understanding drivers of vaccine hesitancy among pregnant women in Nigeria: A longitudinal study. npj Vaccines, 7(1), 108. [https://doi.org/10.1038/s41541-022-00489-7](https://www.google.com/search?q=https://doi.org/10.1038/s41541-022-00489-7)</w:t>
      </w:r>
    </w:p>
    <w:p w14:paraId="0000035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72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Fontanet, A., &amp; Cauchemez, S. (2020). COVID-19 herd immunity: Where are we? Nature Reviews Immunology, 20(10), 583–584. [https://doi.org/10.1038/s41577-020-00451-5](https://www.google.com/search?q=https://doi.org/10.1038/s41577-020-00451-5)</w:t>
      </w:r>
    </w:p>
    <w:p w14:paraId="0000035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72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Gavi, the Vaccine Alliance. (2023). Zero-dose children: The challenge and the opportunity. [https://www.gavi.org/our-alliance/strategy/phase-5-2021-2025/equity-goal/zero-dose-children](https://www.google.com/search?q=https://www.gavi.org/our-alliance/strategy/phase-5-2021-2025/equity-goal/zero-dose-children)</w:t>
      </w:r>
    </w:p>
    <w:p w14:paraId="0000035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72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Krammer, F. (2020). SARS-CoV-2 vaccines in development. Nature, 586(7830), 516–527. [https://doi.org/10.1038/s41586-020-2798-3](https://www.google.com/search?q=https://doi.org/10.1038/s41586-020-2798-3)</w:t>
      </w:r>
    </w:p>
    <w:p w14:paraId="0000035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72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Kwara State Ministry of Health. (2023). Annual maternal and child health immunization performance report. Kwara State Primary Health Care Development Agency.</w:t>
      </w:r>
    </w:p>
    <w:p w14:paraId="0000035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72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Larson, H. J., Schulz, W. S., Tucker, J. D., &amp; Smith, D. M. (2022). Measuring vaccine confidence 2020–2022: Global trends, infodemics, and the pivotal role of trusted healthcare communicators. The Lancet Infectious Diseases, 22(8), e212–e221. [https://doi.org/10.1016/S1473-3099(22)00112-X](https://www.google.com/search?q=https://doi.org/10.1016/S1473-3099(22)00112-X)</w:t>
      </w:r>
    </w:p>
    <w:p w14:paraId="0000035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72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Lorini, C., Santomauro, F., Donzelli, G., Boccalini, S., Bechini, A., &amp; Bonaccorsi, G. (2023). Vaccine literacy: A scoping review of the literature. Human Vaccines &amp; Immunotherapeutics, 19(1), 2181903. [https://doi.org/10.1080/21645515.2023.2181903](https://www.google.com/search?q=https://doi.org/10.1080/21645515.2023.2181903)</w:t>
      </w:r>
    </w:p>
    <w:p w14:paraId="0000035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72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National Bureau of Statistics &amp; United Nations Children's Fund. (2022). Multiple indicator cluster survey 2021 (MICS) &amp; national immunization coverage survey (NICS) report. National Bureau of Statistics.</w:t>
      </w:r>
    </w:p>
    <w:p w14:paraId="0000035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72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National Population Commission &amp; ICF. (2019). Nigeria demographic and health survey 2018. National Population Commission and ICF.</w:t>
      </w:r>
    </w:p>
    <w:p w14:paraId="0000035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72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National Primary Health Care Development Agency. (2022). National routine immunization schedule. Federal Ministry of Health, Nigeria.</w:t>
      </w:r>
    </w:p>
    <w:p w14:paraId="0000035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72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Ndwandwe, D., Wiysonge, C. S., &amp; Hussey, G. D. (2021). Vaccine hesitancy in South Africa: A complex web of historical, systemic, and cognitive barriers. BMJ Global Health, 6(1), e004526. [https://doi.org/10.1136/bmjgh-2020-004526](https://www.google.com/search?q=https://doi.org/10.1136/bmjgh-2020-004526)</w:t>
      </w:r>
    </w:p>
    <w:p w14:paraId="0000035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72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Nutbeam, D. (2000). Health literacy as a public health goal: A challenge for contemporary health education and communication strategies into the 21st century. Health Promotion International, 15(3), 259–267. [https://doi.org/10.1093/heapro/15.3.259](https://doi.org/10.1093/heapro/15.3.259)</w:t>
      </w:r>
    </w:p>
    <w:p w14:paraId="0000036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72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Nutbeam, D., &amp; Lloyd, J. E. (2021). Understanding and responding to health literacy as a social determinant of health. Annual Review of Public Health, 42, 159–173. [https://doi.org/10.1146/annurev-publhealth-090419-102529](https://www.google.com/search?q=https://doi.org/10.1146/annurev-publhealth-090419-102529)</w:t>
      </w:r>
    </w:p>
    <w:p w14:paraId="0000036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72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Oduwole, E. O., Pienaar, E. D., Mahomed, H., &amp; Wiysonge, C. S. (2021). Current trends in vaccine hesitancy in Africa: An overview of communication gaps. Expert Review of Vaccines, 20(11), 1477–1489. [https://doi.org/10.1080/14760584.2021.1981045](https://www.google.com/search?q=https://doi.org/10.1080/14760584.2021.1981045)</w:t>
      </w:r>
    </w:p>
    <w:p w14:paraId="0000036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72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Ogundele, O. A., Ogundele, T., &amp; Amoo, E. O. (2024). Determinants of vaccine hesitancy among pregnant women in South-West Nigeria: An explanatory sequential mixed method design. BMJ Open, 15(10), e101767. [https://bmjopen.bmj.com/content/15/10/e101767](https://bmjopen.bmj.com/content/15/10/e101767)</w:t>
      </w:r>
    </w:p>
    <w:p w14:paraId="0000036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72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Oleribe, O. O., Ezeigwe, N., &amp; Taylor, A. (2021). Vaccination decision-making among mothers of children 0–12 months old in Nigeria: A qualitative study. Human Vaccines &amp; Immunotherapeutics, 17(8), 2419–2425. [https://doi.org/10.1080/21645515.2021.1894939](https://www.google.com/search?q=https://doi.org/10.1080/21645515.2021.1894939)</w:t>
      </w:r>
    </w:p>
    <w:p w14:paraId="0000036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72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Plotkin, S. A. (2014). History of vaccination. Proceedings of the National Academy of Sciences, 111(34), 12283–12287. [https://doi.org/10.1073/pnas.1400472111](https://www.google.com/search?q=https://doi.org/10.1073/pnas.1400472111)</w:t>
      </w:r>
    </w:p>
    <w:p w14:paraId="0000036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72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Pollard, A. J., &amp; Bijker, E. M. (2021). A guide to vaccinology: From basic principles to new developments. Nature Reviews Immunology, 21(2), 83–100. [https://doi.org/10.1038/s41577-020-00479-7](https://www.google.com/search?q=https://doi.org/10.1038/s41577-020-00479-7)</w:t>
      </w:r>
    </w:p>
    <w:p w14:paraId="0000036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72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Riedel, S. (2005). Edward Jenner and the history of smallpox and vaccination. Baylor University Medical Center Proceedings, 18(1), 21–25. [https://doi.org/10.1080/08998280.2005.11928028](https://www.google.com/search?q=https://doi.org/10.1080/08998280.2005.11928028)</w:t>
      </w:r>
    </w:p>
    <w:p w14:paraId="0000036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72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Rosenstock, I. M. (1974). Historical origins of the Health Belief Model. Health Education Monographs, 2(4), 328–335.</w:t>
      </w:r>
    </w:p>
    <w:p w14:paraId="0000036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72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Sato, R. (2020). Fear, knowledge, and vaccination behaviors among women in Northern Nigeria. Vaccine, 38(46), 7242–7249. [https://doi.org/10.1016/j.vaccine.2020.09.070](https://www.google.com/search?q=https://doi.org/10.1016/j.vaccine.2020.09.070)</w:t>
      </w:r>
    </w:p>
    <w:p w14:paraId="0000036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72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Turhan, Z., Dilmaç, S., &amp; Erkayiran, O. (2021). The relationship between parents' health literacy and vaccine hesitancy. Public Health Nursing, 38(5), 784–791. [https://doi.org/10.1111/phn.12918](https://www.google.com/search?q=https://doi.org/10.1111/phn.12918)</w:t>
      </w:r>
    </w:p>
    <w:p w14:paraId="0000036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72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United Nations Children's Fund. (2023). The state of the world's children 2023: For every child, vaccination. UNICEF Innocenti Research Centre. [https://www.unicef.org/reports/state-worlds-children-2023](https://www.unicef.org/reports/state-worlds-children-2023)</w:t>
      </w:r>
    </w:p>
    <w:p w14:paraId="0000036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72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Wiysonge, C. S., Ndwandwe, D., Ryan, J., Jaca, A., Baty, O., Anya, B. M., &amp; Nnaji, C. A. (2022). Vaccine hesitancy in the era of COVID-19: Could lessons from the past help in divining the future? Human Vaccines &amp; Immunotherapeutics, 18(1), 1–3. [https://doi.org/10.1080/21645515.2021.1893062](https://www.google.com/search?q=https://doi.org/10.1080/21645515.2021.1893062)</w:t>
      </w:r>
    </w:p>
    <w:p w14:paraId="0000036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72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World Health Organization &amp; United Nations Children's Fund. (2023). WHO and UNICEF estimates of national immunization coverage (WUENIC). World Health Organization.</w:t>
      </w:r>
    </w:p>
    <w:p w14:paraId="0000036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72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World Health Organization. (2023). Vaccines and immunization. [https://www.who.int/health-topics/vaccines-and-immunization](https://www.who.int/health-topics/vaccines-and-immunization)</w:t>
      </w:r>
    </w:p>
    <w:p w14:paraId="0000036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72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World Health Organization. (2024). Immunization coverage fact sheet. [https://www.who.int/news-room/fact-sheets/detail/immunization-coverage](https://www.who.int/news-room/fact-sheets/detail/immunization-coverage)</w:t>
      </w:r>
    </w:p>
    <w:p w14:paraId="0000036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cente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APPENDIX III</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br w:type="textWrapping"/>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br w:type="textWrapping"/>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RESEARCH QUESTIONNAIRE</w:t>
      </w:r>
    </w:p>
    <w:p w14:paraId="0000037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Dear Respondent,</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br w:type="textWrapping"/>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 am Adeyemi Kehinde, a final-year nursing student at the University of Ilorin Teaching Hospital (UITH), conducting a study titled "Assessing Vaccine Literacy and it influence on Vaccine Confidence amongst Mothers Attending Kulende Basic Health Center Ilorin."</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This questionnaire is strictly for academic purposes. Your participation is voluntary, and all information provided will be kept highly confidential. Please do not write your name on this paper. Thank you for your cooperation.</w:t>
      </w:r>
    </w:p>
    <w:p w14:paraId="0000037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37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INFORMED CONSENT</w:t>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br w:type="textWrapping"/>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 have read and understood the purpose of this study as explained above. I understand that my participation is voluntary, that my responses will be kept confidential, and that I may withdraw at any time without any consequence to me.</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Please tick one of the boxes below:</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 I consent to participate in this study.</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br w:type="textWrapping"/>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 I do not consent to participate in this study</w:t>
      </w:r>
    </w:p>
    <w:p w14:paraId="0000037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p w14:paraId="0000037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SECTION A: SOCIO-DEMOGRAPHIC PROFILE</w:t>
      </w:r>
    </w:p>
    <w:p w14:paraId="0000037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iCs/>
          <w:smallCaps w:val="0"/>
          <w:strike w:val="0"/>
          <w:color w:val="000000"/>
          <w:sz w:val="24"/>
          <w:szCs w:val="24"/>
          <w:u w:val="none"/>
          <w:shd w:val="clear" w:fill="auto"/>
          <w:vertAlign w:val="baseline"/>
          <w:rtl w:val="0"/>
        </w:rPr>
        <w:t>Instruction: Please tick [   ] the option that best applies to you.</w:t>
      </w:r>
    </w:p>
    <w:p w14:paraId="0000037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1. Maternal Age: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 Under 20 years [   ] 20 - 29 years [   ] 30 - 39 years [   ] 40 years and above</w:t>
      </w:r>
    </w:p>
    <w:p w14:paraId="0000037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2. Highest Educational Attainment:</w:t>
      </w:r>
    </w:p>
    <w:p w14:paraId="0000037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 No Formal Education [   ] Primary Education [   ] Secondary Education</w:t>
      </w:r>
    </w:p>
    <w:p w14:paraId="0000037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 Tertiary Education (ND, HND, BSc, etc.)</w:t>
      </w:r>
    </w:p>
    <w:p w14:paraId="0000037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3. Marital Status: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 Single [   ] Married [   ] Divorced / Separated [   ] Widowed</w:t>
      </w:r>
    </w:p>
    <w:p w14:paraId="0000037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 xml:space="preserve">4. Occupational Status: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 Unemployed / Full-time Housewife</w:t>
      </w:r>
    </w:p>
    <w:p w14:paraId="0000037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 Artisan / Trader / Self-employed [   ] Civil / Public Servant [   ] Private Sector Employee</w:t>
      </w:r>
    </w:p>
    <w:p w14:paraId="0000037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5. Parity (Total number of children you have given birth to):</w:t>
      </w:r>
    </w:p>
    <w:p w14:paraId="0000037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 1 child (Primiparous) [   ] 2 - 4 children [   ] 5 or more children</w:t>
      </w:r>
    </w:p>
    <w:p w14:paraId="0000037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6. Religion:</w:t>
      </w:r>
    </w:p>
    <w:p w14:paraId="0000038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 Christianity</w:t>
      </w:r>
    </w:p>
    <w:p w14:paraId="0000038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 Islam</w:t>
      </w:r>
    </w:p>
    <w:p w14:paraId="0000038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 Traditional / Others</w:t>
      </w:r>
    </w:p>
    <w:p w14:paraId="0000038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7. Current Age of your Infant (the child receiving immunization):</w:t>
      </w:r>
    </w:p>
    <w:p w14:paraId="0000038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 0 - 6 months</w:t>
      </w:r>
    </w:p>
    <w:p w14:paraId="0000038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 7 - 11 months</w:t>
      </w:r>
    </w:p>
    <w:p w14:paraId="0000038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 12 - 18 months</w:t>
      </w:r>
    </w:p>
    <w:p w14:paraId="0000038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 19 - 24 months</w:t>
      </w:r>
    </w:p>
    <w:p w14:paraId="00000388">
      <w:pPr>
        <w:spacing w:line="360" w:lineRule="auto"/>
        <w:rPr>
          <w:rFonts w:ascii="Times New Roman" w:hAnsi="Times New Roman" w:eastAsia="Times New Roman" w:cs="Times New Roman"/>
          <w:b/>
          <w:bCs/>
          <w:sz w:val="24"/>
          <w:szCs w:val="24"/>
        </w:rPr>
      </w:pPr>
      <w:r>
        <w:br w:type="page"/>
      </w:r>
    </w:p>
    <w:p w14:paraId="0000038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SECTION B: FUNCTIONAL VACCINE LITERACY</w:t>
      </w:r>
    </w:p>
    <w:p w14:paraId="0000038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iCs/>
          <w:smallCaps w:val="0"/>
          <w:strike w:val="0"/>
          <w:color w:val="000000"/>
          <w:sz w:val="24"/>
          <w:szCs w:val="24"/>
          <w:u w:val="none"/>
          <w:shd w:val="clear" w:fill="auto"/>
          <w:vertAlign w:val="baseline"/>
          <w:rtl w:val="0"/>
        </w:rPr>
        <w:t>Instruction: Think about your experience with the vaccines your child receives. Please tick [   ] the box that matches how easy or difficult you find these activities.</w:t>
      </w:r>
      <w:r>
        <w:rPr>
          <w:rFonts w:ascii="Times New Roman" w:hAnsi="Times New Roman" w:eastAsia="Times New Roman" w:cs="Times New Roman"/>
          <w:b w:val="0"/>
          <w:bCs w:val="0"/>
          <w:i/>
          <w:iCs/>
          <w:smallCaps w:val="0"/>
          <w:strike w:val="0"/>
          <w:color w:val="000000"/>
          <w:sz w:val="24"/>
          <w:szCs w:val="24"/>
          <w:u w:val="none"/>
          <w:shd w:val="clear" w:fill="auto"/>
          <w:vertAlign w:val="baseline"/>
          <w:rtl w:val="0"/>
        </w:rPr>
        <w:br w:type="textWrapping"/>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Key: 4 = Very Easy (VE), 3 = Easy (E), 2 = Difficult (D), 1 = Very Difficult (VD)</w:t>
      </w:r>
    </w:p>
    <w:tbl>
      <w:tblPr>
        <w:tblStyle w:val="20"/>
        <w:tblW w:w="8750"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87"/>
        <w:gridCol w:w="3670"/>
        <w:gridCol w:w="1354"/>
        <w:gridCol w:w="932"/>
        <w:gridCol w:w="1093"/>
        <w:gridCol w:w="914"/>
      </w:tblGrid>
      <w:tr w14:paraId="230F62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8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8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Statements</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8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VE (4)</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8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E (3)</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8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 (2)</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9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VD (1)</w:t>
            </w:r>
          </w:p>
        </w:tc>
      </w:tr>
      <w:tr w14:paraId="1CE952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9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1.</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9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Read the return dates written on your baby's immunization card.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9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9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9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9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r>
      <w:tr w14:paraId="167C50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9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2.</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9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Understand the information on vaccine posters pasted at the clinic.</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9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9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9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9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r>
      <w:tr w14:paraId="35A15D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9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3.</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9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Understand the instructions nurses give about drug dosages (e.g., paracetamol) after vaccines.</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9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A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A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A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r>
      <w:tr w14:paraId="4BDCE3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A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4.</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A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Read and understand pamphlets or leaflets given to you about your baby's vaccines.</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A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A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A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A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r>
      <w:tr w14:paraId="3415BD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A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5.</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A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Fill out routine forms or clinic registers when you take your baby for vaccines.</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A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A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A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A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r>
      <w:tr w14:paraId="470740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A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6.</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B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Find out exactly which disease a particular vaccine (e.g., OPV, BCG) prevents.</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B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B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B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B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r>
    </w:tbl>
    <w:p w14:paraId="000003B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SECTION C: INTERACTIVE &amp; CRITICAL VACCINE LITERACY</w:t>
      </w:r>
    </w:p>
    <w:p w14:paraId="000003B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iCs/>
          <w:smallCaps w:val="0"/>
          <w:strike w:val="0"/>
          <w:color w:val="000000"/>
          <w:sz w:val="24"/>
          <w:szCs w:val="24"/>
          <w:u w:val="none"/>
          <w:shd w:val="clear" w:fill="auto"/>
          <w:vertAlign w:val="baseline"/>
          <w:rtl w:val="0"/>
        </w:rPr>
        <w:t>Instruction: Think about how you communicate and filter information. Please tick [   ] the box that matches how easy or difficult you find these activities.</w:t>
      </w:r>
      <w:r>
        <w:rPr>
          <w:rFonts w:ascii="Times New Roman" w:hAnsi="Times New Roman" w:eastAsia="Times New Roman" w:cs="Times New Roman"/>
          <w:b w:val="0"/>
          <w:bCs w:val="0"/>
          <w:i/>
          <w:iCs/>
          <w:smallCaps w:val="0"/>
          <w:strike w:val="0"/>
          <w:color w:val="000000"/>
          <w:sz w:val="24"/>
          <w:szCs w:val="24"/>
          <w:u w:val="none"/>
          <w:shd w:val="clear" w:fill="auto"/>
          <w:vertAlign w:val="baseline"/>
          <w:rtl w:val="0"/>
        </w:rPr>
        <w:br w:type="textWrapping"/>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Key: 4 = Very Easy (VE), 3 = Easy (E), 2 = Difficult (D), 1 = Very Difficult (VD)</w:t>
      </w:r>
    </w:p>
    <w:tbl>
      <w:tblPr>
        <w:tblStyle w:val="21"/>
        <w:tblW w:w="8640"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31"/>
        <w:gridCol w:w="3786"/>
        <w:gridCol w:w="1020"/>
        <w:gridCol w:w="946"/>
        <w:gridCol w:w="1034"/>
        <w:gridCol w:w="1023"/>
      </w:tblGrid>
      <w:tr w14:paraId="1221F5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B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B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Statements</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B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VE (4)</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B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E (3)</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B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 (2)</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B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VD (1)</w:t>
            </w:r>
          </w:p>
        </w:tc>
      </w:tr>
      <w:tr w14:paraId="37DE9A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B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1.</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B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Ask the nurses questions if you do not understand a detail about the vaccine.</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B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C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C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C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r>
      <w:tr w14:paraId="3BFA1D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C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2.</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C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Check if the health information you see on WhatsApp or Facebook about vaccines is true.</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C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C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C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C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r>
      <w:tr w14:paraId="0E7B28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C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3.</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C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Discuss any fears or worries you have about vaccine side effects with the nurses.</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C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C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C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C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r>
      <w:tr w14:paraId="1E82A2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C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4.</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D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Explain the real benefits of vaccines to a family member who has doubts.</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D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D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D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D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r>
      <w:tr w14:paraId="5D5D74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D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5.</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D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Identify when a community rumor about a vaccine is false or untrue.</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D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D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D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D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r>
      <w:tr w14:paraId="607C7D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D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6.</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D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Decide to immunize your child even when people around you say negative comments about it.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D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D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D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E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r>
    </w:tbl>
    <w:p w14:paraId="000003E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bCs/>
          <w:i w:val="0"/>
          <w:iCs w:val="0"/>
          <w:smallCaps w:val="0"/>
          <w:strike w:val="0"/>
          <w:color w:val="000000"/>
          <w:sz w:val="24"/>
          <w:szCs w:val="24"/>
          <w:u w:val="none"/>
          <w:shd w:val="clear" w:fill="auto"/>
          <w:vertAlign w:val="baseline"/>
        </w:rPr>
      </w:pPr>
    </w:p>
    <w:p w14:paraId="000003E2">
      <w:pPr>
        <w:spacing w:line="360" w:lineRule="auto"/>
        <w:rPr>
          <w:rFonts w:ascii="Times New Roman" w:hAnsi="Times New Roman" w:eastAsia="Times New Roman" w:cs="Times New Roman"/>
          <w:b/>
          <w:bCs/>
          <w:sz w:val="24"/>
          <w:szCs w:val="24"/>
        </w:rPr>
      </w:pPr>
      <w:r>
        <w:br w:type="page"/>
      </w:r>
    </w:p>
    <w:p w14:paraId="000003E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SECTION D: MATERNAL VACCINE CONFIDENCE</w:t>
      </w:r>
    </w:p>
    <w:p w14:paraId="000003E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iCs/>
          <w:smallCaps w:val="0"/>
          <w:strike w:val="0"/>
          <w:color w:val="000000"/>
          <w:sz w:val="24"/>
          <w:szCs w:val="24"/>
          <w:u w:val="none"/>
          <w:shd w:val="clear" w:fill="auto"/>
          <w:vertAlign w:val="baseline"/>
          <w:rtl w:val="0"/>
        </w:rPr>
        <w:t>Instruction: Please read these statements carefully and tick [   ] the box that best describes your level of agreement.</w:t>
      </w:r>
      <w:r>
        <w:rPr>
          <w:rFonts w:ascii="Times New Roman" w:hAnsi="Times New Roman" w:eastAsia="Times New Roman" w:cs="Times New Roman"/>
          <w:b w:val="0"/>
          <w:bCs w:val="0"/>
          <w:i/>
          <w:iCs/>
          <w:smallCaps w:val="0"/>
          <w:strike w:val="0"/>
          <w:color w:val="000000"/>
          <w:sz w:val="24"/>
          <w:szCs w:val="24"/>
          <w:u w:val="none"/>
          <w:shd w:val="clear" w:fill="auto"/>
          <w:vertAlign w:val="baseline"/>
          <w:rtl w:val="0"/>
        </w:rPr>
        <w:br w:type="textWrapping"/>
      </w: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Key: 5 = Strongly Agree (SA), 4 = Agree (A), 3 = Undecided (U), 2 = Disagree (D), 1 = Strongly Disagree (SD)</w:t>
      </w:r>
    </w:p>
    <w:tbl>
      <w:tblPr>
        <w:tblStyle w:val="22"/>
        <w:tblW w:w="9328"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87"/>
        <w:gridCol w:w="3574"/>
        <w:gridCol w:w="976"/>
        <w:gridCol w:w="786"/>
        <w:gridCol w:w="1092"/>
        <w:gridCol w:w="1078"/>
        <w:gridCol w:w="1035"/>
      </w:tblGrid>
      <w:tr w14:paraId="1C1644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40" w:hRule="atLeast"/>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E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E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Statements</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E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SA (5)</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E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A (4)</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E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U (3)</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E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D (2)</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E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SD (1)</w:t>
            </w:r>
          </w:p>
        </w:tc>
      </w:tr>
      <w:tr w14:paraId="10A5ED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E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1.</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E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 believe the vaccines given at this health center are completely safe for my baby.</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E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E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F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F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F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r>
      <w:tr w14:paraId="7226E2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F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2.</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F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 trust that the vaccines will not cause any severe harm or long-term complications to my child.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F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F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F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F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F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r>
      <w:tr w14:paraId="02B9AF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F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3.</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F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The health benefits to vaccinate my child far outweigh the risks of minor side effects.</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F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F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F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3F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40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r>
      <w:tr w14:paraId="62D5A2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40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4.</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40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 believe that vaccines are highly effective to protect my baby from killer childhood diseases.</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40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40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40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40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40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r>
      <w:tr w14:paraId="2C734B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40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5.</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40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Without vaccines, I believe my child is at a high risk to catch dangerous infections like polio or measles.</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40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40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40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40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40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r>
      <w:tr w14:paraId="60CBDD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40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6.</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41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It is absolutely necessary to immunize my child fully for their overall health and development.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41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41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41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41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41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r>
      <w:tr w14:paraId="70593C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41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7.</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41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 believe the vaccines work just as well as the nurses claim they do.</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41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41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41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41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41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r>
      <w:tr w14:paraId="0A986E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41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8.</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41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 have total trust in the nurses at this clinic to give the correct vaccines to my child safely.</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41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42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42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42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42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r>
      <w:tr w14:paraId="2EAA1C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424">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9.</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42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 believe the healthcare workers always have my baby's best interest at heart.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42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42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42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42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42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r>
      <w:tr w14:paraId="4F01F2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42B">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10.</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42C">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 trust the health authorities and the government to provide high-quality and unexpired vaccines for our children.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42D">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42E">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42F">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430">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431">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tc>
      </w:tr>
    </w:tbl>
    <w:p w14:paraId="0000043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bCs/>
          <w:i w:val="0"/>
          <w:iCs w:val="0"/>
          <w:smallCaps w:val="0"/>
          <w:strike w:val="0"/>
          <w:color w:val="000000"/>
          <w:sz w:val="24"/>
          <w:szCs w:val="24"/>
          <w:u w:val="none"/>
          <w:shd w:val="clear" w:fill="auto"/>
          <w:vertAlign w:val="baseline"/>
        </w:rPr>
      </w:pPr>
    </w:p>
    <w:p w14:paraId="00000433">
      <w:pPr>
        <w:spacing w:line="360" w:lineRule="auto"/>
        <w:rPr>
          <w:rFonts w:ascii="Times New Roman" w:hAnsi="Times New Roman" w:eastAsia="Times New Roman" w:cs="Times New Roman"/>
          <w:b/>
          <w:bCs/>
          <w:sz w:val="24"/>
          <w:szCs w:val="24"/>
        </w:rPr>
      </w:pPr>
      <w:r>
        <w:br w:type="page"/>
      </w:r>
    </w:p>
    <w:p w14:paraId="0000043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SECTION E: SOCIO-DEMOGRAPHIC IMPACTS ON LITERACY AND CONFIDENCE</w:t>
      </w:r>
    </w:p>
    <w:p w14:paraId="0000043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Instruction: Please read these questions and tick [   ] the ONE option that best describes your situation or experience.</w:t>
      </w:r>
    </w:p>
    <w:p w14:paraId="0000043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1. How does your formal education affect your ability to understand the details about vaccines?</w:t>
      </w:r>
    </w:p>
    <w:p w14:paraId="0000043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 My education makes it very easy to understand the details</w:t>
      </w:r>
    </w:p>
    <w:p w14:paraId="0000043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 My education makes it somewhat easy to understand</w:t>
      </w:r>
    </w:p>
    <w:p w14:paraId="0000043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 My education does not affect my ability to understand</w:t>
      </w:r>
    </w:p>
    <w:p w14:paraId="0000043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 My lack of formal education makes it difficult to understand</w:t>
      </w:r>
    </w:p>
    <w:p w14:paraId="0000043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2. How does your daily work or occupation affect your ability to complete all clinic visits for your child?</w:t>
      </w:r>
    </w:p>
    <w:p w14:paraId="0000043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 My work allows me plenty of time to attend the clinic</w:t>
      </w:r>
    </w:p>
    <w:p w14:paraId="0000043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 My work gives me just enough time to attend the clinic</w:t>
      </w:r>
    </w:p>
    <w:p w14:paraId="0000043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 My work makes it difficult to find time to attend the clinic</w:t>
      </w:r>
    </w:p>
    <w:p w14:paraId="0000043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 I do not have a formal job, so I have time to attend</w:t>
      </w:r>
    </w:p>
    <w:p w14:paraId="0000044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3. How do your religious beliefs affect your confidence to accept vaccines for your child?</w:t>
      </w:r>
    </w:p>
    <w:p w14:paraId="0000044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 My religion strongly supports and encourages vaccines</w:t>
      </w:r>
    </w:p>
    <w:p w14:paraId="0000044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 My religion allows vaccines but does not actively promote them</w:t>
      </w:r>
    </w:p>
    <w:p w14:paraId="0000044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 My religion has no effect on my decision to accept vaccines</w:t>
      </w:r>
    </w:p>
    <w:p w14:paraId="0000044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 My religion strictly discourages the use of vaccines</w:t>
      </w:r>
    </w:p>
    <w:p w14:paraId="0000044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4. How does your current age or the number of children you have affect your trust in the nurses?</w:t>
      </w:r>
    </w:p>
    <w:p w14:paraId="0000044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 My age and experience make me trust the nurses completely</w:t>
      </w:r>
    </w:p>
    <w:p w14:paraId="0000044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 My age and experience make me trust the nurses a little</w:t>
      </w:r>
    </w:p>
    <w:p w14:paraId="0000044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 My age and experience do not affect my trust</w:t>
      </w:r>
    </w:p>
    <w:p w14:paraId="0000044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 My age and experience make me doubt the nurses sometimes</w:t>
      </w:r>
    </w:p>
    <w:p w14:paraId="0000044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bCs/>
          <w:i w:val="0"/>
          <w:iCs w:val="0"/>
          <w:smallCaps w:val="0"/>
          <w:strike w:val="0"/>
          <w:color w:val="000000"/>
          <w:sz w:val="24"/>
          <w:szCs w:val="24"/>
          <w:u w:val="none"/>
          <w:shd w:val="clear" w:fill="auto"/>
          <w:vertAlign w:val="baseline"/>
          <w:rtl w:val="0"/>
        </w:rPr>
        <w:t>5. How does your husband or partner affect your decision to accept vaccines for your baby?</w:t>
      </w:r>
    </w:p>
    <w:p w14:paraId="0000044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 My partner provides full support for my decision</w:t>
      </w:r>
    </w:p>
    <w:p w14:paraId="0000044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 My partner provides some support for my decision</w:t>
      </w:r>
    </w:p>
    <w:p w14:paraId="0000044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 My partner does not interfere; I make the decision alone</w:t>
      </w:r>
    </w:p>
    <w:p w14:paraId="0000044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both"/>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 My partner discourages my decision to use vaccines</w:t>
      </w:r>
    </w:p>
    <w:sectPr>
      <w:headerReference r:id="rId5" w:type="first"/>
      <w:footerReference r:id="rId8" w:type="first"/>
      <w:headerReference r:id="rId3" w:type="default"/>
      <w:footerReference r:id="rId6" w:type="default"/>
      <w:headerReference r:id="rId4" w:type="even"/>
      <w:footerReference r:id="rId7" w:type="even"/>
      <w:pgSz w:w="12242" w:h="15842"/>
      <w:pgMar w:top="1440" w:right="1440"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EB18A4CC-CC7D-4483-86EE-5530020115FD}"/>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0F2F4BC5-6B29-4EAB-B0DE-5AA5E7C7F030}"/>
  </w:font>
  <w:font w:name="Wingdings">
    <w:panose1 w:val="05000000000000000000"/>
    <w:charset w:val="02"/>
    <w:family w:val="auto"/>
    <w:pitch w:val="default"/>
    <w:sig w:usb0="00000000" w:usb1="00000000" w:usb2="00000000" w:usb3="00000000" w:csb0="80000000" w:csb1="00000000"/>
    <w:embedRegular r:id="rId3" w:fontKey="{69ABA86F-DB91-48B4-8E05-414C9AF9A9A6}"/>
  </w:font>
  <w:font w:name="Calibri">
    <w:panose1 w:val="020F0502020204030204"/>
    <w:charset w:val="00"/>
    <w:family w:val="swiss"/>
    <w:pitch w:val="default"/>
    <w:sig w:usb0="E4002EFF" w:usb1="C000247B" w:usb2="00000009" w:usb3="00000000" w:csb0="200001FF" w:csb1="00000000"/>
    <w:embedRegular r:id="rId4" w:fontKey="{DE28C5F3-6E47-43F3-8043-A0ADC38DA22B}"/>
  </w:font>
  <w:font w:name="Calibri">
    <w:panose1 w:val="020F0502020204030204"/>
    <w:charset w:val="86"/>
    <w:family w:val="swiss"/>
    <w:pitch w:val="default"/>
    <w:sig w:usb0="E4002EFF" w:usb1="C000247B" w:usb2="00000009" w:usb3="00000000" w:csb0="200001FF" w:csb1="00000000"/>
    <w:embedRegular r:id="rId5" w:fontKey="{234B753A-7BFD-48C4-BD1E-07DE9AAF2A2B}"/>
  </w:font>
  <w:font w:name="Georgia">
    <w:panose1 w:val="02040502050405020303"/>
    <w:charset w:val="00"/>
    <w:family w:val="auto"/>
    <w:pitch w:val="default"/>
    <w:sig w:usb0="00000287" w:usb1="00000000" w:usb2="00000000" w:usb3="00000000" w:csb0="2000009F" w:csb1="00000000"/>
    <w:embedRegular r:id="rId6" w:fontKey="{49B62493-E7B3-436F-B26C-ADC2E85CD13F}"/>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7" w:fontKey="{9D2B6588-42D4-4F0C-8645-70E588AE041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452">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0" w:firstLine="0"/>
      <w:jc w:val="center"/>
      <w:rPr>
        <w:rFonts w:ascii="Calibri" w:hAnsi="Calibri" w:eastAsia="Calibri" w:cs="Calibri"/>
        <w:b w:val="0"/>
        <w:bCs w:val="0"/>
        <w:i w:val="0"/>
        <w:iCs w:val="0"/>
        <w:smallCaps w:val="0"/>
        <w:strike w:val="0"/>
        <w:color w:val="000000"/>
        <w:sz w:val="20"/>
        <w:szCs w:val="20"/>
        <w:u w:val="none"/>
        <w:shd w:val="clear" w:fill="auto"/>
        <w:vertAlign w:val="baseline"/>
      </w:rPr>
    </w:pPr>
    <w:r>
      <w:rPr>
        <w:rFonts w:ascii="Calibri" w:hAnsi="Calibri" w:eastAsia="Calibri" w:cs="Calibri"/>
        <w:b w:val="0"/>
        <w:bCs w:val="0"/>
        <w:i w:val="0"/>
        <w:iCs w:val="0"/>
        <w:smallCaps w:val="0"/>
        <w:strike w:val="0"/>
        <w:color w:val="000000"/>
        <w:sz w:val="20"/>
        <w:szCs w:val="20"/>
        <w:u w:val="none"/>
        <w:shd w:val="clear" w:fill="auto"/>
        <w:vertAlign w:val="baseline"/>
      </w:rPr>
      <w:fldChar w:fldCharType="begin"/>
    </w:r>
    <w:r>
      <w:rPr>
        <w:rFonts w:ascii="Calibri" w:hAnsi="Calibri" w:eastAsia="Calibri" w:cs="Calibri"/>
        <w:b w:val="0"/>
        <w:bCs w:val="0"/>
        <w:i w:val="0"/>
        <w:iCs w:val="0"/>
        <w:smallCaps w:val="0"/>
        <w:strike w:val="0"/>
        <w:color w:val="000000"/>
        <w:sz w:val="20"/>
        <w:szCs w:val="20"/>
        <w:u w:val="none"/>
        <w:shd w:val="clear" w:fill="auto"/>
        <w:vertAlign w:val="baseline"/>
      </w:rPr>
      <w:instrText xml:space="preserve">PAGE</w:instrText>
    </w:r>
    <w:r>
      <w:rPr>
        <w:rFonts w:ascii="Calibri" w:hAnsi="Calibri" w:eastAsia="Calibri" w:cs="Calibri"/>
        <w:b w:val="0"/>
        <w:bCs w:val="0"/>
        <w:i w:val="0"/>
        <w:iCs w:val="0"/>
        <w:smallCaps w:val="0"/>
        <w:strike w:val="0"/>
        <w:color w:val="000000"/>
        <w:sz w:val="20"/>
        <w:szCs w:val="20"/>
        <w:u w:val="none"/>
        <w:shd w:val="clear" w:fill="auto"/>
        <w:vertAlign w:val="baseline"/>
      </w:rPr>
      <w:fldChar w:fldCharType="separate"/>
    </w:r>
    <w:r>
      <w:rPr>
        <w:rFonts w:ascii="Calibri" w:hAnsi="Calibri" w:eastAsia="Calibri" w:cs="Calibri"/>
        <w:b w:val="0"/>
        <w:bCs w:val="0"/>
        <w:i w:val="0"/>
        <w:iCs w:val="0"/>
        <w:smallCaps w:val="0"/>
        <w:strike w:val="0"/>
        <w:color w:val="000000"/>
        <w:sz w:val="20"/>
        <w:szCs w:val="20"/>
        <w:u w:val="none"/>
        <w:shd w:val="clear" w:fill="auto"/>
        <w:vertAlign w:val="baseline"/>
      </w:rPr>
      <w:fldChar w:fldCharType="end"/>
    </w:r>
  </w:p>
  <w:p w14:paraId="00000453">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0" w:firstLine="0"/>
      <w:jc w:val="left"/>
      <w:rPr>
        <w:rFonts w:ascii="Calibri" w:hAnsi="Calibri" w:eastAsia="Calibri" w:cs="Calibri"/>
        <w:b w:val="0"/>
        <w:bCs w:val="0"/>
        <w:i w:val="0"/>
        <w:iCs w:val="0"/>
        <w:smallCaps w:val="0"/>
        <w:strike w:val="0"/>
        <w:color w:val="000000"/>
        <w:sz w:val="20"/>
        <w:szCs w:val="20"/>
        <w:u w:val="none"/>
        <w:shd w:val="clear" w:fill="auto"/>
        <w:vertAlign w:val="baseline"/>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455">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0" w:firstLine="0"/>
      <w:jc w:val="left"/>
      <w:rPr>
        <w:rFonts w:ascii="Calibri" w:hAnsi="Calibri" w:eastAsia="Calibri" w:cs="Calibri"/>
        <w:b w:val="0"/>
        <w:bCs w:val="0"/>
        <w:i w:val="0"/>
        <w:iCs w:val="0"/>
        <w:smallCaps w:val="0"/>
        <w:strike w:val="0"/>
        <w:color w:val="000000"/>
        <w:sz w:val="20"/>
        <w:szCs w:val="20"/>
        <w:u w:val="none"/>
        <w:shd w:val="clear" w:fill="auto"/>
        <w:vertAlign w:val="baseline"/>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454">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0" w:firstLine="0"/>
      <w:jc w:val="left"/>
      <w:rPr>
        <w:rFonts w:ascii="Calibri" w:hAnsi="Calibri" w:eastAsia="Calibri" w:cs="Calibri"/>
        <w:b w:val="0"/>
        <w:bCs w:val="0"/>
        <w:i w:val="0"/>
        <w:iCs w:val="0"/>
        <w:smallCaps w:val="0"/>
        <w:strike w:val="0"/>
        <w:color w:val="000000"/>
        <w:sz w:val="20"/>
        <w:szCs w:val="20"/>
        <w:u w:val="none"/>
        <w:shd w:val="clear" w:fill="auto"/>
        <w:vertAlign w:val="baseline"/>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44F">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0" w:firstLine="0"/>
      <w:jc w:val="left"/>
      <w:rPr>
        <w:rFonts w:ascii="Calibri" w:hAnsi="Calibri" w:eastAsia="Calibri" w:cs="Calibri"/>
        <w:b w:val="0"/>
        <w:bCs w:val="0"/>
        <w:i w:val="0"/>
        <w:iCs w:val="0"/>
        <w:smallCaps w:val="0"/>
        <w:strike w:val="0"/>
        <w:color w:val="000000"/>
        <w:sz w:val="20"/>
        <w:szCs w:val="20"/>
        <w:u w:val="none"/>
        <w:shd w:val="clear" w:fill="auto"/>
        <w:vertAlign w:val="baseline"/>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451">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0" w:firstLine="0"/>
      <w:jc w:val="left"/>
      <w:rPr>
        <w:rFonts w:ascii="Calibri" w:hAnsi="Calibri" w:eastAsia="Calibri" w:cs="Calibri"/>
        <w:b w:val="0"/>
        <w:bCs w:val="0"/>
        <w:i w:val="0"/>
        <w:iCs w:val="0"/>
        <w:smallCaps w:val="0"/>
        <w:strike w:val="0"/>
        <w:color w:val="000000"/>
        <w:sz w:val="20"/>
        <w:szCs w:val="20"/>
        <w:u w:val="none"/>
        <w:shd w:val="clear" w:fill="auto"/>
        <w:vertAlign w:val="baseline"/>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450">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0" w:firstLine="0"/>
      <w:jc w:val="left"/>
      <w:rPr>
        <w:rFonts w:ascii="Calibri" w:hAnsi="Calibri" w:eastAsia="Calibri" w:cs="Calibri"/>
        <w:b w:val="0"/>
        <w:bCs w:val="0"/>
        <w:i w:val="0"/>
        <w:iCs w:val="0"/>
        <w:smallCaps w:val="0"/>
        <w:strike w:val="0"/>
        <w:color w:val="000000"/>
        <w:sz w:val="20"/>
        <w:szCs w:val="20"/>
        <w:u w:val="none"/>
        <w:shd w:val="clear" w:fill="auto"/>
        <w:vertAlign w:val="baselin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ind w:left="420" w:hanging="420"/>
      </w:pPr>
      <w:rPr>
        <w:rFonts w:ascii="Noto Sans Symbols" w:hAnsi="Noto Sans Symbols" w:eastAsia="Noto Sans Symbols" w:cs="Noto Sans Symbols"/>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1">
    <w:nsid w:val="BF205925"/>
    <w:multiLevelType w:val="multilevel"/>
    <w:tmpl w:val="BF205925"/>
    <w:lvl w:ilvl="0" w:tentative="0">
      <w:start w:val="1"/>
      <w:numFmt w:val="bullet"/>
      <w:lvlText w:val="●"/>
      <w:lvlJc w:val="left"/>
      <w:pPr>
        <w:ind w:left="420" w:hanging="420"/>
      </w:pPr>
      <w:rPr>
        <w:rFonts w:ascii="Noto Sans Symbols" w:hAnsi="Noto Sans Symbols" w:eastAsia="Noto Sans Symbols" w:cs="Noto Sans Symbols"/>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2">
    <w:nsid w:val="CF092B84"/>
    <w:multiLevelType w:val="multilevel"/>
    <w:tmpl w:val="CF092B84"/>
    <w:lvl w:ilvl="0" w:tentative="0">
      <w:start w:val="1"/>
      <w:numFmt w:val="decimal"/>
      <w:lvlText w:val="%1."/>
      <w:lvlJc w:val="left"/>
      <w:pPr>
        <w:ind w:left="0" w:firstLine="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3">
    <w:nsid w:val="0053208E"/>
    <w:multiLevelType w:val="multilevel"/>
    <w:tmpl w:val="0053208E"/>
    <w:lvl w:ilvl="0" w:tentative="0">
      <w:start w:val="1"/>
      <w:numFmt w:val="decimal"/>
      <w:lvlText w:val="%1."/>
      <w:lvlJc w:val="left"/>
      <w:pPr>
        <w:ind w:left="425" w:hanging="425"/>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4">
    <w:nsid w:val="59ADCABA"/>
    <w:multiLevelType w:val="multilevel"/>
    <w:tmpl w:val="59ADCABA"/>
    <w:lvl w:ilvl="0" w:tentative="0">
      <w:start w:val="1"/>
      <w:numFmt w:val="decimal"/>
      <w:lvlText w:val="%1."/>
      <w:lvlJc w:val="left"/>
      <w:pPr>
        <w:ind w:left="0" w:firstLine="0"/>
      </w:pPr>
    </w:lvl>
    <w:lvl w:ilvl="1" w:tentative="0">
      <w:start w:val="1"/>
      <w:numFmt w:val="decimal"/>
      <w:lvlText w:val="%1.%2"/>
      <w:lvlJc w:val="left"/>
      <w:pPr>
        <w:ind w:left="0" w:firstLine="0"/>
      </w:pPr>
    </w:lvl>
    <w:lvl w:ilvl="2" w:tentative="0">
      <w:start w:val="1"/>
      <w:numFmt w:val="decimal"/>
      <w:lvlText w:val="%1.%2.%3"/>
      <w:lvlJc w:val="left"/>
      <w:pPr>
        <w:ind w:left="0" w:firstLine="0"/>
      </w:pPr>
    </w:lvl>
    <w:lvl w:ilvl="3" w:tentative="0">
      <w:start w:val="1"/>
      <w:numFmt w:val="decimal"/>
      <w:lvlText w:val="%1.%2.%3.%4"/>
      <w:lvlJc w:val="left"/>
      <w:pPr>
        <w:ind w:left="0" w:firstLine="0"/>
      </w:pPr>
    </w:lvl>
    <w:lvl w:ilvl="4" w:tentative="0">
      <w:start w:val="1"/>
      <w:numFmt w:val="decimal"/>
      <w:lvlText w:val="%1.%2.%3.%4.%5"/>
      <w:lvlJc w:val="left"/>
      <w:pPr>
        <w:ind w:left="0" w:firstLine="0"/>
      </w:pPr>
    </w:lvl>
    <w:lvl w:ilvl="5" w:tentative="0">
      <w:start w:val="1"/>
      <w:numFmt w:val="decimal"/>
      <w:lvlText w:val="%1.%2.%3.%4.%5.%6"/>
      <w:lvlJc w:val="left"/>
      <w:pPr>
        <w:ind w:left="0" w:firstLine="0"/>
      </w:pPr>
    </w:lvl>
    <w:lvl w:ilvl="6" w:tentative="0">
      <w:start w:val="1"/>
      <w:numFmt w:val="decimal"/>
      <w:lvlText w:val="%1.%2.%3.%4.%5.%6.%7"/>
      <w:lvlJc w:val="left"/>
      <w:pPr>
        <w:ind w:left="0" w:firstLine="0"/>
      </w:pPr>
    </w:lvl>
    <w:lvl w:ilvl="7" w:tentative="0">
      <w:start w:val="1"/>
      <w:numFmt w:val="decimal"/>
      <w:lvlText w:val="%1.%2.%3.%4.%5.%6.%7.%8"/>
      <w:lvlJc w:val="left"/>
      <w:pPr>
        <w:ind w:left="0" w:firstLine="0"/>
      </w:pPr>
    </w:lvl>
    <w:lvl w:ilvl="8" w:tentative="0">
      <w:start w:val="1"/>
      <w:numFmt w:val="decimal"/>
      <w:lvlText w:val="%1.%2.%3.%4.%5.%6.%7.%8.%9"/>
      <w:lvlJc w:val="left"/>
      <w:pPr>
        <w:ind w:left="0" w:firstLine="0"/>
      </w:p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compat>
    <w:compatSetting w:name="compatibilityMode" w:uri="http://schemas.microsoft.com/office/word" w:val="15"/>
  </w:compat>
  <w:rsids>
    <w:rsidRoot w:val="00000000"/>
    <w:rsid w:val="030A7930"/>
    <w:rsid w:val="2A895393"/>
    <w:rsid w:val="3F502C4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lang w:val="en"/>
    </w:rPr>
  </w:style>
  <w:style w:type="paragraph" w:styleId="2">
    <w:name w:val="heading 1"/>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SimSun" w:hAnsi="SimSun" w:eastAsia="SimSun" w:cs="SimSun"/>
      <w:b/>
      <w:bCs/>
      <w:color w:val="000000"/>
      <w:sz w:val="48"/>
      <w:szCs w:val="48"/>
      <w:u w:val="none"/>
      <w:shd w:val="clear" w:fill="auto"/>
      <w:vertAlign w:val="baseline"/>
    </w:rPr>
  </w:style>
  <w:style w:type="paragraph" w:styleId="3">
    <w:name w:val="heading 2"/>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SimSun" w:hAnsi="SimSun" w:eastAsia="SimSun" w:cs="SimSun"/>
      <w:b/>
      <w:bCs/>
      <w:color w:val="000000"/>
      <w:sz w:val="36"/>
      <w:szCs w:val="36"/>
      <w:u w:val="none"/>
      <w:shd w:val="clear" w:fill="auto"/>
      <w:vertAlign w:val="baseline"/>
    </w:rPr>
  </w:style>
  <w:style w:type="paragraph" w:styleId="4">
    <w:name w:val="heading 3"/>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SimSun" w:hAnsi="SimSun" w:eastAsia="SimSun" w:cs="SimSun"/>
      <w:b/>
      <w:bCs/>
      <w:color w:val="000000"/>
      <w:sz w:val="27"/>
      <w:szCs w:val="27"/>
      <w:u w:val="none"/>
      <w:shd w:val="clear" w:fill="auto"/>
      <w:vertAlign w:val="baseline"/>
    </w:rPr>
  </w:style>
  <w:style w:type="paragraph" w:styleId="5">
    <w:name w:val="heading 4"/>
    <w:basedOn w:val="1"/>
    <w:next w:val="1"/>
    <w:qFormat/>
    <w:uiPriority w:val="0"/>
    <w:rPr>
      <w:rFonts w:ascii="SimSun" w:hAnsi="SimSun" w:eastAsia="SimSun" w:cs="SimSun"/>
      <w:b/>
      <w:bCs/>
      <w:sz w:val="24"/>
      <w:szCs w:val="24"/>
    </w:rPr>
  </w:style>
  <w:style w:type="paragraph" w:styleId="6">
    <w:name w:val="heading 5"/>
    <w:basedOn w:val="1"/>
    <w:next w:val="1"/>
    <w:qFormat/>
    <w:uiPriority w:val="0"/>
    <w:pPr>
      <w:keepNext/>
      <w:keepLines/>
      <w:pageBreakBefore w:val="0"/>
      <w:spacing w:before="220" w:after="40"/>
    </w:pPr>
    <w:rPr>
      <w:b/>
      <w:bCs/>
      <w:sz w:val="22"/>
      <w:szCs w:val="22"/>
    </w:rPr>
  </w:style>
  <w:style w:type="paragraph" w:styleId="7">
    <w:name w:val="heading 6"/>
    <w:basedOn w:val="1"/>
    <w:next w:val="1"/>
    <w:qFormat/>
    <w:uiPriority w:val="0"/>
    <w:pPr>
      <w:keepNext/>
      <w:keepLines/>
      <w:pageBreakBefore w:val="0"/>
      <w:spacing w:before="200" w:after="40"/>
    </w:pPr>
    <w:rPr>
      <w:b/>
      <w:bCs/>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qFormat/>
    <w:uiPriority w:val="0"/>
    <w:pPr>
      <w:keepNext/>
      <w:keepLines/>
      <w:pageBreakBefore w:val="0"/>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pPr>
      <w:widowControl w:val="0"/>
      <w:jc w:val="both"/>
    </w:pPr>
    <w:tblPr>
      <w:tblCellMar>
        <w:top w:w="0" w:type="dxa"/>
        <w:left w:w="108" w:type="dxa"/>
        <w:bottom w:w="0" w:type="dxa"/>
        <w:right w:w="108" w:type="dxa"/>
      </w:tblCellMar>
    </w:tblPr>
  </w:style>
  <w:style w:type="table" w:customStyle="1" w:styleId="14">
    <w:name w:val="_Style 11"/>
    <w:basedOn w:val="12"/>
    <w:qFormat/>
    <w:uiPriority w:val="0"/>
    <w:pPr>
      <w:widowControl w:val="0"/>
      <w:jc w:val="both"/>
    </w:pPr>
    <w:tblPr>
      <w:tblCellMar>
        <w:top w:w="0" w:type="dxa"/>
        <w:left w:w="108" w:type="dxa"/>
        <w:bottom w:w="0" w:type="dxa"/>
        <w:right w:w="108" w:type="dxa"/>
      </w:tblCellMar>
    </w:tblPr>
  </w:style>
  <w:style w:type="table" w:customStyle="1" w:styleId="15">
    <w:name w:val="_Style 12"/>
    <w:basedOn w:val="12"/>
    <w:qFormat/>
    <w:uiPriority w:val="0"/>
    <w:pPr>
      <w:widowControl w:val="0"/>
      <w:jc w:val="both"/>
    </w:pPr>
    <w:tblPr>
      <w:tblCellMar>
        <w:top w:w="0" w:type="dxa"/>
        <w:left w:w="108" w:type="dxa"/>
        <w:bottom w:w="0" w:type="dxa"/>
        <w:right w:w="108" w:type="dxa"/>
      </w:tblCellMar>
    </w:tblPr>
  </w:style>
  <w:style w:type="table" w:customStyle="1" w:styleId="16">
    <w:name w:val="_Style 13"/>
    <w:basedOn w:val="12"/>
    <w:qFormat/>
    <w:uiPriority w:val="0"/>
    <w:pPr>
      <w:widowControl w:val="0"/>
      <w:jc w:val="both"/>
    </w:pPr>
    <w:tblPr>
      <w:tblCellMar>
        <w:top w:w="0" w:type="dxa"/>
        <w:left w:w="108" w:type="dxa"/>
        <w:bottom w:w="0" w:type="dxa"/>
        <w:right w:w="108" w:type="dxa"/>
      </w:tblCellMar>
    </w:tblPr>
  </w:style>
  <w:style w:type="table" w:customStyle="1" w:styleId="17">
    <w:name w:val="_Style 14"/>
    <w:basedOn w:val="12"/>
    <w:qFormat/>
    <w:uiPriority w:val="0"/>
    <w:pPr>
      <w:widowControl w:val="0"/>
      <w:jc w:val="both"/>
    </w:pPr>
    <w:tblPr>
      <w:tblCellMar>
        <w:top w:w="0" w:type="dxa"/>
        <w:left w:w="108" w:type="dxa"/>
        <w:bottom w:w="0" w:type="dxa"/>
        <w:right w:w="108" w:type="dxa"/>
      </w:tblCellMar>
    </w:tblPr>
  </w:style>
  <w:style w:type="table" w:customStyle="1" w:styleId="18">
    <w:name w:val="_Style 15"/>
    <w:basedOn w:val="12"/>
    <w:qFormat/>
    <w:uiPriority w:val="0"/>
    <w:pPr>
      <w:widowControl w:val="0"/>
      <w:jc w:val="both"/>
    </w:pPr>
    <w:tblPr>
      <w:tblCellMar>
        <w:top w:w="0" w:type="dxa"/>
        <w:left w:w="108" w:type="dxa"/>
        <w:bottom w:w="0" w:type="dxa"/>
        <w:right w:w="108" w:type="dxa"/>
      </w:tblCellMar>
    </w:tblPr>
  </w:style>
  <w:style w:type="table" w:customStyle="1" w:styleId="19">
    <w:name w:val="_Style 16"/>
    <w:basedOn w:val="12"/>
    <w:qFormat/>
    <w:uiPriority w:val="0"/>
    <w:pPr>
      <w:widowControl w:val="0"/>
      <w:jc w:val="both"/>
    </w:pPr>
    <w:tblPr>
      <w:tblCellMar>
        <w:top w:w="0" w:type="dxa"/>
        <w:left w:w="108" w:type="dxa"/>
        <w:bottom w:w="0" w:type="dxa"/>
        <w:right w:w="108" w:type="dxa"/>
      </w:tblCellMar>
    </w:tblPr>
  </w:style>
  <w:style w:type="table" w:customStyle="1" w:styleId="20">
    <w:name w:val="_Style 17"/>
    <w:basedOn w:val="12"/>
    <w:qFormat/>
    <w:uiPriority w:val="0"/>
    <w:pPr>
      <w:widowControl w:val="0"/>
      <w:jc w:val="both"/>
    </w:pPr>
    <w:tblPr>
      <w:tblCellMar>
        <w:top w:w="0" w:type="dxa"/>
        <w:left w:w="108" w:type="dxa"/>
        <w:bottom w:w="0" w:type="dxa"/>
        <w:right w:w="108" w:type="dxa"/>
      </w:tblCellMar>
    </w:tblPr>
  </w:style>
  <w:style w:type="table" w:customStyle="1" w:styleId="21">
    <w:name w:val="_Style 18"/>
    <w:basedOn w:val="12"/>
    <w:qFormat/>
    <w:uiPriority w:val="0"/>
    <w:pPr>
      <w:widowControl w:val="0"/>
      <w:jc w:val="both"/>
    </w:pPr>
    <w:tblPr>
      <w:tblCellMar>
        <w:top w:w="0" w:type="dxa"/>
        <w:left w:w="108" w:type="dxa"/>
        <w:bottom w:w="0" w:type="dxa"/>
        <w:right w:w="108" w:type="dxa"/>
      </w:tblCellMar>
    </w:tblPr>
  </w:style>
  <w:style w:type="table" w:customStyle="1" w:styleId="22">
    <w:name w:val="_Style 19"/>
    <w:basedOn w:val="12"/>
    <w:qFormat/>
    <w:uiPriority w:val="0"/>
    <w:pPr>
      <w:widowControl w:val="0"/>
      <w:jc w:val="both"/>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77</Pages>
  <Words>17465</Words>
  <Characters>110741</Characters>
  <TotalTime>6</TotalTime>
  <ScaleCrop>false</ScaleCrop>
  <LinksUpToDate>false</LinksUpToDate>
  <CharactersWithSpaces>127958</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2026-10-26T20:33:00Z</dcterms:created>
  <dc:creator>hp</dc:creator>
  <cp:lastModifiedBy>adeyemikennedy</cp:lastModifiedBy>
  <dcterms:modified xsi:type="dcterms:W3CDTF">2026-10-26T20:58:25Z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eyJoZGlkIjoiM2FiZDg2N2I3MGE5NTlmMWQwYTljMzk0MDliMWY4NjYiLCJ1c2VySWQiOiIyNzQ4NzgwMzI2MzE2In0=</vt:lpwstr>
  </property>
  <property fmtid="{D5CDD505-2E9C-101B-9397-08002B2CF9AE}" pid="3" name="KSOProductBuildVer">
    <vt:lpwstr>1033-12.1.0.29162</vt:lpwstr>
  </property>
  <property fmtid="{D5CDD505-2E9C-101B-9397-08002B2CF9AE}" pid="4" name="ICV">
    <vt:lpwstr>BAA3981C04DE494E9675A391EDEF5447_13</vt:lpwstr>
  </property>
</Properties>
</file>