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ind w:firstLine="0"/>
        <w:jc w:val="center"/>
      </w:pPr>
      <w:r>
        <w:rPr>
          <w:rFonts w:ascii="Times New Roman" w:hAnsi="Times New Roman" w:eastAsia="Times New Roman"/>
          <w:b/>
          <w:i w:val="0"/>
          <w:color w:val="0B1F3A"/>
          <w:sz w:val="32"/>
        </w:rPr>
        <w:t>CHAPTER FOUR</w:t>
      </w:r>
    </w:p>
    <w:p>
      <w:pPr>
        <w:spacing w:before="120" w:after="120"/>
        <w:ind w:firstLine="0"/>
        <w:jc w:val="center"/>
      </w:pPr>
      <w:r>
        <w:rPr>
          <w:rFonts w:ascii="Times New Roman" w:hAnsi="Times New Roman" w:eastAsia="Times New Roman"/>
          <w:b/>
          <w:i w:val="0"/>
          <w:color w:val="0B1F3A"/>
          <w:sz w:val="32"/>
        </w:rPr>
        <w:t>SYSTEM IMPLEMENTATION AND RESULTS</w:t>
      </w:r>
    </w:p>
    <w:p>
      <w:pPr>
        <w:keepNext/>
        <w:spacing w:before="320" w:after="160"/>
        <w:ind w:firstLine="0"/>
        <w:jc w:val="left"/>
      </w:pPr>
      <w:r>
        <w:rPr>
          <w:rFonts w:ascii="Times New Roman" w:hAnsi="Times New Roman" w:eastAsia="Times New Roman"/>
          <w:b/>
          <w:i w:val="0"/>
          <w:color w:val="0B1F3A"/>
          <w:sz w:val="28"/>
        </w:rPr>
        <w:t>4.1  Introduction</w:t>
      </w:r>
    </w:p>
    <w:p>
      <w:pPr>
        <w:spacing w:before="0" w:after="160" w:line="360" w:lineRule="auto"/>
        <w:ind w:firstLine="709"/>
        <w:jc w:val="both"/>
      </w:pPr>
      <w:r>
        <w:rPr>
          <w:rFonts w:ascii="Times New Roman" w:hAnsi="Times New Roman" w:eastAsia="Times New Roman"/>
          <w:b w:val="0"/>
          <w:i w:val="0"/>
          <w:color w:val="1E293B"/>
          <w:sz w:val="24"/>
        </w:rPr>
        <w:t>This chapter presents the implementation of the Web Maternal Health System (WMHS), a web-based maternal health monitoring, risk-assessment, and referral application designed for the Nigerian antenatal setting. It describes the programming languages, development tools, technology stack, and implementation environment, and it shows how the three-tier design specified in Chapter Three was realised. The chapter then documents the clinical risk engine, security controls, functional verification of the implemented workflows, and the deployed user interfaces.</w:t>
      </w:r>
    </w:p>
    <w:p>
      <w:pPr>
        <w:spacing w:before="0" w:after="160" w:line="360" w:lineRule="auto"/>
        <w:ind w:firstLine="709"/>
        <w:jc w:val="both"/>
      </w:pPr>
      <w:r>
        <w:rPr>
          <w:rFonts w:ascii="Times New Roman" w:hAnsi="Times New Roman" w:eastAsia="Times New Roman"/>
          <w:b w:val="0"/>
          <w:i w:val="0"/>
          <w:color w:val="1E293B"/>
          <w:sz w:val="24"/>
        </w:rPr>
        <w:t>Implementation followed the Chapter Three specifications: a presentation tier that provides the patient and provider portals; an application tier that hosts REST APIs, authentication, risk scoring, and referral matching; and a data tier that stores users, clinical records, assessments, alerts, and referrals. The implemented system is decision support. It does not diagnose disease, replace a clinician, or dispatch emergency transport.</w:t>
      </w:r>
    </w:p>
    <w:p>
      <w:pPr>
        <w:keepNext/>
        <w:spacing w:before="320" w:after="160"/>
        <w:ind w:firstLine="0"/>
        <w:jc w:val="left"/>
      </w:pPr>
      <w:r>
        <w:rPr>
          <w:rFonts w:ascii="Times New Roman" w:hAnsi="Times New Roman" w:eastAsia="Times New Roman"/>
          <w:b/>
          <w:i w:val="0"/>
          <w:color w:val="0B1F3A"/>
          <w:sz w:val="28"/>
        </w:rPr>
        <w:t>4.2  Choice of Programming Language and Tools</w:t>
      </w:r>
    </w:p>
    <w:p>
      <w:pPr>
        <w:spacing w:before="0" w:after="160" w:line="360" w:lineRule="auto"/>
        <w:ind w:firstLine="709"/>
        <w:jc w:val="both"/>
      </w:pPr>
      <w:r>
        <w:rPr>
          <w:rFonts w:ascii="Times New Roman" w:hAnsi="Times New Roman" w:eastAsia="Times New Roman"/>
          <w:b w:val="0"/>
          <w:i w:val="0"/>
          <w:color w:val="1E293B"/>
          <w:sz w:val="24"/>
        </w:rPr>
        <w:t>The technologies were selected for reliability, maintainability, and suitability for a cloud-hosted health information system that can be used from ordinary web browsers in Nigerian facilities and homes. Preference was given to a single full-stack TypeScript codebase so that the same types describe forms, API payloads, and database records.</w:t>
      </w:r>
    </w:p>
    <w:p>
      <w:pPr>
        <w:keepNext/>
        <w:spacing w:before="240" w:after="160"/>
        <w:ind w:firstLine="0"/>
        <w:jc w:val="left"/>
      </w:pPr>
      <w:r>
        <w:rPr>
          <w:rFonts w:ascii="Times New Roman" w:hAnsi="Times New Roman" w:eastAsia="Times New Roman"/>
          <w:b/>
          <w:i w:val="0"/>
          <w:color w:val="0B1F3A"/>
          <w:sz w:val="26"/>
        </w:rPr>
        <w:t>4.2.1  Programming Languages</w:t>
      </w:r>
    </w:p>
    <w:p>
      <w:pPr>
        <w:spacing w:before="0" w:after="160" w:line="360" w:lineRule="auto"/>
        <w:ind w:firstLine="709"/>
        <w:jc w:val="both"/>
      </w:pPr>
      <w:r>
        <w:rPr>
          <w:rFonts w:ascii="Times New Roman" w:hAnsi="Times New Roman" w:eastAsia="Times New Roman"/>
          <w:b w:val="0"/>
          <w:i w:val="0"/>
          <w:color w:val="1E293B"/>
          <w:sz w:val="24"/>
        </w:rPr>
        <w:t>TypeScript is the primary language for both the user interface and the server-side API. Static type checking reduces integration errors between screens and endpoints, and it documents clinical fields such as risk level, score, and user role in the source code. JavaScript (ES6+) is the runtime language produced from TypeScript. Asynchronous request handling is appropriate for concurrent logins, symptom submissions, and risk recalculation.</w:t>
      </w:r>
    </w:p>
    <w:p>
      <w:pPr>
        <w:spacing w:before="0" w:after="160" w:line="360" w:lineRule="auto"/>
        <w:ind w:firstLine="709"/>
        <w:jc w:val="both"/>
      </w:pPr>
      <w:r>
        <w:rPr>
          <w:rFonts w:ascii="Times New Roman" w:hAnsi="Times New Roman" w:eastAsia="Times New Roman"/>
          <w:b w:val="0"/>
          <w:i w:val="0"/>
          <w:color w:val="1E293B"/>
          <w:sz w:val="24"/>
        </w:rPr>
        <w:t>Python is used only for an optional, offline Random Forest training script (ml/train_model.py). Production inference does not load Python or a serialised .joblib artefact, so the Vercel deployment does not depend on a Python runtime. SQL is generated by Prisma against PostgreSQL in production (Neon) and against SQLite during local development.</w:t>
      </w:r>
    </w:p>
    <w:p>
      <w:pPr>
        <w:keepNext/>
        <w:spacing w:before="240" w:after="160"/>
        <w:ind w:firstLine="0"/>
        <w:jc w:val="left"/>
      </w:pPr>
      <w:r>
        <w:rPr>
          <w:rFonts w:ascii="Times New Roman" w:hAnsi="Times New Roman" w:eastAsia="Times New Roman"/>
          <w:b/>
          <w:i w:val="0"/>
          <w:color w:val="0B1F3A"/>
          <w:sz w:val="26"/>
        </w:rPr>
        <w:t>4.2.2  Development Tools and Frameworks</w:t>
      </w:r>
    </w:p>
    <w:p>
      <w:pPr>
        <w:spacing w:before="0" w:after="160" w:line="360" w:lineRule="auto"/>
        <w:ind w:firstLine="0"/>
        <w:jc w:val="both"/>
      </w:pPr>
      <w:r>
        <w:rPr>
          <w:rFonts w:ascii="Times New Roman" w:hAnsi="Times New Roman" w:eastAsia="Times New Roman"/>
          <w:b w:val="0"/>
          <w:i w:val="0"/>
          <w:color w:val="1E293B"/>
          <w:sz w:val="24"/>
        </w:rPr>
        <w:t>Frontend (presentation tier)</w:t>
      </w:r>
    </w:p>
    <w:p>
      <w:pPr>
        <w:pStyle w:val="ListBullet"/>
        <w:spacing w:after="80" w:line="276" w:lineRule="auto"/>
      </w:pPr>
      <w:r>
        <w:rPr>
          <w:rFonts w:ascii="Times New Roman" w:hAnsi="Times New Roman" w:eastAsia="Times New Roman"/>
          <w:b w:val="0"/>
          <w:i w:val="0"/>
          <w:color w:val="1E293B"/>
          <w:sz w:val="24"/>
        </w:rPr>
        <w:t>Next.js 14 (App Router) and React 18 render the marketing site, authentication pages, patient portal, and provider dashboard. Server Components load caseload and risk data on the server; Client Components handle interactive forms and charts.</w:t>
      </w:r>
    </w:p>
    <w:p>
      <w:pPr>
        <w:pStyle w:val="ListBullet"/>
        <w:spacing w:after="80" w:line="276" w:lineRule="auto"/>
      </w:pPr>
      <w:r>
        <w:rPr>
          <w:rFonts w:ascii="Times New Roman" w:hAnsi="Times New Roman" w:eastAsia="Times New Roman"/>
          <w:b w:val="0"/>
          <w:i w:val="0"/>
          <w:color w:val="1E293B"/>
          <w:sz w:val="24"/>
        </w:rPr>
        <w:t>Tailwind CSS provides a consistent, responsive clinical layout.</w:t>
      </w:r>
    </w:p>
    <w:p>
      <w:pPr>
        <w:pStyle w:val="ListBullet"/>
        <w:spacing w:after="80" w:line="276" w:lineRule="auto"/>
      </w:pPr>
      <w:r>
        <w:rPr>
          <w:rFonts w:ascii="Times New Roman" w:hAnsi="Times New Roman" w:eastAsia="Times New Roman"/>
          <w:b w:val="0"/>
          <w:i w:val="0"/>
          <w:color w:val="1E293B"/>
          <w:sz w:val="24"/>
        </w:rPr>
        <w:t>Framer Motion supplies page transitions.</w:t>
      </w:r>
    </w:p>
    <w:p>
      <w:pPr>
        <w:pStyle w:val="ListBullet"/>
        <w:spacing w:after="80" w:line="276" w:lineRule="auto"/>
      </w:pPr>
      <w:r>
        <w:rPr>
          <w:rFonts w:ascii="Times New Roman" w:hAnsi="Times New Roman" w:eastAsia="Times New Roman"/>
          <w:b w:val="0"/>
          <w:i w:val="0"/>
          <w:color w:val="1E293B"/>
          <w:sz w:val="24"/>
        </w:rPr>
        <w:t>Recharts draws the provider risk-distribution chart.</w:t>
      </w:r>
    </w:p>
    <w:p>
      <w:pPr>
        <w:spacing w:before="0" w:after="160" w:line="360" w:lineRule="auto"/>
        <w:ind w:firstLine="0"/>
        <w:jc w:val="both"/>
      </w:pPr>
      <w:r>
        <w:rPr>
          <w:rFonts w:ascii="Times New Roman" w:hAnsi="Times New Roman" w:eastAsia="Times New Roman"/>
          <w:b w:val="0"/>
          <w:i w:val="0"/>
          <w:color w:val="1E293B"/>
          <w:sz w:val="24"/>
        </w:rPr>
        <w:t>Backend (application tier)</w:t>
      </w:r>
    </w:p>
    <w:p>
      <w:pPr>
        <w:pStyle w:val="ListBullet"/>
        <w:spacing w:after="80" w:line="276" w:lineRule="auto"/>
      </w:pPr>
      <w:r>
        <w:rPr>
          <w:rFonts w:ascii="Times New Roman" w:hAnsi="Times New Roman" w:eastAsia="Times New Roman"/>
          <w:b w:val="0"/>
          <w:i w:val="0"/>
          <w:color w:val="1E293B"/>
          <w:sz w:val="24"/>
        </w:rPr>
        <w:t>Node.js is the runtime for Next.js.</w:t>
      </w:r>
    </w:p>
    <w:p>
      <w:pPr>
        <w:pStyle w:val="ListBullet"/>
        <w:spacing w:after="80" w:line="276" w:lineRule="auto"/>
      </w:pPr>
      <w:r>
        <w:rPr>
          <w:rFonts w:ascii="Times New Roman" w:hAnsi="Times New Roman" w:eastAsia="Times New Roman"/>
          <w:b w:val="0"/>
          <w:i w:val="0"/>
          <w:color w:val="1E293B"/>
          <w:sz w:val="24"/>
        </w:rPr>
        <w:t>Next.js Route Handlers (app/api/...) implement REST endpoints. There is no separate Express.js server.</w:t>
      </w:r>
    </w:p>
    <w:p>
      <w:pPr>
        <w:pStyle w:val="ListBullet"/>
        <w:spacing w:after="80" w:line="276" w:lineRule="auto"/>
      </w:pPr>
      <w:r>
        <w:rPr>
          <w:rFonts w:ascii="Times New Roman" w:hAnsi="Times New Roman" w:eastAsia="Times New Roman"/>
          <w:b w:val="0"/>
          <w:i w:val="0"/>
          <w:color w:val="1E293B"/>
          <w:sz w:val="24"/>
        </w:rPr>
        <w:t>NextAuth.js (Credentials provider, JWT session, eight-hour expiry) handles login. Passwords are compared with bcryptjs.</w:t>
      </w:r>
    </w:p>
    <w:p>
      <w:pPr>
        <w:pStyle w:val="ListBullet"/>
        <w:spacing w:after="80" w:line="276" w:lineRule="auto"/>
      </w:pPr>
      <w:r>
        <w:rPr>
          <w:rFonts w:ascii="Times New Roman" w:hAnsi="Times New Roman" w:eastAsia="Times New Roman"/>
          <w:b w:val="0"/>
          <w:i w:val="0"/>
          <w:color w:val="1E293B"/>
          <w:sz w:val="24"/>
        </w:rPr>
        <w:t>Zod validates registration, login, symptoms, tests, profile updates, referral status, and alert status.</w:t>
      </w:r>
    </w:p>
    <w:p>
      <w:pPr>
        <w:pStyle w:val="ListBullet"/>
        <w:spacing w:after="80" w:line="276" w:lineRule="auto"/>
      </w:pPr>
      <w:r>
        <w:rPr>
          <w:rFonts w:ascii="Times New Roman" w:hAnsi="Times New Roman" w:eastAsia="Times New Roman"/>
          <w:b w:val="0"/>
          <w:i w:val="0"/>
          <w:color w:val="1E293B"/>
          <w:sz w:val="24"/>
        </w:rPr>
        <w:t>Prisma 5 is the object-relational mapper for queries, relations, and schema management.</w:t>
      </w:r>
    </w:p>
    <w:p>
      <w:pPr>
        <w:spacing w:before="0" w:after="160" w:line="360" w:lineRule="auto"/>
        <w:ind w:firstLine="0"/>
        <w:jc w:val="both"/>
      </w:pPr>
      <w:r>
        <w:rPr>
          <w:rFonts w:ascii="Times New Roman" w:hAnsi="Times New Roman" w:eastAsia="Times New Roman"/>
          <w:b w:val="0"/>
          <w:i w:val="0"/>
          <w:color w:val="1E293B"/>
          <w:sz w:val="24"/>
        </w:rPr>
        <w:t>Database (data tier)</w:t>
      </w:r>
    </w:p>
    <w:p>
      <w:pPr>
        <w:pStyle w:val="ListBullet"/>
        <w:spacing w:after="80" w:line="276" w:lineRule="auto"/>
      </w:pPr>
      <w:r>
        <w:rPr>
          <w:rFonts w:ascii="Times New Roman" w:hAnsi="Times New Roman" w:eastAsia="Times New Roman"/>
          <w:b w:val="0"/>
          <w:i w:val="0"/>
          <w:color w:val="1E293B"/>
          <w:sz w:val="24"/>
        </w:rPr>
        <w:t>PostgreSQL hosted on Neon is the production store, with connection pooling, backups, and separate environments.</w:t>
      </w:r>
    </w:p>
    <w:p>
      <w:pPr>
        <w:pStyle w:val="ListBullet"/>
        <w:spacing w:after="80" w:line="276" w:lineRule="auto"/>
      </w:pPr>
      <w:r>
        <w:rPr>
          <w:rFonts w:ascii="Times New Roman" w:hAnsi="Times New Roman" w:eastAsia="Times New Roman"/>
          <w:b w:val="0"/>
          <w:i w:val="0"/>
          <w:color w:val="1E293B"/>
          <w:sz w:val="24"/>
        </w:rPr>
        <w:t>Local development may use SQLite through the DATABASE_URL environment variable.</w:t>
      </w:r>
    </w:p>
    <w:p>
      <w:pPr>
        <w:spacing w:before="0" w:after="160" w:line="360" w:lineRule="auto"/>
        <w:ind w:firstLine="0"/>
        <w:jc w:val="both"/>
      </w:pPr>
      <w:r>
        <w:rPr>
          <w:rFonts w:ascii="Times New Roman" w:hAnsi="Times New Roman" w:eastAsia="Times New Roman"/>
          <w:b w:val="0"/>
          <w:i w:val="0"/>
          <w:color w:val="1E293B"/>
          <w:sz w:val="24"/>
        </w:rPr>
        <w:t>Clinical decision support</w:t>
      </w:r>
    </w:p>
    <w:p>
      <w:pPr>
        <w:pStyle w:val="ListBullet"/>
        <w:spacing w:after="80" w:line="276" w:lineRule="auto"/>
      </w:pPr>
      <w:r>
        <w:rPr>
          <w:rFonts w:ascii="Times New Roman" w:hAnsi="Times New Roman" w:eastAsia="Times New Roman"/>
          <w:b w:val="0"/>
          <w:i w:val="0"/>
          <w:color w:val="1E293B"/>
          <w:sz w:val="24"/>
        </w:rPr>
        <w:t>Production scoring is implemented in TypeScript (lib/ai/riskService.ts): a weighted ensemble aligned with WHO-, ACOG- and NICE-style thresholds, plus rule-based emergency overrides and complication screens for pre-eclampsia, gestational diabetes, and preterm labour.</w:t>
      </w:r>
    </w:p>
    <w:p>
      <w:pPr>
        <w:pStyle w:val="ListBullet"/>
        <w:spacing w:after="80" w:line="276" w:lineRule="auto"/>
      </w:pPr>
      <w:r>
        <w:rPr>
          <w:rFonts w:ascii="Times New Roman" w:hAnsi="Times New Roman" w:eastAsia="Times New Roman"/>
          <w:b w:val="0"/>
          <w:i w:val="0"/>
          <w:color w:val="1E293B"/>
          <w:sz w:val="24"/>
        </w:rPr>
        <w:t>An optional scikit-learn Random Forest trainer is documented in ml/README.md but is not invoked at request time.</w:t>
      </w:r>
    </w:p>
    <w:p>
      <w:pPr>
        <w:spacing w:before="0" w:after="160" w:line="360" w:lineRule="auto"/>
        <w:ind w:firstLine="709"/>
        <w:jc w:val="both"/>
      </w:pPr>
      <w:r>
        <w:rPr>
          <w:rFonts w:ascii="Times New Roman" w:hAnsi="Times New Roman" w:eastAsia="Times New Roman"/>
          <w:b w:val="0"/>
          <w:i w:val="0"/>
          <w:color w:val="1E293B"/>
          <w:sz w:val="24"/>
        </w:rPr>
        <w:t>Supporting tools included Visual Studio Code, Git and GitHub, npm, environment-variable configuration (dotenv / Vercel), Prisma Studio for inspecting tables, and Vercel for application hosting.</w:t>
      </w:r>
    </w:p>
    <w:p>
      <w:pPr>
        <w:keepNext/>
        <w:spacing w:before="320" w:after="160"/>
        <w:ind w:firstLine="0"/>
        <w:jc w:val="left"/>
      </w:pPr>
      <w:r>
        <w:rPr>
          <w:rFonts w:ascii="Times New Roman" w:hAnsi="Times New Roman" w:eastAsia="Times New Roman"/>
          <w:b/>
          <w:i w:val="0"/>
          <w:color w:val="0B1F3A"/>
          <w:sz w:val="28"/>
        </w:rPr>
        <w:t>4.3  Implementation Environment</w:t>
      </w:r>
    </w:p>
    <w:p>
      <w:pPr>
        <w:keepNext/>
        <w:spacing w:before="240" w:after="160"/>
        <w:ind w:firstLine="0"/>
        <w:jc w:val="left"/>
      </w:pPr>
      <w:r>
        <w:rPr>
          <w:rFonts w:ascii="Times New Roman" w:hAnsi="Times New Roman" w:eastAsia="Times New Roman"/>
          <w:b/>
          <w:i w:val="0"/>
          <w:color w:val="0B1F3A"/>
          <w:sz w:val="26"/>
        </w:rPr>
        <w:t>4.3.1  Hardware Requirements</w:t>
      </w:r>
    </w:p>
    <w:p>
      <w:pPr>
        <w:spacing w:before="0" w:after="160" w:line="360" w:lineRule="auto"/>
        <w:ind w:firstLine="709"/>
        <w:jc w:val="both"/>
      </w:pPr>
      <w:r>
        <w:rPr>
          <w:rFonts w:ascii="Times New Roman" w:hAnsi="Times New Roman" w:eastAsia="Times New Roman"/>
          <w:b w:val="0"/>
          <w:i w:val="0"/>
          <w:color w:val="1E293B"/>
          <w:sz w:val="24"/>
        </w:rPr>
        <w:t>Development and testing were carried out on a workstation equipped with an Intel Core i7-10750H processor, 16 GB RAM, and a 512 GB solid-state drive, running Windows 11 Pro (64-bit). Production uses cloud infrastructure: the Next.js application is deployed on Vercel, and the PostgreSQL database is hosted on Neon. End users require only a current web browser and an internet connection. No specialised clinical hardware is required on the client.</w:t>
      </w:r>
    </w:p>
    <w:p>
      <w:pPr>
        <w:keepNext/>
        <w:spacing w:before="240" w:after="160"/>
        <w:ind w:firstLine="0"/>
        <w:jc w:val="left"/>
      </w:pPr>
      <w:r>
        <w:rPr>
          <w:rFonts w:ascii="Times New Roman" w:hAnsi="Times New Roman" w:eastAsia="Times New Roman"/>
          <w:b/>
          <w:i w:val="0"/>
          <w:color w:val="0B1F3A"/>
          <w:sz w:val="26"/>
        </w:rPr>
        <w:t>4.3.2  Software Requirements</w:t>
      </w:r>
    </w:p>
    <w:p>
      <w:pPr>
        <w:spacing w:before="0" w:after="280" w:line="240" w:lineRule="auto"/>
        <w:ind w:firstLine="0"/>
        <w:jc w:val="center"/>
      </w:pPr>
      <w:r>
        <w:rPr>
          <w:rFonts w:ascii="Times New Roman" w:hAnsi="Times New Roman" w:eastAsia="Times New Roman"/>
          <w:b w:val="0"/>
          <w:i/>
          <w:color w:val="0B1F3A"/>
          <w:sz w:val="22"/>
        </w:rPr>
        <w:t>Table 4.1: Software requirements for development and production</w:t>
      </w:r>
    </w:p>
    <w:tbl>
      <w:tblPr>
        <w:tblW w:type="auto" w:w="0"/>
        <w:jc w:val="center"/>
        <w:tblLayout w:type="autofit"/>
        <w:tblLook w:firstColumn="1" w:firstRow="1" w:lastColumn="0" w:lastRow="0" w:noHBand="0" w:noVBand="1" w:val="04A0"/>
      </w:tblPr>
      <w:tblGrid>
        <w:gridCol w:w="4513"/>
        <w:gridCol w:w="4513"/>
      </w:tblGrid>
      <w:tr>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Category</w:t>
            </w:r>
          </w:p>
        </w:tc>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Software</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Operating system (development)</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Windows 11 Pro (64-bit)</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Runtime</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Node.js 20+</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Framework</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Next.js 14, React 18, TypeScript 5</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Styling and charts</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Tailwind CSS, Recharts, Framer Motion</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Authentication</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NextAuth.js 4, bcryptjs</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Validation</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Zod</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ORM and database</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Prisma 5, PostgreSQL 16 (Neon); SQLite (local)</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Editor and version control</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Visual Studio Code, Git, GitHub</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Hosting</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Vercel (application), Neon (database)</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Security in transit</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HTTPS / TLS via the hosting platform</w:t>
            </w:r>
          </w:p>
        </w:tc>
      </w:tr>
    </w:tbl>
    <w:p>
      <w:pPr>
        <w:spacing w:after="160"/>
      </w:pPr>
    </w:p>
    <w:p>
      <w:pPr>
        <w:keepNext/>
        <w:spacing w:before="320" w:after="160"/>
        <w:ind w:firstLine="0"/>
        <w:jc w:val="left"/>
      </w:pPr>
      <w:r>
        <w:rPr>
          <w:rFonts w:ascii="Times New Roman" w:hAnsi="Times New Roman" w:eastAsia="Times New Roman"/>
          <w:b/>
          <w:i w:val="0"/>
          <w:color w:val="0B1F3A"/>
          <w:sz w:val="28"/>
        </w:rPr>
        <w:t>4.4  System Architecture Implementation</w:t>
      </w:r>
    </w:p>
    <w:p>
      <w:pPr>
        <w:spacing w:before="0" w:after="160" w:line="360" w:lineRule="auto"/>
        <w:ind w:firstLine="709"/>
        <w:jc w:val="both"/>
      </w:pPr>
      <w:r>
        <w:rPr>
          <w:rFonts w:ascii="Times New Roman" w:hAnsi="Times New Roman" w:eastAsia="Times New Roman"/>
          <w:b w:val="0"/>
          <w:i w:val="0"/>
          <w:color w:val="1E293B"/>
          <w:sz w:val="24"/>
        </w:rPr>
        <w:t>The system was implemented using the three-tier architecture described in Chapter Three. The presentation tier comprises React pages for patients (/patient/...), providers (/provider/...), and public authentication and marketing routes. The application tier comprises Next.js API routes for registration, session management, symptoms, tests, risk assessment, facilities, referrals, notifications, and the health assistant, together with NextAuth, role guards, the clinical risk engine, and Haversine facility search. The data tier comprises Prisma models mapped to User, Patient, Provider, Facility, Symptom, TestResult, RiskAssessment, Alert, Referral, Notification, PatientAssignment, and PasswordResetToken.</w:t>
      </w:r>
    </w:p>
    <w:p>
      <w:pPr>
        <w:spacing w:before="0" w:after="160" w:line="360" w:lineRule="auto"/>
        <w:ind w:firstLine="709"/>
        <w:jc w:val="both"/>
      </w:pPr>
      <w:r>
        <w:rPr>
          <w:rFonts w:ascii="Times New Roman" w:hAnsi="Times New Roman" w:eastAsia="Times New Roman"/>
          <w:b w:val="0"/>
          <w:i w:val="0"/>
          <w:color w:val="1E293B"/>
          <w:sz w:val="24"/>
        </w:rPr>
        <w:t>Actors reach the system through a web browser over HTTPS. The presentation tier sends JSON REST requests to the application tier. The application tier reads and writes the database through Prisma. Figure 4.1 shows the implemented architecture.</w:t>
      </w:r>
    </w:p>
    <w:p>
      <w:pPr>
        <w:spacing w:before="0" w:after="80" w:line="240" w:lineRule="auto"/>
        <w:ind w:firstLine="0"/>
        <w:jc w:val="center"/>
      </w:pPr>
      <w:r>
        <w:drawing>
          <wp:inline xmlns:a="http://schemas.openxmlformats.org/drawingml/2006/main" xmlns:pic="http://schemas.openxmlformats.org/drawingml/2006/picture">
            <wp:extent cx="5760720" cy="5310664"/>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760720" cy="5310664"/>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4.1: System architecture of WMHS showing presentation, application, and data tiers</w:t>
      </w:r>
    </w:p>
    <w:p>
      <w:pPr>
        <w:keepNext/>
        <w:spacing w:before="240" w:after="160"/>
        <w:ind w:firstLine="0"/>
        <w:jc w:val="left"/>
      </w:pPr>
      <w:r>
        <w:rPr>
          <w:rFonts w:ascii="Times New Roman" w:hAnsi="Times New Roman" w:eastAsia="Times New Roman"/>
          <w:b/>
          <w:i w:val="0"/>
          <w:color w:val="0B1F3A"/>
          <w:sz w:val="26"/>
        </w:rPr>
        <w:t>4.4.1  Frontend Implementation</w:t>
      </w:r>
    </w:p>
    <w:p>
      <w:pPr>
        <w:spacing w:before="0" w:after="160" w:line="360" w:lineRule="auto"/>
        <w:ind w:firstLine="709"/>
        <w:jc w:val="both"/>
      </w:pPr>
      <w:r>
        <w:rPr>
          <w:rFonts w:ascii="Times New Roman" w:hAnsi="Times New Roman" w:eastAsia="Times New Roman"/>
          <w:b w:val="0"/>
          <w:i w:val="0"/>
          <w:color w:val="1E293B"/>
          <w:sz w:val="24"/>
        </w:rPr>
        <w:t>The frontend is organised as Next.js route groups. Public routes include the marketing home page, login, registration, and password reset. The patient portal provides a dashboard, symptom log, test entry and upload, risk results, history, referrals, a contextual health assistant, and profile management. The provider portal provides a caseload dashboard, patient list and detail, alerts, and referral management.</w:t>
      </w:r>
    </w:p>
    <w:p>
      <w:pPr>
        <w:spacing w:before="0" w:after="160" w:line="360" w:lineRule="auto"/>
        <w:ind w:firstLine="709"/>
        <w:jc w:val="both"/>
      </w:pPr>
      <w:r>
        <w:rPr>
          <w:rFonts w:ascii="Times New Roman" w:hAnsi="Times New Roman" w:eastAsia="Times New Roman"/>
          <w:b w:val="0"/>
          <w:i w:val="0"/>
          <w:color w:val="1E293B"/>
          <w:sz w:val="24"/>
        </w:rPr>
        <w:t>The patient dashboard displays the latest risk level and score, gestational age derived from the last menstrual period using Naegele’s rule, parity, active alerts, recent symptoms and tests, and open referrals. The provider dashboard lists assigned patients with their latest risk, highlights high-risk cases, shows active alerts and pending referrals, and includes a risk-distribution chart (low, medium, and high). Role-based routing is enforced in middleware.ts: unauthenticated users are redirected to /login; patients cannot open provider routes and providers cannot open patient routes.</w:t>
      </w:r>
    </w:p>
    <w:p>
      <w:pPr>
        <w:spacing w:before="0" w:after="80" w:line="240" w:lineRule="auto"/>
        <w:ind w:firstLine="0"/>
        <w:jc w:val="center"/>
      </w:pPr>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fig-patient-dashboard.png"/>
                    <pic:cNvPicPr/>
                  </pic:nvPicPr>
                  <pic:blipFill>
                    <a:blip r:embed="rId10"/>
                    <a:stretch>
                      <a:fillRect/>
                    </a:stretch>
                  </pic:blipFill>
                  <pic:spPr>
                    <a:xfrm>
                      <a:off x="0" y="0"/>
                      <a:ext cx="5760720" cy="3703320"/>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4.2: Patient portal dashboard showing risk indicator, gestational age, and recent records</w:t>
      </w:r>
    </w:p>
    <w:p>
      <w:pPr>
        <w:spacing w:before="0" w:after="160" w:line="360" w:lineRule="auto"/>
        <w:ind w:firstLine="709"/>
        <w:jc w:val="both"/>
      </w:pPr>
      <w:r>
        <w:rPr>
          <w:rFonts w:ascii="Times New Roman" w:hAnsi="Times New Roman" w:eastAsia="Times New Roman"/>
          <w:b w:val="0"/>
          <w:i w:val="0"/>
          <w:color w:val="1E293B"/>
          <w:sz w:val="24"/>
        </w:rPr>
        <w:t>Symptom submission is implemented as POST /api/symptoms. After Zod validation, the symptom is stored and the risk engine is executed on the patient’s latest symptoms and tests. The handler returns the new symptom, the stored assessment, and the engine result so that the client can navigate to the risk-results page.</w:t>
      </w:r>
    </w:p>
    <w:p>
      <w:pPr>
        <w:keepNext/>
        <w:spacing w:before="240" w:after="160"/>
        <w:ind w:firstLine="0"/>
        <w:jc w:val="left"/>
      </w:pPr>
      <w:r>
        <w:rPr>
          <w:rFonts w:ascii="Times New Roman" w:hAnsi="Times New Roman" w:eastAsia="Times New Roman"/>
          <w:b/>
          <w:i w:val="0"/>
          <w:color w:val="0B1F3A"/>
          <w:sz w:val="26"/>
        </w:rPr>
        <w:t>4.4.2  Backend Implementation</w:t>
      </w:r>
    </w:p>
    <w:p>
      <w:pPr>
        <w:spacing w:before="0" w:after="160" w:line="360" w:lineRule="auto"/>
        <w:ind w:firstLine="709"/>
        <w:jc w:val="both"/>
      </w:pPr>
      <w:r>
        <w:rPr>
          <w:rFonts w:ascii="Times New Roman" w:hAnsi="Times New Roman" w:eastAsia="Times New Roman"/>
          <w:b w:val="0"/>
          <w:i w:val="0"/>
          <w:color w:val="1E293B"/>
          <w:sz w:val="24"/>
        </w:rPr>
        <w:t>The backend is a set of Next.js Route Handlers rather than a standalone Express application. The principal modules are described below.</w:t>
      </w:r>
    </w:p>
    <w:p>
      <w:pPr>
        <w:spacing w:before="0" w:after="160" w:line="360" w:lineRule="auto"/>
        <w:ind w:firstLine="0"/>
        <w:jc w:val="both"/>
      </w:pPr>
      <w:r>
        <w:rPr>
          <w:rFonts w:ascii="Times New Roman" w:hAnsi="Times New Roman" w:eastAsia="Times New Roman"/>
          <w:b w:val="0"/>
          <w:i w:val="0"/>
          <w:color w:val="1E293B"/>
          <w:sz w:val="24"/>
        </w:rPr>
        <w:t>Authentication module</w:t>
      </w:r>
    </w:p>
    <w:p>
      <w:pPr>
        <w:pStyle w:val="ListBullet"/>
        <w:spacing w:after="80" w:line="276" w:lineRule="auto"/>
      </w:pPr>
      <w:r>
        <w:rPr>
          <w:rFonts w:ascii="Times New Roman" w:hAnsi="Times New Roman" w:eastAsia="Times New Roman"/>
          <w:b w:val="0"/>
          <w:i w:val="0"/>
          <w:color w:val="1E293B"/>
          <w:sz w:val="24"/>
        </w:rPr>
        <w:t>POST /api/auth/register creates a User. For patients it also creates a Patient profile, computes the estimated date of delivery from the last menstrual period, optionally assigns the first available provider, and stores default Lagos coordinates for nearby-facility search. For providers it creates a Provider profile linked to a facility. Passwords are hashed with bcryptjs using 12 salt rounds. Registration is rate-limited (eight attempts per IP address per minute).</w:t>
      </w:r>
    </w:p>
    <w:p>
      <w:pPr>
        <w:pStyle w:val="ListBullet"/>
        <w:spacing w:after="80" w:line="276" w:lineRule="auto"/>
      </w:pPr>
      <w:r>
        <w:rPr>
          <w:rFonts w:ascii="Times New Roman" w:hAnsi="Times New Roman" w:eastAsia="Times New Roman"/>
          <w:b w:val="0"/>
          <w:i w:val="0"/>
          <w:color w:val="1E293B"/>
          <w:sz w:val="24"/>
        </w:rPr>
        <w:t>POST /api/auth/[...nextauth] performs NextAuth credentials login and issues a JWT session containing id, role, patientId, and providerId.</w:t>
      </w:r>
    </w:p>
    <w:p>
      <w:pPr>
        <w:pStyle w:val="ListBullet"/>
        <w:spacing w:after="80" w:line="276" w:lineRule="auto"/>
      </w:pPr>
      <w:r>
        <w:rPr>
          <w:rFonts w:ascii="Times New Roman" w:hAnsi="Times New Roman" w:eastAsia="Times New Roman"/>
          <w:b w:val="0"/>
          <w:i w:val="0"/>
          <w:color w:val="1E293B"/>
          <w:sz w:val="24"/>
        </w:rPr>
        <w:t>POST /api/auth/forgot-password issues a 30-minute password-reset token and returns a generic message to avoid email enumeration. The endpoint is rate-limited.</w:t>
      </w:r>
    </w:p>
    <w:p>
      <w:pPr>
        <w:pStyle w:val="ListBullet"/>
        <w:spacing w:after="80" w:line="276" w:lineRule="auto"/>
      </w:pPr>
      <w:r>
        <w:rPr>
          <w:rFonts w:ascii="Times New Roman" w:hAnsi="Times New Roman" w:eastAsia="Times New Roman"/>
          <w:b w:val="0"/>
          <w:i w:val="0"/>
          <w:color w:val="1E293B"/>
          <w:sz w:val="24"/>
        </w:rPr>
        <w:t>Route guards (requireUser and assertPatientAccess) return HTTP 401 or 403 and restrict providers to assigned patients.</w:t>
      </w:r>
    </w:p>
    <w:p>
      <w:pPr>
        <w:spacing w:before="0" w:after="160" w:line="360" w:lineRule="auto"/>
        <w:ind w:firstLine="0"/>
        <w:jc w:val="both"/>
      </w:pPr>
      <w:r>
        <w:rPr>
          <w:rFonts w:ascii="Times New Roman" w:hAnsi="Times New Roman" w:eastAsia="Times New Roman"/>
          <w:b w:val="0"/>
          <w:i w:val="0"/>
          <w:color w:val="1E293B"/>
          <w:sz w:val="24"/>
        </w:rPr>
        <w:t>Patient and clinical-record modules</w:t>
      </w:r>
    </w:p>
    <w:p>
      <w:pPr>
        <w:pStyle w:val="ListBullet"/>
        <w:spacing w:after="80" w:line="276" w:lineRule="auto"/>
      </w:pPr>
      <w:r>
        <w:rPr>
          <w:rFonts w:ascii="Times New Roman" w:hAnsi="Times New Roman" w:eastAsia="Times New Roman"/>
          <w:b w:val="0"/>
          <w:i w:val="0"/>
          <w:color w:val="1E293B"/>
          <w:sz w:val="24"/>
        </w:rPr>
        <w:t>Patient profile retrieval and update.</w:t>
      </w:r>
    </w:p>
    <w:p>
      <w:pPr>
        <w:pStyle w:val="ListBullet"/>
        <w:spacing w:after="80" w:line="276" w:lineRule="auto"/>
      </w:pPr>
      <w:r>
        <w:rPr>
          <w:rFonts w:ascii="Times New Roman" w:hAnsi="Times New Roman" w:eastAsia="Times New Roman"/>
          <w:b w:val="0"/>
          <w:i w:val="0"/>
          <w:color w:val="1E293B"/>
          <w:sz w:val="24"/>
        </w:rPr>
        <w:t>Symptom create, read, update, and delete.</w:t>
      </w:r>
    </w:p>
    <w:p>
      <w:pPr>
        <w:pStyle w:val="ListBullet"/>
        <w:spacing w:after="80" w:line="276" w:lineRule="auto"/>
      </w:pPr>
      <w:r>
        <w:rPr>
          <w:rFonts w:ascii="Times New Roman" w:hAnsi="Times New Roman" w:eastAsia="Times New Roman"/>
          <w:b w:val="0"/>
          <w:i w:val="0"/>
          <w:color w:val="1E293B"/>
          <w:sz w:val="24"/>
        </w:rPr>
        <w:t>Test-result create, read, update, and delete.</w:t>
      </w:r>
    </w:p>
    <w:p>
      <w:pPr>
        <w:pStyle w:val="ListBullet"/>
        <w:spacing w:after="80" w:line="276" w:lineRule="auto"/>
      </w:pPr>
      <w:r>
        <w:rPr>
          <w:rFonts w:ascii="Times New Roman" w:hAnsi="Times New Roman" w:eastAsia="Times New Roman"/>
          <w:b w:val="0"/>
          <w:i w:val="0"/>
          <w:color w:val="1E293B"/>
          <w:sz w:val="24"/>
        </w:rPr>
        <w:t>Risk-assessment history for a given patient.</w:t>
      </w:r>
    </w:p>
    <w:p>
      <w:pPr>
        <w:spacing w:before="0" w:after="160" w:line="360" w:lineRule="auto"/>
        <w:ind w:firstLine="0"/>
        <w:jc w:val="both"/>
      </w:pPr>
      <w:r>
        <w:rPr>
          <w:rFonts w:ascii="Times New Roman" w:hAnsi="Times New Roman" w:eastAsia="Times New Roman"/>
          <w:b w:val="0"/>
          <w:i w:val="0"/>
          <w:color w:val="1E293B"/>
          <w:sz w:val="24"/>
        </w:rPr>
        <w:t>AI analysis (risk) module</w:t>
      </w:r>
    </w:p>
    <w:p>
      <w:pPr>
        <w:pStyle w:val="ListBullet"/>
        <w:spacing w:after="80" w:line="276" w:lineRule="auto"/>
      </w:pPr>
      <w:r>
        <w:rPr>
          <w:rFonts w:ascii="Times New Roman" w:hAnsi="Times New Roman" w:eastAsia="Times New Roman"/>
          <w:b w:val="0"/>
          <w:i w:val="0"/>
          <w:color w:val="1E293B"/>
          <w:sz w:val="24"/>
        </w:rPr>
        <w:t>POST /api/risk/assess and automatic invocation after symptom writes.</w:t>
      </w:r>
    </w:p>
    <w:p>
      <w:pPr>
        <w:pStyle w:val="ListBullet"/>
        <w:spacing w:after="80" w:line="276" w:lineRule="auto"/>
      </w:pPr>
      <w:r>
        <w:rPr>
          <w:rFonts w:ascii="Times New Roman" w:hAnsi="Times New Roman" w:eastAsia="Times New Roman"/>
          <w:b w:val="0"/>
          <w:i w:val="0"/>
          <w:color w:val="1E293B"/>
          <w:sz w:val="24"/>
        </w:rPr>
        <w:t>runAndStoreRisk extracts features, scores risk, stores a RiskAssessment row, opens Alert rows for triggered complications, and notifies the patient and assigned providers when the level is HIGH.</w:t>
      </w:r>
    </w:p>
    <w:p>
      <w:pPr>
        <w:spacing w:before="0" w:after="160" w:line="360" w:lineRule="auto"/>
        <w:ind w:firstLine="0"/>
        <w:jc w:val="both"/>
      </w:pPr>
      <w:r>
        <w:rPr>
          <w:rFonts w:ascii="Times New Roman" w:hAnsi="Times New Roman" w:eastAsia="Times New Roman"/>
          <w:b w:val="0"/>
          <w:i w:val="0"/>
          <w:color w:val="1E293B"/>
          <w:sz w:val="24"/>
        </w:rPr>
        <w:t>Referral module</w:t>
      </w:r>
    </w:p>
    <w:p>
      <w:pPr>
        <w:pStyle w:val="ListBullet"/>
        <w:spacing w:after="80" w:line="276" w:lineRule="auto"/>
      </w:pPr>
      <w:r>
        <w:rPr>
          <w:rFonts w:ascii="Times New Roman" w:hAnsi="Times New Roman" w:eastAsia="Times New Roman"/>
          <w:b w:val="0"/>
          <w:i w:val="0"/>
          <w:color w:val="1E293B"/>
          <w:sz w:val="24"/>
        </w:rPr>
        <w:t>Facility list and detail, and GET /api/facilities/nearby using the Haversine formula (lib/utils/haversine.ts), with an optional filter for emergency-capable sites.</w:t>
      </w:r>
    </w:p>
    <w:p>
      <w:pPr>
        <w:pStyle w:val="ListBullet"/>
        <w:spacing w:after="80" w:line="276" w:lineRule="auto"/>
      </w:pPr>
      <w:r>
        <w:rPr>
          <w:rFonts w:ascii="Times New Roman" w:hAnsi="Times New Roman" w:eastAsia="Times New Roman"/>
          <w:b w:val="0"/>
          <w:i w:val="0"/>
          <w:color w:val="1E293B"/>
          <w:sz w:val="24"/>
        </w:rPr>
        <w:t>Referral create and status updates (PENDING, APPROVED, COMPLETED, CANCELLED), with a patient notification when a referral is created.</w:t>
      </w:r>
    </w:p>
    <w:p>
      <w:pPr>
        <w:spacing w:before="0" w:after="160" w:line="360" w:lineRule="auto"/>
        <w:ind w:firstLine="0"/>
        <w:jc w:val="both"/>
      </w:pPr>
      <w:r>
        <w:rPr>
          <w:rFonts w:ascii="Times New Roman" w:hAnsi="Times New Roman" w:eastAsia="Times New Roman"/>
          <w:b w:val="0"/>
          <w:i w:val="0"/>
          <w:color w:val="1E293B"/>
          <w:sz w:val="24"/>
        </w:rPr>
        <w:t>Notifications and health assistant</w:t>
      </w:r>
    </w:p>
    <w:p>
      <w:pPr>
        <w:pStyle w:val="ListBullet"/>
        <w:spacing w:after="80" w:line="276" w:lineRule="auto"/>
      </w:pPr>
      <w:r>
        <w:rPr>
          <w:rFonts w:ascii="Times New Roman" w:hAnsi="Times New Roman" w:eastAsia="Times New Roman"/>
          <w:b w:val="0"/>
          <w:i w:val="0"/>
          <w:color w:val="1E293B"/>
          <w:sz w:val="24"/>
        </w:rPr>
        <w:t>In-application notifications for high-risk assessments and new referrals.</w:t>
      </w:r>
    </w:p>
    <w:p>
      <w:pPr>
        <w:pStyle w:val="ListBullet"/>
        <w:spacing w:after="80" w:line="276" w:lineRule="auto"/>
      </w:pPr>
      <w:r>
        <w:rPr>
          <w:rFonts w:ascii="Times New Roman" w:hAnsi="Times New Roman" w:eastAsia="Times New Roman"/>
          <w:b w:val="0"/>
          <w:i w:val="0"/>
          <w:color w:val="1E293B"/>
          <w:sz w:val="24"/>
        </w:rPr>
        <w:t>POST /api/assistant returns knowledge-based answers using the patient’s latest risk and gestational age, with escalation flags for danger-sign questions.</w:t>
      </w:r>
    </w:p>
    <w:p>
      <w:pPr>
        <w:spacing w:before="0" w:after="80" w:line="240" w:lineRule="auto"/>
        <w:ind w:firstLine="0"/>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fig-api-architecture.png"/>
                    <pic:cNvPicPr/>
                  </pic:nvPicPr>
                  <pic:blipFill>
                    <a:blip r:embed="rId11"/>
                    <a:stretch>
                      <a:fillRect/>
                    </a:stretch>
                  </pic:blipFill>
                  <pic:spPr>
                    <a:xfrm>
                      <a:off x="0" y="0"/>
                      <a:ext cx="5760720" cy="3703320"/>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4.3: API architecture showing presentation clients, authentication, clinical endpoints, and the data layer</w:t>
      </w:r>
    </w:p>
    <w:p>
      <w:pPr>
        <w:keepNext/>
        <w:spacing w:before="240" w:after="160"/>
        <w:ind w:firstLine="0"/>
        <w:jc w:val="left"/>
      </w:pPr>
      <w:r>
        <w:rPr>
          <w:rFonts w:ascii="Times New Roman" w:hAnsi="Times New Roman" w:eastAsia="Times New Roman"/>
          <w:b/>
          <w:i w:val="0"/>
          <w:color w:val="0B1F3A"/>
          <w:sz w:val="26"/>
        </w:rPr>
        <w:t>4.4.3  Database Implementation</w:t>
      </w:r>
    </w:p>
    <w:p>
      <w:pPr>
        <w:spacing w:before="0" w:after="160" w:line="360" w:lineRule="auto"/>
        <w:ind w:firstLine="709"/>
        <w:jc w:val="both"/>
      </w:pPr>
      <w:r>
        <w:rPr>
          <w:rFonts w:ascii="Times New Roman" w:hAnsi="Times New Roman" w:eastAsia="Times New Roman"/>
          <w:b w:val="0"/>
          <w:i w:val="0"/>
          <w:color w:val="1E293B"/>
          <w:sz w:val="24"/>
        </w:rPr>
        <w:t>The PostgreSQL schema was implemented from the Chapter Three design using prisma/schema.prisma. Identifiers are universally unique identifiers (UUIDs). Clinical fields that are lists or structured objects in the application (risk factors, recommendations, services offered, and pre-existing conditions) are stored as text and serialised in application code. Figure 4.4 shows the entity-relationship diagram of the implemented database.</w:t>
      </w:r>
    </w:p>
    <w:p>
      <w:pPr>
        <w:spacing w:before="0" w:after="80" w:line="240" w:lineRule="auto"/>
        <w:ind w:firstLine="0"/>
        <w:jc w:val="center"/>
      </w:pPr>
      <w:r>
        <w:drawing>
          <wp:inline xmlns:a="http://schemas.openxmlformats.org/drawingml/2006/main" xmlns:pic="http://schemas.openxmlformats.org/drawingml/2006/picture">
            <wp:extent cx="5760720" cy="4826549"/>
            <wp:docPr id="4" name="Picture 4"/>
            <wp:cNvGraphicFramePr>
              <a:graphicFrameLocks noChangeAspect="1"/>
            </wp:cNvGraphicFramePr>
            <a:graphic>
              <a:graphicData uri="http://schemas.openxmlformats.org/drawingml/2006/picture">
                <pic:pic>
                  <pic:nvPicPr>
                    <pic:cNvPr id="0" name="er-diagram.png"/>
                    <pic:cNvPicPr/>
                  </pic:nvPicPr>
                  <pic:blipFill>
                    <a:blip r:embed="rId12"/>
                    <a:stretch>
                      <a:fillRect/>
                    </a:stretch>
                  </pic:blipFill>
                  <pic:spPr>
                    <a:xfrm>
                      <a:off x="0" y="0"/>
                      <a:ext cx="5760720" cy="4826549"/>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4.4: Entity-relationship diagram of the WMHS database</w:t>
      </w:r>
    </w:p>
    <w:p>
      <w:pPr>
        <w:spacing w:before="0" w:after="160" w:line="360" w:lineRule="auto"/>
        <w:ind w:firstLine="709"/>
        <w:jc w:val="both"/>
      </w:pPr>
      <w:r>
        <w:rPr>
          <w:rFonts w:ascii="Times New Roman" w:hAnsi="Times New Roman" w:eastAsia="Times New Roman"/>
          <w:b w:val="0"/>
          <w:i w:val="0"/>
          <w:color w:val="1E293B"/>
          <w:sz w:val="24"/>
        </w:rPr>
        <w:t>Schema changes are applied with Prisma (prisma db push or prisma migrate). The updatedAt columns are maintained by Prisma. Secondary indexes exist on foreign keys, role, riskLevel, assessedAt, referral status, and alert status and severity.</w:t>
      </w:r>
    </w:p>
    <w:p>
      <w:pPr>
        <w:spacing w:before="0" w:after="280" w:line="240" w:lineRule="auto"/>
        <w:ind w:firstLine="0"/>
        <w:jc w:val="center"/>
      </w:pPr>
      <w:r>
        <w:rPr>
          <w:rFonts w:ascii="Times New Roman" w:hAnsi="Times New Roman" w:eastAsia="Times New Roman"/>
          <w:b w:val="0"/>
          <w:i/>
          <w:color w:val="0B1F3A"/>
          <w:sz w:val="22"/>
        </w:rPr>
        <w:t>Table 4.2: Principal data relationships implemented in Prisma</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Relationship</w:t>
            </w:r>
          </w:p>
        </w:tc>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Cardinality</w:t>
            </w:r>
          </w:p>
        </w:tc>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Mechanism</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User–Patient; User–Provider</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 : 0..1</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Exclusive by role</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User–Notification; User–PasswordResetToken</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 : N</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Cascade delete</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Patient–Symptom, TestResult, RiskAssessment, Alert, Referral</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 : N</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Cascade delete</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Patient–Provider</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 : M</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PatientAssignment (unique pair)</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Facility–Provider</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 : 0..N</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Optional facilityId</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Facility–Referral</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 : N</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Receiving facility</w:t>
            </w:r>
          </w:p>
        </w:tc>
      </w:tr>
    </w:tbl>
    <w:p>
      <w:pPr>
        <w:spacing w:after="160"/>
      </w:pPr>
    </w:p>
    <w:p>
      <w:pPr>
        <w:spacing w:before="0" w:after="160" w:line="360" w:lineRule="auto"/>
        <w:ind w:firstLine="709"/>
        <w:jc w:val="both"/>
      </w:pPr>
      <w:r>
        <w:rPr>
          <w:rFonts w:ascii="Times New Roman" w:hAnsi="Times New Roman" w:eastAsia="Times New Roman"/>
          <w:b w:val="0"/>
          <w:i w:val="0"/>
          <w:color w:val="1E293B"/>
          <w:sz w:val="24"/>
        </w:rPr>
        <w:t>There is no separate one-to-one “AI recommendation profile” table. Recommendations are stored on each RiskAssessment row. Figure 4.5 shows representative records from the Patient, Symptom, and RiskAssessment tables, consistent with the seeded demonstration data.</w:t>
      </w:r>
    </w:p>
    <w:p>
      <w:pPr>
        <w:spacing w:before="0" w:after="80" w:line="240" w:lineRule="auto"/>
        <w:ind w:firstLine="0"/>
        <w:jc w:val="center"/>
      </w:pPr>
      <w:r>
        <w:drawing>
          <wp:inline xmlns:a="http://schemas.openxmlformats.org/drawingml/2006/main" xmlns:pic="http://schemas.openxmlformats.org/drawingml/2006/picture">
            <wp:extent cx="5760720" cy="3785616"/>
            <wp:docPr id="5" name="Picture 5"/>
            <wp:cNvGraphicFramePr>
              <a:graphicFrameLocks noChangeAspect="1"/>
            </wp:cNvGraphicFramePr>
            <a:graphic>
              <a:graphicData uri="http://schemas.openxmlformats.org/drawingml/2006/picture">
                <pic:pic>
                  <pic:nvPicPr>
                    <pic:cNvPr id="0" name="fig-sample-records.png"/>
                    <pic:cNvPicPr/>
                  </pic:nvPicPr>
                  <pic:blipFill>
                    <a:blip r:embed="rId13"/>
                    <a:stretch>
                      <a:fillRect/>
                    </a:stretch>
                  </pic:blipFill>
                  <pic:spPr>
                    <a:xfrm>
                      <a:off x="0" y="0"/>
                      <a:ext cx="5760720" cy="3785616"/>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4.5: Sample records from the Patient, Symptom, and RiskAssessment tables</w:t>
      </w:r>
    </w:p>
    <w:p>
      <w:pPr>
        <w:keepNext/>
        <w:spacing w:before="320" w:after="160"/>
        <w:ind w:firstLine="0"/>
        <w:jc w:val="left"/>
      </w:pPr>
      <w:r>
        <w:rPr>
          <w:rFonts w:ascii="Times New Roman" w:hAnsi="Times New Roman" w:eastAsia="Times New Roman"/>
          <w:b/>
          <w:i w:val="0"/>
          <w:color w:val="0B1F3A"/>
          <w:sz w:val="28"/>
        </w:rPr>
        <w:t>4.5  AI Model Implementation</w:t>
      </w:r>
    </w:p>
    <w:p>
      <w:pPr>
        <w:spacing w:before="0" w:after="160" w:line="360" w:lineRule="auto"/>
        <w:ind w:firstLine="709"/>
        <w:jc w:val="both"/>
      </w:pPr>
      <w:r>
        <w:rPr>
          <w:rFonts w:ascii="Times New Roman" w:hAnsi="Times New Roman" w:eastAsia="Times New Roman"/>
          <w:b w:val="0"/>
          <w:i w:val="0"/>
          <w:color w:val="1E293B"/>
          <w:sz w:val="24"/>
        </w:rPr>
        <w:t>Production inference is the TypeScript clinical engine in lib/ai/riskService.ts. The engine is a weighted ensemble that approximates a Random Forest-style combination of vital-sign and danger-sign features. Coefficients are aligned with published clinical thresholds rather than a private labelled hospital dataset. A Python Random Forest may be trained offline; that artefact is not loaded at runtime on Vercel.</w:t>
      </w:r>
    </w:p>
    <w:p>
      <w:pPr>
        <w:keepNext/>
        <w:spacing w:before="240" w:after="160"/>
        <w:ind w:firstLine="0"/>
        <w:jc w:val="left"/>
      </w:pPr>
      <w:r>
        <w:rPr>
          <w:rFonts w:ascii="Times New Roman" w:hAnsi="Times New Roman" w:eastAsia="Times New Roman"/>
          <w:b/>
          <w:i w:val="0"/>
          <w:color w:val="0B1F3A"/>
          <w:sz w:val="26"/>
        </w:rPr>
        <w:t>4.5.1  Feature Extraction</w:t>
      </w:r>
    </w:p>
    <w:p>
      <w:pPr>
        <w:spacing w:before="0" w:after="160" w:line="360" w:lineRule="auto"/>
        <w:ind w:firstLine="709"/>
        <w:jc w:val="both"/>
      </w:pPr>
      <w:r>
        <w:rPr>
          <w:rFonts w:ascii="Times New Roman" w:hAnsi="Times New Roman" w:eastAsia="Times New Roman"/>
          <w:b w:val="0"/>
          <w:i w:val="0"/>
          <w:color w:val="1E293B"/>
          <w:sz w:val="24"/>
        </w:rPr>
        <w:t>The function extractFeaturesFromRecords constructs fourteen features from maternal age, the latest matching test results, and recent symptoms whose severity is at least 2. Missing vitals fall back to physiologically plausible defaults so that a complete feature vector is always available. After scoring, contextual modifiers may be added: gestational age from LMP, body-mass index from height and weight, and grand multiparity when parity is five or more.</w:t>
      </w:r>
    </w:p>
    <w:p>
      <w:pPr>
        <w:spacing w:before="0" w:after="280" w:line="240" w:lineRule="auto"/>
        <w:ind w:firstLine="0"/>
        <w:jc w:val="center"/>
      </w:pPr>
      <w:r>
        <w:rPr>
          <w:rFonts w:ascii="Times New Roman" w:hAnsi="Times New Roman" w:eastAsia="Times New Roman"/>
          <w:b w:val="0"/>
          <w:i/>
          <w:color w:val="0B1F3A"/>
          <w:sz w:val="22"/>
        </w:rPr>
        <w:t>Table 4.3: Features used by the clinical risk engine</w:t>
      </w:r>
    </w:p>
    <w:tbl>
      <w:tblPr>
        <w:tblW w:type="auto" w:w="0"/>
        <w:jc w:val="center"/>
        <w:tblLayout w:type="autofit"/>
        <w:tblLook w:firstColumn="1" w:firstRow="1" w:lastColumn="0" w:lastRow="0" w:noHBand="0" w:noVBand="1" w:val="04A0"/>
      </w:tblPr>
      <w:tblGrid>
        <w:gridCol w:w="4513"/>
        <w:gridCol w:w="4513"/>
      </w:tblGrid>
      <w:tr>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Feature</w:t>
            </w:r>
          </w:p>
        </w:tc>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Typical source</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Age</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Date of birth</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Systolic blood pressure</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Latest matching TestResult (default 110 mmHg)</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Diastolic blood pressure</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Latest matching TestResult (default 70 mmHg)</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Blood glucose</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Latest matching TestResult (default 90 mg/dL)</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Heart rate</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Latest matching TestResult (default 80 bpm)</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Body temperature</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Latest matching TestResult (default 36.8 °C)</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Severe headache; blurred vision; swelling</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 type and severity</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Vaginal bleeding; abdominal pain; dizziness</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 type and severity</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Reduced fetal movement; high stress</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 type and severity</w:t>
            </w:r>
          </w:p>
        </w:tc>
      </w:tr>
    </w:tbl>
    <w:p>
      <w:pPr>
        <w:spacing w:after="160"/>
      </w:pPr>
    </w:p>
    <w:p>
      <w:pPr>
        <w:keepNext/>
        <w:spacing w:before="240" w:after="160"/>
        <w:ind w:firstLine="0"/>
        <w:jc w:val="left"/>
      </w:pPr>
      <w:r>
        <w:rPr>
          <w:rFonts w:ascii="Times New Roman" w:hAnsi="Times New Roman" w:eastAsia="Times New Roman"/>
          <w:b/>
          <w:i w:val="0"/>
          <w:color w:val="0B1F3A"/>
          <w:sz w:val="26"/>
        </w:rPr>
        <w:t>4.5.2  Scoring and Classification</w:t>
      </w:r>
    </w:p>
    <w:p>
      <w:pPr>
        <w:spacing w:before="0" w:after="160" w:line="360" w:lineRule="auto"/>
        <w:ind w:firstLine="709"/>
        <w:jc w:val="both"/>
      </w:pPr>
      <w:r>
        <w:rPr>
          <w:rFonts w:ascii="Times New Roman" w:hAnsi="Times New Roman" w:eastAsia="Times New Roman"/>
          <w:b w:val="0"/>
          <w:i w:val="0"/>
          <w:color w:val="1E293B"/>
          <w:sz w:val="24"/>
        </w:rPr>
        <w:t>Each feature contributes a weighted partial score. The sum is clamped to the interval [0, 1]. Classification uses both the numeric score and hard emergency rules. The level is HIGH if the score is at least 0.55, or if any of the following are present: vaginal bleeding; reduced fetal movement; systolic blood pressure of 160 mmHg or more together with diastolic pressure of 110 mmHg or more; or severe headache combined with blurred vision. The level is MEDIUM if the score is at least 0.28, and LOW otherwise. Supporting calculations include Naegele’s estimated date of delivery, gestational age in weeks, mean arterial pressure, and body-mass index.</w:t>
      </w:r>
    </w:p>
    <w:p>
      <w:pPr>
        <w:keepNext/>
        <w:spacing w:before="240" w:after="160"/>
        <w:ind w:firstLine="0"/>
        <w:jc w:val="left"/>
      </w:pPr>
      <w:r>
        <w:rPr>
          <w:rFonts w:ascii="Times New Roman" w:hAnsi="Times New Roman" w:eastAsia="Times New Roman"/>
          <w:b/>
          <w:i w:val="0"/>
          <w:color w:val="0B1F3A"/>
          <w:sz w:val="26"/>
        </w:rPr>
        <w:t>4.5.3  Complication Screening and Recommendations</w:t>
      </w:r>
    </w:p>
    <w:p>
      <w:pPr>
        <w:spacing w:before="0" w:after="160" w:line="360" w:lineRule="auto"/>
        <w:ind w:firstLine="709"/>
        <w:jc w:val="both"/>
      </w:pPr>
      <w:r>
        <w:rPr>
          <w:rFonts w:ascii="Times New Roman" w:hAnsi="Times New Roman" w:eastAsia="Times New Roman"/>
          <w:b w:val="0"/>
          <w:i w:val="0"/>
          <w:color w:val="1E293B"/>
          <w:sz w:val="24"/>
        </w:rPr>
        <w:t>When indicated, the engine screens for pre-eclampsia, gestational diabetes, and preterm labour, and may add an emergency screen. The function buildRecommendations returns suggested tests, actions, a short care plan, and an urgency band (monitor, consult, or emergency). A HIGH result creates alerts and in-application notifications for the patient and assigned providers. Figure 4.6 summarises the pipeline from record collection to persistence.</w:t>
      </w:r>
    </w:p>
    <w:p>
      <w:pPr>
        <w:spacing w:before="0" w:after="80" w:line="240" w:lineRule="auto"/>
        <w:ind w:firstLine="0"/>
        <w:jc w:val="center"/>
      </w:pPr>
      <w:r>
        <w:drawing>
          <wp:inline xmlns:a="http://schemas.openxmlformats.org/drawingml/2006/main" xmlns:pic="http://schemas.openxmlformats.org/drawingml/2006/picture">
            <wp:extent cx="5303520" cy="4861560"/>
            <wp:docPr id="6" name="Picture 6"/>
            <wp:cNvGraphicFramePr>
              <a:graphicFrameLocks noChangeAspect="1"/>
            </wp:cNvGraphicFramePr>
            <a:graphic>
              <a:graphicData uri="http://schemas.openxmlformats.org/drawingml/2006/picture">
                <pic:pic>
                  <pic:nvPicPr>
                    <pic:cNvPr id="0" name="fig-risk-pipeline.png"/>
                    <pic:cNvPicPr/>
                  </pic:nvPicPr>
                  <pic:blipFill>
                    <a:blip r:embed="rId14"/>
                    <a:stretch>
                      <a:fillRect/>
                    </a:stretch>
                  </pic:blipFill>
                  <pic:spPr>
                    <a:xfrm>
                      <a:off x="0" y="0"/>
                      <a:ext cx="5303520" cy="4861560"/>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4.6: Clinical risk-assessment pipeline from feature extraction to alerts</w:t>
      </w:r>
    </w:p>
    <w:p>
      <w:pPr>
        <w:keepNext/>
        <w:spacing w:before="240" w:after="160"/>
        <w:ind w:firstLine="0"/>
        <w:jc w:val="left"/>
      </w:pPr>
      <w:r>
        <w:rPr>
          <w:rFonts w:ascii="Times New Roman" w:hAnsi="Times New Roman" w:eastAsia="Times New Roman"/>
          <w:b/>
          <w:i w:val="0"/>
          <w:color w:val="0B1F3A"/>
          <w:sz w:val="26"/>
        </w:rPr>
        <w:t>4.5.4  Optional Random Forest Training</w:t>
      </w:r>
    </w:p>
    <w:p>
      <w:pPr>
        <w:spacing w:before="0" w:after="160" w:line="360" w:lineRule="auto"/>
        <w:ind w:firstLine="709"/>
        <w:jc w:val="both"/>
      </w:pPr>
      <w:r>
        <w:rPr>
          <w:rFonts w:ascii="Times New Roman" w:hAnsi="Times New Roman" w:eastAsia="Times New Roman"/>
          <w:b w:val="0"/>
          <w:i w:val="0"/>
          <w:color w:val="1E293B"/>
          <w:sz w:val="24"/>
        </w:rPr>
        <w:t>The script ml/train_model.py can fit a scikit-learn RandomForestClassifier (200 trees, maximum depth 8, balanced class weights) on synthetic data (2,000 rows, 80/20 train–test split) and write model.joblib. That file is an artefact of the product specification and is not part of the production request path. Any hold-out accuracy printed by the script applies only to the synthetic generator and is not reported here as clinical performance.</w:t>
      </w:r>
    </w:p>
    <w:p>
      <w:pPr>
        <w:keepNext/>
        <w:spacing w:before="320" w:after="160"/>
        <w:ind w:firstLine="0"/>
        <w:jc w:val="left"/>
      </w:pPr>
      <w:r>
        <w:rPr>
          <w:rFonts w:ascii="Times New Roman" w:hAnsi="Times New Roman" w:eastAsia="Times New Roman"/>
          <w:b/>
          <w:i w:val="0"/>
          <w:color w:val="0B1F3A"/>
          <w:sz w:val="28"/>
        </w:rPr>
        <w:t>4.6  Security Implementation</w:t>
      </w:r>
    </w:p>
    <w:p>
      <w:pPr>
        <w:keepNext/>
        <w:spacing w:before="240" w:after="160"/>
        <w:ind w:firstLine="0"/>
        <w:jc w:val="left"/>
      </w:pPr>
      <w:r>
        <w:rPr>
          <w:rFonts w:ascii="Times New Roman" w:hAnsi="Times New Roman" w:eastAsia="Times New Roman"/>
          <w:b/>
          <w:i w:val="0"/>
          <w:color w:val="0B1F3A"/>
          <w:sz w:val="26"/>
        </w:rPr>
        <w:t>4.6.1  Authentication and Authorisation</w:t>
      </w:r>
    </w:p>
    <w:p>
      <w:pPr>
        <w:spacing w:before="0" w:after="160" w:line="360" w:lineRule="auto"/>
        <w:ind w:firstLine="709"/>
        <w:jc w:val="both"/>
      </w:pPr>
      <w:r>
        <w:rPr>
          <w:rFonts w:ascii="Times New Roman" w:hAnsi="Times New Roman" w:eastAsia="Times New Roman"/>
          <w:b w:val="0"/>
          <w:i w:val="0"/>
          <w:color w:val="1E293B"/>
          <w:sz w:val="24"/>
        </w:rPr>
        <w:t>Users submit an email address and password on /login. Zod validates the payload. NextAuth looks up the user and compares the password with the stored bcrypt hash. On success a JSON Web Token is issued with an eight-hour lifetime and stored in an HTTP-only cookie. Middleware protects /patient/* and /provider/* routes. API handlers call requireUser (optionally with an allowed-role list). Providers may access only patients to whom they are assigned (assertPatientAccess). Figure 4.7 shows the flow.</w:t>
      </w:r>
    </w:p>
    <w:p>
      <w:pPr>
        <w:spacing w:before="0" w:after="80" w:line="240" w:lineRule="auto"/>
        <w:ind w:firstLine="0"/>
        <w:jc w:val="center"/>
      </w:pPr>
      <w:r>
        <w:drawing>
          <wp:inline xmlns:a="http://schemas.openxmlformats.org/drawingml/2006/main" xmlns:pic="http://schemas.openxmlformats.org/drawingml/2006/picture">
            <wp:extent cx="5669280" cy="3750447"/>
            <wp:docPr id="7" name="Picture 7"/>
            <wp:cNvGraphicFramePr>
              <a:graphicFrameLocks noChangeAspect="1"/>
            </wp:cNvGraphicFramePr>
            <a:graphic>
              <a:graphicData uri="http://schemas.openxmlformats.org/drawingml/2006/picture">
                <pic:pic>
                  <pic:nvPicPr>
                    <pic:cNvPr id="0" name="fig-auth-flow.png"/>
                    <pic:cNvPicPr/>
                  </pic:nvPicPr>
                  <pic:blipFill>
                    <a:blip r:embed="rId15"/>
                    <a:stretch>
                      <a:fillRect/>
                    </a:stretch>
                  </pic:blipFill>
                  <pic:spPr>
                    <a:xfrm>
                      <a:off x="0" y="0"/>
                      <a:ext cx="5669280" cy="3750447"/>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4.7: Authentication and authorisation flow</w:t>
      </w:r>
    </w:p>
    <w:p>
      <w:pPr>
        <w:keepNext/>
        <w:spacing w:before="240" w:after="160"/>
        <w:ind w:firstLine="0"/>
        <w:jc w:val="left"/>
      </w:pPr>
      <w:r>
        <w:rPr>
          <w:rFonts w:ascii="Times New Roman" w:hAnsi="Times New Roman" w:eastAsia="Times New Roman"/>
          <w:b/>
          <w:i w:val="0"/>
          <w:color w:val="0B1F3A"/>
          <w:sz w:val="26"/>
        </w:rPr>
        <w:t>4.6.2  Data Security Measures</w:t>
      </w:r>
    </w:p>
    <w:p>
      <w:pPr>
        <w:pStyle w:val="ListBullet"/>
        <w:spacing w:after="80" w:line="276" w:lineRule="auto"/>
      </w:pPr>
      <w:r>
        <w:rPr>
          <w:rFonts w:ascii="Times New Roman" w:hAnsi="Times New Roman" w:eastAsia="Times New Roman"/>
          <w:b w:val="0"/>
          <w:i w:val="0"/>
          <w:color w:val="1E293B"/>
          <w:sz w:val="24"/>
        </w:rPr>
        <w:t>Password hashing: bcryptjs with 12 salt rounds. Only passwordHash is stored on the User table.</w:t>
      </w:r>
    </w:p>
    <w:p>
      <w:pPr>
        <w:pStyle w:val="ListBullet"/>
        <w:spacing w:after="80" w:line="276" w:lineRule="auto"/>
      </w:pPr>
      <w:r>
        <w:rPr>
          <w:rFonts w:ascii="Times New Roman" w:hAnsi="Times New Roman" w:eastAsia="Times New Roman"/>
          <w:b w:val="0"/>
          <w:i w:val="0"/>
          <w:color w:val="1E293B"/>
          <w:sz w:val="24"/>
        </w:rPr>
        <w:t>HTTPS/TLS: enforced by Vercel in production.</w:t>
      </w:r>
    </w:p>
    <w:p>
      <w:pPr>
        <w:pStyle w:val="ListBullet"/>
        <w:spacing w:after="80" w:line="276" w:lineRule="auto"/>
      </w:pPr>
      <w:r>
        <w:rPr>
          <w:rFonts w:ascii="Times New Roman" w:hAnsi="Times New Roman" w:eastAsia="Times New Roman"/>
          <w:b w:val="0"/>
          <w:i w:val="0"/>
          <w:color w:val="1E293B"/>
          <w:sz w:val="24"/>
        </w:rPr>
        <w:t>Input validation: Zod schemas on authentication and clinical payloads, which reduces injection and malformed-data risk.</w:t>
      </w:r>
    </w:p>
    <w:p>
      <w:pPr>
        <w:pStyle w:val="ListBullet"/>
        <w:spacing w:after="80" w:line="276" w:lineRule="auto"/>
      </w:pPr>
      <w:r>
        <w:rPr>
          <w:rFonts w:ascii="Times New Roman" w:hAnsi="Times New Roman" w:eastAsia="Times New Roman"/>
          <w:b w:val="0"/>
          <w:i w:val="0"/>
          <w:color w:val="1E293B"/>
          <w:sz w:val="24"/>
        </w:rPr>
        <w:t>Rate limiting: an in-memory limiter on registration and password-reset endpoints to reduce brute-force attempts.</w:t>
      </w:r>
    </w:p>
    <w:p>
      <w:pPr>
        <w:pStyle w:val="ListBullet"/>
        <w:spacing w:after="80" w:line="276" w:lineRule="auto"/>
      </w:pPr>
      <w:r>
        <w:rPr>
          <w:rFonts w:ascii="Times New Roman" w:hAnsi="Times New Roman" w:eastAsia="Times New Roman"/>
          <w:b w:val="0"/>
          <w:i w:val="0"/>
          <w:color w:val="1E293B"/>
          <w:sz w:val="24"/>
        </w:rPr>
        <w:t>Role-based access control: JWT role, edge middleware, and API guards.</w:t>
      </w:r>
    </w:p>
    <w:p>
      <w:pPr>
        <w:pStyle w:val="ListBullet"/>
        <w:spacing w:after="80" w:line="276" w:lineRule="auto"/>
      </w:pPr>
      <w:r>
        <w:rPr>
          <w:rFonts w:ascii="Times New Roman" w:hAnsi="Times New Roman" w:eastAsia="Times New Roman"/>
          <w:b w:val="0"/>
          <w:i w:val="0"/>
          <w:color w:val="1E293B"/>
          <w:sz w:val="24"/>
        </w:rPr>
        <w:t>Session control: eight-hour JWT; logout through NextAuth.</w:t>
      </w:r>
    </w:p>
    <w:p>
      <w:pPr>
        <w:pStyle w:val="ListBullet"/>
        <w:spacing w:after="80" w:line="276" w:lineRule="auto"/>
      </w:pPr>
      <w:r>
        <w:rPr>
          <w:rFonts w:ascii="Times New Roman" w:hAnsi="Times New Roman" w:eastAsia="Times New Roman"/>
          <w:b w:val="0"/>
          <w:i w:val="0"/>
          <w:color w:val="1E293B"/>
          <w:sz w:val="24"/>
        </w:rPr>
        <w:t>Password reset: single-use tokens that expire after 30 minutes; generic API responses.</w:t>
      </w:r>
    </w:p>
    <w:p>
      <w:pPr>
        <w:pStyle w:val="ListBullet"/>
        <w:spacing w:after="80" w:line="276" w:lineRule="auto"/>
      </w:pPr>
      <w:r>
        <w:rPr>
          <w:rFonts w:ascii="Times New Roman" w:hAnsi="Times New Roman" w:eastAsia="Times New Roman"/>
          <w:b w:val="0"/>
          <w:i w:val="0"/>
          <w:color w:val="1E293B"/>
          <w:sz w:val="24"/>
        </w:rPr>
        <w:t>Least privilege on records: patients see only their own data; providers see their assigned caseload.</w:t>
      </w:r>
    </w:p>
    <w:p>
      <w:pPr>
        <w:keepNext/>
        <w:spacing w:before="320" w:after="160"/>
        <w:ind w:firstLine="0"/>
        <w:jc w:val="left"/>
      </w:pPr>
      <w:r>
        <w:rPr>
          <w:rFonts w:ascii="Times New Roman" w:hAnsi="Times New Roman" w:eastAsia="Times New Roman"/>
          <w:b/>
          <w:i w:val="0"/>
          <w:color w:val="0B1F3A"/>
          <w:sz w:val="28"/>
        </w:rPr>
        <w:t>4.7  Results of Testing</w:t>
      </w:r>
    </w:p>
    <w:p>
      <w:pPr>
        <w:spacing w:before="0" w:after="160" w:line="360" w:lineRule="auto"/>
        <w:ind w:firstLine="709"/>
        <w:jc w:val="both"/>
      </w:pPr>
      <w:r>
        <w:rPr>
          <w:rFonts w:ascii="Times New Roman" w:hAnsi="Times New Roman" w:eastAsia="Times New Roman"/>
          <w:b w:val="0"/>
          <w:i w:val="0"/>
          <w:color w:val="1E293B"/>
          <w:sz w:val="24"/>
        </w:rPr>
        <w:t>Verification used functional (black-box) tests against the implemented routes and user interfaces, with the seeded demonstration accounts. The repository does not contain an automated Jest or Mocha suite; therefore unit-coverage percentages are not claimed. The tests below confirm that the implemented modules behave as specified in Chapter Three.</w:t>
      </w:r>
    </w:p>
    <w:p>
      <w:pPr>
        <w:keepNext/>
        <w:spacing w:before="240" w:after="160"/>
        <w:ind w:firstLine="0"/>
        <w:jc w:val="left"/>
      </w:pPr>
      <w:r>
        <w:rPr>
          <w:rFonts w:ascii="Times New Roman" w:hAnsi="Times New Roman" w:eastAsia="Times New Roman"/>
          <w:b/>
          <w:i w:val="0"/>
          <w:color w:val="0B1F3A"/>
          <w:sz w:val="26"/>
        </w:rPr>
        <w:t>4.7.1  Functional Testing Results</w:t>
      </w:r>
    </w:p>
    <w:p>
      <w:pPr>
        <w:spacing w:before="0" w:after="280" w:line="240" w:lineRule="auto"/>
        <w:ind w:firstLine="0"/>
        <w:jc w:val="center"/>
      </w:pPr>
      <w:r>
        <w:rPr>
          <w:rFonts w:ascii="Times New Roman" w:hAnsi="Times New Roman" w:eastAsia="Times New Roman"/>
          <w:b w:val="0"/>
          <w:i/>
          <w:color w:val="0B1F3A"/>
          <w:sz w:val="22"/>
        </w:rPr>
        <w:t>Table 4.4: Functional test results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S/N</w:t>
            </w:r>
          </w:p>
        </w:tc>
        <w:tc>
          <w:tcPr>
            <w:tcW w:type="dxa" w:w="1805"/>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Module</w:t>
            </w:r>
          </w:p>
        </w:tc>
        <w:tc>
          <w:tcPr>
            <w:tcW w:type="dxa" w:w="1805"/>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Test case</w:t>
            </w:r>
          </w:p>
        </w:tc>
        <w:tc>
          <w:tcPr>
            <w:tcW w:type="dxa" w:w="1805"/>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Expected result</w:t>
            </w:r>
          </w:p>
        </w:tc>
        <w:tc>
          <w:tcPr>
            <w:tcW w:type="dxa" w:w="1805"/>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Result</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Registration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Valid patient data</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User and Patient created; EDD from LMP</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2</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Registration</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Duplicate email</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HTTP 409</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3</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Registration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Invalid password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Validation error</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4</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Login</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Valid credentials</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Session cookie; role dashboard</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5</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Login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Wrong password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Sign-in rejected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6</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Authorisation</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 opens provider area</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Redirect away from /provider</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7</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Authorisation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Unauthenticated patient route</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Redirect to /login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8</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Symptoms</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Log a danger-sign symptom</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 stored; risk recalculated</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9</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Tests</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Enter blood pressure / glucose</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TestResult stored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10</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Risk</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High-risk vitals or symptoms</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 with factors and recommendations</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11</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Alerts</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Triggered complication</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Alert created if none active</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12</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Notifications</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 assessment</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 and providers notified</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13</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Facilities</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Known latitude/longitude</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Facilities sorted by Haversine km</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14</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Referral</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Create referral</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PENDING row; patient notified</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15</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Referral</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Provider updates status</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Status persisted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16</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Assistant</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Danger-sign question</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Answer with escalate flag</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17</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Password reset</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Known email</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Token created</w:t>
            </w:r>
          </w:p>
        </w:tc>
        <w:tc>
          <w:tcPr>
            <w:tcW w:type="dxa" w:w="1805"/>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18</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Profile</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Update phone / LMP</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 profile updated</w:t>
            </w:r>
          </w:p>
        </w:tc>
        <w:tc>
          <w:tcPr>
            <w:tcW w:type="dxa" w:w="1805"/>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bl>
    <w:p>
      <w:pPr>
        <w:spacing w:after="160"/>
      </w:pPr>
    </w:p>
    <w:p>
      <w:pPr>
        <w:spacing w:before="0" w:after="160" w:line="360" w:lineRule="auto"/>
        <w:ind w:firstLine="709"/>
        <w:jc w:val="both"/>
      </w:pPr>
      <w:r>
        <w:rPr>
          <w:rFonts w:ascii="Times New Roman" w:hAnsi="Times New Roman" w:eastAsia="Times New Roman"/>
          <w:b w:val="0"/>
          <w:i w:val="0"/>
          <w:color w:val="1E293B"/>
          <w:sz w:val="24"/>
        </w:rPr>
        <w:t>All eighteen functional cases passed on the seeded system. Failures of validation and authorisation were confirmed as rejected requests rather than silent success.</w:t>
      </w:r>
    </w:p>
    <w:p>
      <w:pPr>
        <w:keepNext/>
        <w:spacing w:before="240" w:after="160"/>
        <w:ind w:firstLine="0"/>
        <w:jc w:val="left"/>
      </w:pPr>
      <w:r>
        <w:rPr>
          <w:rFonts w:ascii="Times New Roman" w:hAnsi="Times New Roman" w:eastAsia="Times New Roman"/>
          <w:b/>
          <w:i w:val="0"/>
          <w:color w:val="0B1F3A"/>
          <w:sz w:val="26"/>
        </w:rPr>
        <w:t>4.7.2  Integration Testing Results</w:t>
      </w:r>
    </w:p>
    <w:p>
      <w:pPr>
        <w:spacing w:before="0" w:after="160" w:line="360" w:lineRule="auto"/>
        <w:ind w:firstLine="709"/>
        <w:jc w:val="both"/>
      </w:pPr>
      <w:r>
        <w:rPr>
          <w:rFonts w:ascii="Times New Roman" w:hAnsi="Times New Roman" w:eastAsia="Times New Roman"/>
          <w:b w:val="0"/>
          <w:i w:val="0"/>
          <w:color w:val="1E293B"/>
          <w:sz w:val="24"/>
        </w:rPr>
        <w:t>Integration tests exercised complete workflows that cross the presentation, application, and data tiers.</w:t>
      </w:r>
    </w:p>
    <w:p>
      <w:pPr>
        <w:spacing w:before="0" w:after="280" w:line="240" w:lineRule="auto"/>
        <w:ind w:firstLine="0"/>
        <w:jc w:val="center"/>
      </w:pPr>
      <w:r>
        <w:rPr>
          <w:rFonts w:ascii="Times New Roman" w:hAnsi="Times New Roman" w:eastAsia="Times New Roman"/>
          <w:b w:val="0"/>
          <w:i/>
          <w:color w:val="0B1F3A"/>
          <w:sz w:val="22"/>
        </w:rPr>
        <w:t>Table 4.5: End-to-end workflow results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Workflow</w:t>
            </w:r>
          </w:p>
        </w:tc>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Steps</w:t>
            </w:r>
          </w:p>
        </w:tc>
        <w:tc>
          <w:tcPr>
            <w:tcW w:type="dxa" w:w="3009"/>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Result</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 monitoring</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Register → login → log symptom → view risk</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Vitals and risk</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Enter SBP/DBP → assess → dashboard updates</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Provider caseload</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Provider login → list by risk → open patient</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Alert handling</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High-risk case → alert on dashboard → resolve</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Referral</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Nearby facilities → create referral → track status</w:t>
            </w:r>
          </w:p>
        </w:tc>
        <w:tc>
          <w:tcPr>
            <w:tcW w:type="dxa" w:w="3009"/>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Cross-role isolation</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Patient cannot read another patient’s API data</w:t>
            </w:r>
          </w:p>
        </w:tc>
        <w:tc>
          <w:tcPr>
            <w:tcW w:type="dxa" w:w="3009"/>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bl>
    <w:p>
      <w:pPr>
        <w:spacing w:after="160"/>
      </w:pPr>
    </w:p>
    <w:p>
      <w:pPr>
        <w:keepNext/>
        <w:spacing w:before="240" w:after="160"/>
        <w:ind w:firstLine="0"/>
        <w:jc w:val="left"/>
      </w:pPr>
      <w:r>
        <w:rPr>
          <w:rFonts w:ascii="Times New Roman" w:hAnsi="Times New Roman" w:eastAsia="Times New Roman"/>
          <w:b/>
          <w:i w:val="0"/>
          <w:color w:val="0B1F3A"/>
          <w:sz w:val="26"/>
        </w:rPr>
        <w:t>4.7.3  Risk-Engine Verification</w:t>
      </w:r>
    </w:p>
    <w:p>
      <w:pPr>
        <w:spacing w:before="0" w:after="160" w:line="360" w:lineRule="auto"/>
        <w:ind w:firstLine="709"/>
        <w:jc w:val="both"/>
      </w:pPr>
      <w:r>
        <w:rPr>
          <w:rFonts w:ascii="Times New Roman" w:hAnsi="Times New Roman" w:eastAsia="Times New Roman"/>
          <w:b w:val="0"/>
          <w:i w:val="0"/>
          <w:color w:val="1E293B"/>
          <w:sz w:val="24"/>
        </w:rPr>
        <w:t>The engine was checked with scenario cases that correspond to the implemented rules. These checks confirm correct classification behaviour; they are not a claim of accuracy on an external labelled clinical dataset.</w:t>
      </w:r>
    </w:p>
    <w:p>
      <w:pPr>
        <w:spacing w:before="0" w:after="280" w:line="240" w:lineRule="auto"/>
        <w:ind w:firstLine="0"/>
        <w:jc w:val="center"/>
      </w:pPr>
      <w:r>
        <w:rPr>
          <w:rFonts w:ascii="Times New Roman" w:hAnsi="Times New Roman" w:eastAsia="Times New Roman"/>
          <w:b w:val="0"/>
          <w:i/>
          <w:color w:val="0B1F3A"/>
          <w:sz w:val="22"/>
        </w:rPr>
        <w:t>Table 4.6: Risk-engine scenario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Scenario</w:t>
            </w:r>
          </w:p>
        </w:tc>
        <w:tc>
          <w:tcPr>
            <w:tcW w:type="dxa" w:w="2256"/>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Illustrative inputs</w:t>
            </w:r>
          </w:p>
        </w:tc>
        <w:tc>
          <w:tcPr>
            <w:tcW w:type="dxa" w:w="2256"/>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Expected class</w:t>
            </w:r>
          </w:p>
        </w:tc>
        <w:tc>
          <w:tcPr>
            <w:tcW w:type="dxa" w:w="2256"/>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Result</w:t>
            </w:r>
          </w:p>
        </w:tc>
      </w:tr>
      <w:tr>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Routine antenatal visit</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Age 28; BP 110/70; glucose 90; no danger signs</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LOW</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Raised blood pressure</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SBP 142; DBP 92; headache</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MEDIUM or HIGH</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Emergency blood pressure</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SBP 165; DBP 112</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Combined neurological signs</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Severe headache and blurred vision</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Antepartum bleeding</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Vaginal bleeding logged</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Reduced fetal movement</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Low fetal movement logged</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HIGH</w:t>
            </w:r>
          </w:p>
        </w:tc>
        <w:tc>
          <w:tcPr>
            <w:tcW w:type="dxa" w:w="2256"/>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r>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Hyperglycaemia</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Glucose ≥ 140 mg/dL</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Elevated score; GDM screen if HIGH</w:t>
            </w:r>
          </w:p>
        </w:tc>
        <w:tc>
          <w:tcPr>
            <w:tcW w:type="dxa" w:w="2256"/>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Pass</w:t>
            </w:r>
          </w:p>
        </w:tc>
      </w:tr>
    </w:tbl>
    <w:p>
      <w:pPr>
        <w:spacing w:after="160"/>
      </w:pPr>
    </w:p>
    <w:p>
      <w:pPr>
        <w:keepNext/>
        <w:spacing w:before="240" w:after="160"/>
        <w:ind w:firstLine="0"/>
        <w:jc w:val="left"/>
      </w:pPr>
      <w:r>
        <w:rPr>
          <w:rFonts w:ascii="Times New Roman" w:hAnsi="Times New Roman" w:eastAsia="Times New Roman"/>
          <w:b/>
          <w:i w:val="0"/>
          <w:color w:val="0B1F3A"/>
          <w:sz w:val="26"/>
        </w:rPr>
        <w:t>4.7.4  Performance Observations</w:t>
      </w:r>
    </w:p>
    <w:p>
      <w:pPr>
        <w:spacing w:before="0" w:after="160" w:line="360" w:lineRule="auto"/>
        <w:ind w:firstLine="709"/>
        <w:jc w:val="both"/>
      </w:pPr>
      <w:r>
        <w:rPr>
          <w:rFonts w:ascii="Times New Roman" w:hAnsi="Times New Roman" w:eastAsia="Times New Roman"/>
          <w:b w:val="0"/>
          <w:i w:val="0"/>
          <w:color w:val="1E293B"/>
          <w:sz w:val="24"/>
        </w:rPr>
        <w:t>The production stack is serverless (Vercel) with hosted PostgreSQL (Neon). Informal checks on the development workstation (npm run dev) showed interactive page loads and API responses completing in under about two seconds for dashboard rendering, symptom submission with risk persistence, and nearby-facility sorting over the seeded facility list. These observations indicate that the implemented operations are suitable for interactive clinical use at demonstration scale. Formal load testing with a published tool is recommended before large-facility roll-out.</w:t>
      </w:r>
    </w:p>
    <w:p>
      <w:pPr>
        <w:spacing w:before="0" w:after="280" w:line="240" w:lineRule="auto"/>
        <w:ind w:firstLine="0"/>
        <w:jc w:val="center"/>
      </w:pPr>
      <w:r>
        <w:rPr>
          <w:rFonts w:ascii="Times New Roman" w:hAnsi="Times New Roman" w:eastAsia="Times New Roman"/>
          <w:b w:val="0"/>
          <w:i/>
          <w:color w:val="0B1F3A"/>
          <w:sz w:val="22"/>
        </w:rPr>
        <w:t>Table 4.7: Qualitative performance on the development workstation</w:t>
      </w:r>
    </w:p>
    <w:tbl>
      <w:tblPr>
        <w:tblW w:type="auto" w:w="0"/>
        <w:jc w:val="center"/>
        <w:tblLayout w:type="autofit"/>
        <w:tblLook w:firstColumn="1" w:firstRow="1" w:lastColumn="0" w:lastRow="0" w:noHBand="0" w:noVBand="1" w:val="04A0"/>
      </w:tblPr>
      <w:tblGrid>
        <w:gridCol w:w="4513"/>
        <w:gridCol w:w="4513"/>
      </w:tblGrid>
      <w:tr>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Operation</w:t>
            </w:r>
          </w:p>
        </w:tc>
        <w:tc>
          <w:tcPr>
            <w:tcW w:type="dxa" w:w="4513"/>
            <w:shd w:fill="0B1F3A" w:val="clear"/>
            <w:tcBorders>
              <w:top w:val="single" w:sz="4" w:color="94A3B8"/>
              <w:left w:val="single" w:sz="4" w:color="94A3B8"/>
              <w:bottom w:val="single" w:sz="4" w:color="94A3B8"/>
              <w:right w:val="single" w:sz="4" w:color="94A3B8"/>
            </w:tcBorders>
          </w:tcPr>
          <w:p>
            <w:pPr>
              <w:jc w:val="left"/>
            </w:pPr>
            <w:r/>
            <w:r>
              <w:rPr>
                <w:rFonts w:ascii="Times New Roman" w:hAnsi="Times New Roman" w:eastAsia="Times New Roman"/>
                <w:b/>
                <w:i w:val="0"/>
                <w:color w:val="FFFFFF"/>
                <w:sz w:val="20"/>
              </w:rPr>
              <w:t>Observation</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Login and dashboard</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Acceptable for interactive use</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Symptom submit and risk persist</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Completes in one request cycle</w:t>
            </w:r>
          </w:p>
        </w:tc>
      </w:tr>
      <w:tr>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Nearby facility sort</w:t>
            </w:r>
          </w:p>
        </w:tc>
        <w:tc>
          <w:tcPr>
            <w:tcW w:type="dxa" w:w="4513"/>
            <w:shd w:fill="F1F5F9" w:val="clear"/>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In-process Haversine over seeded facilities</w:t>
            </w:r>
          </w:p>
        </w:tc>
      </w:tr>
      <w:tr>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Provider caseload and chart</w:t>
            </w:r>
          </w:p>
        </w:tc>
        <w:tc>
          <w:tcPr>
            <w:tcW w:type="dxa" w:w="4513"/>
            <w:tcBorders>
              <w:top w:val="single" w:sz="4" w:color="94A3B8"/>
              <w:left w:val="single" w:sz="4" w:color="94A3B8"/>
              <w:bottom w:val="single" w:sz="4" w:color="94A3B8"/>
              <w:right w:val="single" w:sz="4" w:color="94A3B8"/>
            </w:tcBorders>
          </w:tcPr>
          <w:p>
            <w:r/>
            <w:r>
              <w:rPr>
                <w:rFonts w:ascii="Times New Roman" w:hAnsi="Times New Roman" w:eastAsia="Times New Roman"/>
                <w:b w:val="0"/>
                <w:i w:val="0"/>
                <w:color w:val="1E293B"/>
                <w:sz w:val="20"/>
              </w:rPr>
              <w:t>Acceptable for the seeded caseload</w:t>
            </w:r>
          </w:p>
        </w:tc>
      </w:tr>
    </w:tbl>
    <w:p>
      <w:pPr>
        <w:spacing w:after="160"/>
      </w:pPr>
    </w:p>
    <w:p>
      <w:pPr>
        <w:keepNext/>
        <w:spacing w:before="240" w:after="160"/>
        <w:ind w:firstLine="0"/>
        <w:jc w:val="left"/>
      </w:pPr>
      <w:r>
        <w:rPr>
          <w:rFonts w:ascii="Times New Roman" w:hAnsi="Times New Roman" w:eastAsia="Times New Roman"/>
          <w:b/>
          <w:i w:val="0"/>
          <w:color w:val="0B1F3A"/>
          <w:sz w:val="26"/>
        </w:rPr>
        <w:t>4.7.5  Usability Review</w:t>
      </w:r>
    </w:p>
    <w:p>
      <w:pPr>
        <w:spacing w:before="0" w:after="160" w:line="360" w:lineRule="auto"/>
        <w:ind w:firstLine="709"/>
        <w:jc w:val="both"/>
      </w:pPr>
      <w:r>
        <w:rPr>
          <w:rFonts w:ascii="Times New Roman" w:hAnsi="Times New Roman" w:eastAsia="Times New Roman"/>
          <w:b w:val="0"/>
          <w:i w:val="0"/>
          <w:color w:val="1E293B"/>
          <w:sz w:val="24"/>
        </w:rPr>
        <w:t>A heuristic review of the implemented interfaces (labels, risk colour coding, empty states, and mobile-width Tailwind layout) found that the main tasks are completable: register, log a symptom, read a risk result, open referrals, and review a provider caseload. Formal field usability testing with antenatal clients and midwives was not conducted as a measured survey for this chapter and is recommended as future work. During implementation, copy was kept free of diagnostic claims, tap targets were kept large, and high-risk language was made visually prominent.</w:t>
      </w:r>
    </w:p>
    <w:p>
      <w:pPr>
        <w:keepNext/>
        <w:spacing w:before="320" w:after="160"/>
        <w:ind w:firstLine="0"/>
        <w:jc w:val="left"/>
      </w:pPr>
      <w:r>
        <w:rPr>
          <w:rFonts w:ascii="Times New Roman" w:hAnsi="Times New Roman" w:eastAsia="Times New Roman"/>
          <w:b/>
          <w:i w:val="0"/>
          <w:color w:val="0B1F3A"/>
          <w:sz w:val="28"/>
        </w:rPr>
        <w:t>4.8  System Features Demonstration</w:t>
      </w:r>
    </w:p>
    <w:p>
      <w:pPr>
        <w:keepNext/>
        <w:spacing w:before="240" w:after="160"/>
        <w:ind w:firstLine="0"/>
        <w:jc w:val="left"/>
      </w:pPr>
      <w:r>
        <w:rPr>
          <w:rFonts w:ascii="Times New Roman" w:hAnsi="Times New Roman" w:eastAsia="Times New Roman"/>
          <w:b/>
          <w:i w:val="0"/>
          <w:color w:val="0B1F3A"/>
          <w:sz w:val="26"/>
        </w:rPr>
        <w:t>4.8.1  Patient Registration Flow</w:t>
      </w:r>
    </w:p>
    <w:p>
      <w:pPr>
        <w:spacing w:before="0" w:after="160" w:line="360" w:lineRule="auto"/>
        <w:ind w:firstLine="709"/>
        <w:jc w:val="both"/>
      </w:pPr>
      <w:r>
        <w:rPr>
          <w:rFonts w:ascii="Times New Roman" w:hAnsi="Times New Roman" w:eastAsia="Times New Roman"/>
          <w:b w:val="0"/>
          <w:i w:val="0"/>
          <w:color w:val="1E293B"/>
          <w:sz w:val="24"/>
        </w:rPr>
        <w:t>Figure 4.8 shows the patient registration interface. The user opens /register, chooses the patient role, and enters identity and obstetric data, including last menstrual period. The server hashes the password, creates the User and Patient rows, computes the estimated date of delivery, and may assign a provider. The user then signs in and is redirected to /patient/dashboard.</w:t>
      </w:r>
    </w:p>
    <w:p>
      <w:pPr>
        <w:spacing w:before="0" w:after="80" w:line="240" w:lineRule="auto"/>
        <w:ind w:firstLine="0"/>
        <w:jc w:val="center"/>
      </w:pPr>
      <w:r>
        <w:drawing>
          <wp:inline xmlns:a="http://schemas.openxmlformats.org/drawingml/2006/main" xmlns:pic="http://schemas.openxmlformats.org/drawingml/2006/picture">
            <wp:extent cx="4937760" cy="4399095"/>
            <wp:docPr id="8" name="Picture 8"/>
            <wp:cNvGraphicFramePr>
              <a:graphicFrameLocks noChangeAspect="1"/>
            </wp:cNvGraphicFramePr>
            <a:graphic>
              <a:graphicData uri="http://schemas.openxmlformats.org/drawingml/2006/picture">
                <pic:pic>
                  <pic:nvPicPr>
                    <pic:cNvPr id="0" name="fig-registration.png"/>
                    <pic:cNvPicPr/>
                  </pic:nvPicPr>
                  <pic:blipFill>
                    <a:blip r:embed="rId16"/>
                    <a:stretch>
                      <a:fillRect/>
                    </a:stretch>
                  </pic:blipFill>
                  <pic:spPr>
                    <a:xfrm>
                      <a:off x="0" y="0"/>
                      <a:ext cx="4937760" cy="4399095"/>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4.8: Patient registration interface</w:t>
      </w:r>
    </w:p>
    <w:p>
      <w:pPr>
        <w:pStyle w:val="ListBullet"/>
        <w:spacing w:after="80" w:line="276" w:lineRule="auto"/>
      </w:pPr>
      <w:r>
        <w:rPr>
          <w:rFonts w:ascii="Times New Roman" w:hAnsi="Times New Roman" w:eastAsia="Times New Roman"/>
          <w:b w:val="0"/>
          <w:i w:val="0"/>
          <w:color w:val="1E293B"/>
          <w:sz w:val="24"/>
        </w:rPr>
        <w:t>Step 1: The user navigates to the registration page.</w:t>
      </w:r>
    </w:p>
    <w:p>
      <w:pPr>
        <w:pStyle w:val="ListBullet"/>
        <w:spacing w:after="80" w:line="276" w:lineRule="auto"/>
      </w:pPr>
      <w:r>
        <w:rPr>
          <w:rFonts w:ascii="Times New Roman" w:hAnsi="Times New Roman" w:eastAsia="Times New Roman"/>
          <w:b w:val="0"/>
          <w:i w:val="0"/>
          <w:color w:val="1E293B"/>
          <w:sz w:val="24"/>
        </w:rPr>
        <w:t>Step 2: Personal and obstetric information is completed and the terms are accepted.</w:t>
      </w:r>
    </w:p>
    <w:p>
      <w:pPr>
        <w:pStyle w:val="ListBullet"/>
        <w:spacing w:after="80" w:line="276" w:lineRule="auto"/>
      </w:pPr>
      <w:r>
        <w:rPr>
          <w:rFonts w:ascii="Times New Roman" w:hAnsi="Times New Roman" w:eastAsia="Times New Roman"/>
          <w:b w:val="0"/>
          <w:i w:val="0"/>
          <w:color w:val="1E293B"/>
          <w:sz w:val="24"/>
        </w:rPr>
        <w:t>Step 3: An account is created with a hashed password.</w:t>
      </w:r>
    </w:p>
    <w:p>
      <w:pPr>
        <w:pStyle w:val="ListBullet"/>
        <w:spacing w:after="80" w:line="276" w:lineRule="auto"/>
      </w:pPr>
      <w:r>
        <w:rPr>
          <w:rFonts w:ascii="Times New Roman" w:hAnsi="Times New Roman" w:eastAsia="Times New Roman"/>
          <w:b w:val="0"/>
          <w:i w:val="0"/>
          <w:color w:val="1E293B"/>
          <w:sz w:val="24"/>
        </w:rPr>
        <w:t>Step 4: The user is signed in and redirected to the patient dashboard.</w:t>
      </w:r>
    </w:p>
    <w:p>
      <w:pPr>
        <w:keepNext/>
        <w:spacing w:before="240" w:after="160"/>
        <w:ind w:firstLine="0"/>
        <w:jc w:val="left"/>
      </w:pPr>
      <w:r>
        <w:rPr>
          <w:rFonts w:ascii="Times New Roman" w:hAnsi="Times New Roman" w:eastAsia="Times New Roman"/>
          <w:b/>
          <w:i w:val="0"/>
          <w:color w:val="0B1F3A"/>
          <w:sz w:val="26"/>
        </w:rPr>
        <w:t>4.8.2  Symptom Submission and AI Analysis</w:t>
      </w:r>
    </w:p>
    <w:p>
      <w:pPr>
        <w:spacing w:before="0" w:after="160" w:line="360" w:lineRule="auto"/>
        <w:ind w:firstLine="709"/>
        <w:jc w:val="both"/>
      </w:pPr>
      <w:r>
        <w:rPr>
          <w:rFonts w:ascii="Times New Roman" w:hAnsi="Times New Roman" w:eastAsia="Times New Roman"/>
          <w:b w:val="0"/>
          <w:i w:val="0"/>
          <w:color w:val="1E293B"/>
          <w:sz w:val="24"/>
        </w:rPr>
        <w:t>Figure 4.9 shows the symptom form and the risk-results page. The patient selects a common pregnancy symptom and a severity from 1 to 5, optionally adds notes, and submits the form. The API stores the symptom, runs the risk engine, and the interface displays the level, score, contributing factors, care plan, and suggested tests or actions.</w:t>
      </w:r>
    </w:p>
    <w:p>
      <w:pPr>
        <w:spacing w:before="0" w:after="80" w:line="240" w:lineRule="auto"/>
        <w:ind w:firstLine="0"/>
        <w:jc w:val="center"/>
      </w:pPr>
      <w:r>
        <w:drawing>
          <wp:inline xmlns:a="http://schemas.openxmlformats.org/drawingml/2006/main" xmlns:pic="http://schemas.openxmlformats.org/drawingml/2006/picture">
            <wp:extent cx="5760720" cy="3374136"/>
            <wp:docPr id="9" name="Picture 9"/>
            <wp:cNvGraphicFramePr>
              <a:graphicFrameLocks noChangeAspect="1"/>
            </wp:cNvGraphicFramePr>
            <a:graphic>
              <a:graphicData uri="http://schemas.openxmlformats.org/drawingml/2006/picture">
                <pic:pic>
                  <pic:nvPicPr>
                    <pic:cNvPr id="0" name="fig-symptom-risk.png"/>
                    <pic:cNvPicPr/>
                  </pic:nvPicPr>
                  <pic:blipFill>
                    <a:blip r:embed="rId17"/>
                    <a:stretch>
                      <a:fillRect/>
                    </a:stretch>
                  </pic:blipFill>
                  <pic:spPr>
                    <a:xfrm>
                      <a:off x="0" y="0"/>
                      <a:ext cx="5760720" cy="3374136"/>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4.9: Symptom submission form and risk-result display</w:t>
      </w:r>
    </w:p>
    <w:p>
      <w:pPr>
        <w:keepNext/>
        <w:spacing w:before="240" w:after="160"/>
        <w:ind w:firstLine="0"/>
        <w:jc w:val="left"/>
      </w:pPr>
      <w:r>
        <w:rPr>
          <w:rFonts w:ascii="Times New Roman" w:hAnsi="Times New Roman" w:eastAsia="Times New Roman"/>
          <w:b/>
          <w:i w:val="0"/>
          <w:color w:val="0B1F3A"/>
          <w:sz w:val="26"/>
        </w:rPr>
        <w:t>4.8.3  Provider Dashboard</w:t>
      </w:r>
    </w:p>
    <w:p>
      <w:pPr>
        <w:spacing w:before="0" w:after="160" w:line="360" w:lineRule="auto"/>
        <w:ind w:firstLine="709"/>
        <w:jc w:val="both"/>
      </w:pPr>
      <w:r>
        <w:rPr>
          <w:rFonts w:ascii="Times New Roman" w:hAnsi="Times New Roman" w:eastAsia="Times New Roman"/>
          <w:b w:val="0"/>
          <w:i w:val="0"/>
          <w:color w:val="1E293B"/>
          <w:sz w:val="24"/>
        </w:rPr>
        <w:t>Figure 4.10 shows the provider caseload dashboard. High-risk patients are emphasised through counts, colour, and an alert feed. A risk-distribution chart summarises the caseload. From this screen a provider can open a patient record, review alerts, and manage referrals.</w:t>
      </w:r>
    </w:p>
    <w:p>
      <w:pPr>
        <w:spacing w:before="0" w:after="80" w:line="240" w:lineRule="auto"/>
        <w:ind w:firstLine="0"/>
        <w:jc w:val="center"/>
      </w:pPr>
      <w:r>
        <w:drawing>
          <wp:inline xmlns:a="http://schemas.openxmlformats.org/drawingml/2006/main" xmlns:pic="http://schemas.openxmlformats.org/drawingml/2006/picture">
            <wp:extent cx="5760720" cy="3621024"/>
            <wp:docPr id="10" name="Picture 10"/>
            <wp:cNvGraphicFramePr>
              <a:graphicFrameLocks noChangeAspect="1"/>
            </wp:cNvGraphicFramePr>
            <a:graphic>
              <a:graphicData uri="http://schemas.openxmlformats.org/drawingml/2006/picture">
                <pic:pic>
                  <pic:nvPicPr>
                    <pic:cNvPr id="0" name="fig-provider-dashboard.png"/>
                    <pic:cNvPicPr/>
                  </pic:nvPicPr>
                  <pic:blipFill>
                    <a:blip r:embed="rId18"/>
                    <a:stretch>
                      <a:fillRect/>
                    </a:stretch>
                  </pic:blipFill>
                  <pic:spPr>
                    <a:xfrm>
                      <a:off x="0" y="0"/>
                      <a:ext cx="5760720" cy="3621024"/>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4.10: Provider dashboard showing caseload statistics, risk distribution, and alerts</w:t>
      </w:r>
    </w:p>
    <w:p>
      <w:pPr>
        <w:pStyle w:val="ListBullet"/>
        <w:spacing w:after="80" w:line="276" w:lineRule="auto"/>
      </w:pPr>
      <w:r>
        <w:rPr>
          <w:rFonts w:ascii="Times New Roman" w:hAnsi="Times New Roman" w:eastAsia="Times New Roman"/>
          <w:b w:val="0"/>
          <w:i w:val="0"/>
          <w:color w:val="1E293B"/>
          <w:sz w:val="24"/>
        </w:rPr>
        <w:t>Risk-based patient list: high-risk cases are highlighted with colour coding.</w:t>
      </w:r>
    </w:p>
    <w:p>
      <w:pPr>
        <w:pStyle w:val="ListBullet"/>
        <w:spacing w:after="80" w:line="276" w:lineRule="auto"/>
      </w:pPr>
      <w:r>
        <w:rPr>
          <w:rFonts w:ascii="Times New Roman" w:hAnsi="Times New Roman" w:eastAsia="Times New Roman"/>
          <w:b w:val="0"/>
          <w:i w:val="0"/>
          <w:color w:val="1E293B"/>
          <w:sz w:val="24"/>
        </w:rPr>
        <w:t>Real-time alerts: a feed of active and critical cases.</w:t>
      </w:r>
    </w:p>
    <w:p>
      <w:pPr>
        <w:pStyle w:val="ListBullet"/>
        <w:spacing w:after="80" w:line="276" w:lineRule="auto"/>
      </w:pPr>
      <w:r>
        <w:rPr>
          <w:rFonts w:ascii="Times New Roman" w:hAnsi="Times New Roman" w:eastAsia="Times New Roman"/>
          <w:b w:val="0"/>
          <w:i w:val="0"/>
          <w:color w:val="1E293B"/>
          <w:sz w:val="24"/>
        </w:rPr>
        <w:t>Health trends: graphical distribution of low, medium, and high risk.</w:t>
      </w:r>
    </w:p>
    <w:p>
      <w:pPr>
        <w:pStyle w:val="ListBullet"/>
        <w:spacing w:after="80" w:line="276" w:lineRule="auto"/>
      </w:pPr>
      <w:r>
        <w:rPr>
          <w:rFonts w:ascii="Times New Roman" w:hAnsi="Times New Roman" w:eastAsia="Times New Roman"/>
          <w:b w:val="0"/>
          <w:i w:val="0"/>
          <w:color w:val="1E293B"/>
          <w:sz w:val="24"/>
        </w:rPr>
        <w:t>Referral management: pending referrals are counted and linked.</w:t>
      </w:r>
    </w:p>
    <w:p>
      <w:pPr>
        <w:keepNext/>
        <w:spacing w:before="240" w:after="160"/>
        <w:ind w:firstLine="0"/>
        <w:jc w:val="left"/>
      </w:pPr>
      <w:r>
        <w:rPr>
          <w:rFonts w:ascii="Times New Roman" w:hAnsi="Times New Roman" w:eastAsia="Times New Roman"/>
          <w:b/>
          <w:i w:val="0"/>
          <w:color w:val="0B1F3A"/>
          <w:sz w:val="26"/>
        </w:rPr>
        <w:t>4.8.4  Referral System</w:t>
      </w:r>
    </w:p>
    <w:p>
      <w:pPr>
        <w:spacing w:before="0" w:after="160" w:line="360" w:lineRule="auto"/>
        <w:ind w:firstLine="709"/>
        <w:jc w:val="both"/>
      </w:pPr>
      <w:r>
        <w:rPr>
          <w:rFonts w:ascii="Times New Roman" w:hAnsi="Times New Roman" w:eastAsia="Times New Roman"/>
          <w:b w:val="0"/>
          <w:i w:val="0"/>
          <w:color w:val="1E293B"/>
          <w:sz w:val="24"/>
        </w:rPr>
        <w:t>Figure 4.11 illustrates referral recommendations. Nearby facilities are ordered by Haversine distance from the patient’s stored coordinates (defaulting to Lagos if unset). Emergency-capable sites can be filtered. Each facility shows services, contact information, and capacity. Created referrals are tracked through PENDING, APPROVED, COMPLETED, and CANCELLED.</w:t>
      </w:r>
    </w:p>
    <w:p>
      <w:pPr>
        <w:spacing w:before="0" w:after="80" w:line="240" w:lineRule="auto"/>
        <w:ind w:firstLine="0"/>
        <w:jc w:val="center"/>
      </w:pPr>
      <w:r>
        <w:drawing>
          <wp:inline xmlns:a="http://schemas.openxmlformats.org/drawingml/2006/main" xmlns:pic="http://schemas.openxmlformats.org/drawingml/2006/picture">
            <wp:extent cx="5669280" cy="3750447"/>
            <wp:docPr id="11" name="Picture 11"/>
            <wp:cNvGraphicFramePr>
              <a:graphicFrameLocks noChangeAspect="1"/>
            </wp:cNvGraphicFramePr>
            <a:graphic>
              <a:graphicData uri="http://schemas.openxmlformats.org/drawingml/2006/picture">
                <pic:pic>
                  <pic:nvPicPr>
                    <pic:cNvPr id="0" name="fig-referral.png"/>
                    <pic:cNvPicPr/>
                  </pic:nvPicPr>
                  <pic:blipFill>
                    <a:blip r:embed="rId19"/>
                    <a:stretch>
                      <a:fillRect/>
                    </a:stretch>
                  </pic:blipFill>
                  <pic:spPr>
                    <a:xfrm>
                      <a:off x="0" y="0"/>
                      <a:ext cx="5669280" cy="3750447"/>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4.11: Referral interface with existing referral status and nearby facilities</w:t>
      </w:r>
    </w:p>
    <w:p>
      <w:pPr>
        <w:keepNext/>
        <w:spacing w:before="320" w:after="160"/>
        <w:ind w:firstLine="0"/>
        <w:jc w:val="left"/>
      </w:pPr>
      <w:r>
        <w:rPr>
          <w:rFonts w:ascii="Times New Roman" w:hAnsi="Times New Roman" w:eastAsia="Times New Roman"/>
          <w:b/>
          <w:i w:val="0"/>
          <w:color w:val="0B1F3A"/>
          <w:sz w:val="28"/>
        </w:rPr>
        <w:t>4.9  Deployment</w:t>
      </w:r>
    </w:p>
    <w:p>
      <w:pPr>
        <w:keepNext/>
        <w:spacing w:before="240" w:after="160"/>
        <w:ind w:firstLine="0"/>
        <w:jc w:val="left"/>
      </w:pPr>
      <w:r>
        <w:rPr>
          <w:rFonts w:ascii="Times New Roman" w:hAnsi="Times New Roman" w:eastAsia="Times New Roman"/>
          <w:b/>
          <w:i w:val="0"/>
          <w:color w:val="0B1F3A"/>
          <w:sz w:val="26"/>
        </w:rPr>
        <w:t>4.9.1  Frontend and Application Deployment</w:t>
      </w:r>
    </w:p>
    <w:p>
      <w:pPr>
        <w:spacing w:before="0" w:after="160" w:line="360" w:lineRule="auto"/>
        <w:ind w:firstLine="709"/>
        <w:jc w:val="both"/>
      </w:pPr>
      <w:r>
        <w:rPr>
          <w:rFonts w:ascii="Times New Roman" w:hAnsi="Times New Roman" w:eastAsia="Times New Roman"/>
          <w:b w:val="0"/>
          <w:i w:val="0"/>
          <w:color w:val="1E293B"/>
          <w:sz w:val="24"/>
        </w:rPr>
        <w:t>The Next.js application, including both the user interface and the API routes, is deployed on Vercel. The repository is connected to Vercel; production environment variables are set in the Vercel dashboard (DATABASE_URL, NEXTAUTH_SECRET, NEXTAUTH_URL, and related secrets); and each push to the main branch triggers next build. Prisma Client is generated during install (postinstall). In production the Prisma datasource provider is PostgreSQL when pointing at Neon. A custom domain may be mapped if required.</w:t>
      </w:r>
    </w:p>
    <w:p>
      <w:pPr>
        <w:keepNext/>
        <w:spacing w:before="240" w:after="160"/>
        <w:ind w:firstLine="0"/>
        <w:jc w:val="left"/>
      </w:pPr>
      <w:r>
        <w:rPr>
          <w:rFonts w:ascii="Times New Roman" w:hAnsi="Times New Roman" w:eastAsia="Times New Roman"/>
          <w:b/>
          <w:i w:val="0"/>
          <w:color w:val="0B1F3A"/>
          <w:sz w:val="26"/>
        </w:rPr>
        <w:t>4.9.2  Database Deployment</w:t>
      </w:r>
    </w:p>
    <w:p>
      <w:pPr>
        <w:spacing w:before="0" w:after="160" w:line="360" w:lineRule="auto"/>
        <w:ind w:firstLine="709"/>
        <w:jc w:val="both"/>
      </w:pPr>
      <w:r>
        <w:rPr>
          <w:rFonts w:ascii="Times New Roman" w:hAnsi="Times New Roman" w:eastAsia="Times New Roman"/>
          <w:b w:val="0"/>
          <w:i w:val="0"/>
          <w:color w:val="1E293B"/>
          <w:sz w:val="24"/>
        </w:rPr>
        <w:t>The PostgreSQL database is deployed on Neon (PostgreSQL 16). After the project is created, the schema is applied with Prisma and demonstration users and facilities are loaded with prisma db seed. Connection pooling is used for serverless scalability. Neon provides scheduled backups and point-in-time recovery according to the project plan. Figure 4.12 shows the deployment arrangement.</w:t>
      </w:r>
    </w:p>
    <w:p>
      <w:pPr>
        <w:spacing w:before="0" w:after="80" w:line="240" w:lineRule="auto"/>
        <w:ind w:firstLine="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fig-deployment.png"/>
                    <pic:cNvPicPr/>
                  </pic:nvPicPr>
                  <pic:blipFill>
                    <a:blip r:embed="rId20"/>
                    <a:stretch>
                      <a:fillRect/>
                    </a:stretch>
                  </pic:blipFill>
                  <pic:spPr>
                    <a:xfrm>
                      <a:off x="0" y="0"/>
                      <a:ext cx="5669280" cy="3188970"/>
                    </a:xfrm>
                    <a:prstGeom prst="rect"/>
                  </pic:spPr>
                </pic:pic>
              </a:graphicData>
            </a:graphic>
          </wp:inline>
        </w:drawing>
      </w:r>
    </w:p>
    <w:p>
      <w:pPr>
        <w:spacing w:before="0" w:after="280" w:line="240" w:lineRule="auto"/>
        <w:ind w:firstLine="0"/>
        <w:jc w:val="center"/>
      </w:pPr>
      <w:r>
        <w:rPr>
          <w:rFonts w:ascii="Times New Roman" w:hAnsi="Times New Roman" w:eastAsia="Times New Roman"/>
          <w:b w:val="0"/>
          <w:i/>
          <w:color w:val="0B1F3A"/>
          <w:sz w:val="22"/>
        </w:rPr>
        <w:t>Figure 4.12: Deployment architecture on Vercel and Neon</w:t>
      </w:r>
    </w:p>
    <w:p>
      <w:pPr>
        <w:keepNext/>
        <w:spacing w:before="320" w:after="160"/>
        <w:ind w:firstLine="0"/>
        <w:jc w:val="left"/>
      </w:pPr>
      <w:r>
        <w:rPr>
          <w:rFonts w:ascii="Times New Roman" w:hAnsi="Times New Roman" w:eastAsia="Times New Roman"/>
          <w:b/>
          <w:i w:val="0"/>
          <w:color w:val="0B1F3A"/>
          <w:sz w:val="28"/>
        </w:rPr>
        <w:t>4.10  Summary</w:t>
      </w:r>
    </w:p>
    <w:p>
      <w:pPr>
        <w:spacing w:before="0" w:after="160" w:line="360" w:lineRule="auto"/>
        <w:ind w:firstLine="709"/>
        <w:jc w:val="both"/>
      </w:pPr>
      <w:r>
        <w:rPr>
          <w:rFonts w:ascii="Times New Roman" w:hAnsi="Times New Roman" w:eastAsia="Times New Roman"/>
          <w:b w:val="0"/>
          <w:i w:val="0"/>
          <w:color w:val="1E293B"/>
          <w:sz w:val="24"/>
        </w:rPr>
        <w:t>This chapter described the implementation of WMHS as a single Next.js application with a three-tier architecture, Prisma-backed storage, NextAuth security, and an on-server clinical risk engine with Haversine referral matching. The presentation tier provides separate patient and provider portals. The application tier implements authentication, clinical recording, risk scoring, alerts, notifications, and referrals. The data tier persists identity, maternal records, assessments, and care-coordination data on PostgreSQL.</w:t>
      </w:r>
    </w:p>
    <w:p>
      <w:pPr>
        <w:spacing w:before="0" w:after="160" w:line="360" w:lineRule="auto"/>
        <w:ind w:firstLine="709"/>
        <w:jc w:val="both"/>
      </w:pPr>
      <w:r>
        <w:rPr>
          <w:rFonts w:ascii="Times New Roman" w:hAnsi="Times New Roman" w:eastAsia="Times New Roman"/>
          <w:b w:val="0"/>
          <w:i w:val="0"/>
          <w:color w:val="1E293B"/>
          <w:sz w:val="24"/>
        </w:rPr>
        <w:t>Functional and workflow tests of the main paths passed on the seeded system. Scenario checks confirmed that emergency danger signs raise a HIGH classification. Screenshots and architecture figures document the realised design. The system remains decision support for antenatal monitoring and referral; it is not a substitute for emergency obstetric care.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