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/>
          <w:b/>
          <w:sz w:val="40"/>
        </w:rPr>
        <w:t>دليل الحركة والنقل</w:t>
      </w:r>
    </w:p>
    <w:p>
      <w:pPr>
        <w:jc w:val="center"/>
        <w:bidi w:val="1"/>
      </w:pPr>
      <w:r>
        <w:rPr>
          <w:rFonts w:ascii="Arial" w:hAnsi="Arial"/>
          <w:sz w:val="22"/>
        </w:rPr>
        <w:t>الإصدار | 06-02-2026 : نظام مسار - البوابة الإدارية</w:t>
      </w:r>
    </w:p>
    <w:p>
      <w:pPr>
        <w:spacing w:after="80"/>
        <w:jc w:val="right"/>
        <w:bidi w:val="1"/>
      </w:pPr>
      <w:r>
        <w:rPr>
          <w:rFonts w:ascii="Arial" w:hAnsi="Arial"/>
          <w:sz w:val="24"/>
          <w:rtl w:val="1"/>
        </w:rPr>
        <w:t>هذا الدليل يشرح وحدة الحركة: أذون الحركة، الرحلات والمسافات، مهام السائقين، وتجهيز التتبع (الخيار C).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أولاً: للموظفين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المسار: البوابة الإدارية → الحركة والنقل → أذون الحركة.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اضغط (إذن جديد) واملأ الغرض والوجهات والوقت المتوقع.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بعد الإرسال تابع الحالة داخل قائمة الأذون.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عند اعتماد الإذن: قد يتم تسجيل رحلة مرتبطة بالإذن لاحقاً حسب سياسة العمل.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ثانياً: للمشرفين/الموارد البشرية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١- عرّف السيارات والسائقين ومناطق التوصيل من صفحات الحركة والنقل.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٢- راجع أذون الحركة واعتمد/ارفض الطلب مع تدوين الملاحظات عند الحاجة.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٣- سجّل الرحلة الفعلية: عداد البداية/النهاية ليحسب النظام المسافة (الخيار A).</w:t>
      </w:r>
    </w:p>
    <w:p>
      <w:pPr>
        <w:spacing w:after="40"/>
        <w:ind w:right="0"/>
        <w:jc w:val="right"/>
        <w:bidi w:val="1"/>
      </w:pPr>
      <w:r>
        <w:rPr>
          <w:rFonts w:ascii="Arial" w:hAnsi="Arial"/>
          <w:sz w:val="24"/>
          <w:rtl w:val="1"/>
        </w:rPr>
        <w:t>٤- أنشئ مهام للسائقين لتفصيل التوقفات والتوصيلات داخل الرحلة.</w:t>
      </w:r>
    </w:p>
    <w:p>
      <w:pPr>
        <w:spacing w:before="200" w:after="120"/>
        <w:jc w:val="right"/>
        <w:bidi w:val="1"/>
      </w:pPr>
      <w:r>
        <w:rPr>
          <w:rFonts w:ascii="Arial" w:hAnsi="Arial"/>
          <w:b/>
          <w:sz w:val="28"/>
        </w:rPr>
        <w:t>ثالثاً: تتبع السيارات (الخيار C)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تم تجهيز صفحة إعدادات التتبع داخل النظام.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عند توفر جهاز تتبع GPS سيتم ربطه بالسيارة (Identifier) وجلب النقاط والمسارات تلقائياً.</w:t>
      </w:r>
    </w:p>
    <w:p>
      <w:pPr>
        <w:spacing w:after="40"/>
        <w:jc w:val="right"/>
        <w:bidi w:val="1"/>
      </w:pPr>
      <w:r>
        <w:rPr>
          <w:rFonts w:ascii="Arial" w:hAnsi="Arial"/>
          <w:sz w:val="24"/>
          <w:rtl w:val="1"/>
        </w:rPr>
        <w:t>• سياسات الخصوصية مهمة: حدّد من يطلع على بيانات التتبع وفترة الاحتفاظ بالبيانات.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