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0" w:before="720"/>
        <w:jc w:val="center"/>
      </w:pPr>
      <w:r>
        <w:rPr>
          <w:sz w:val="24"/>
          <w:szCs w:val="24"/>
        </w:rPr>
        <w:t xml:space="preserve"/>
      </w:r>
    </w:p>
    <w:p>
      <w:pPr>
        <w:shd w:fill="1F4E79" w:val="clear"/>
        <w:spacing w:after="0" w:before="0"/>
        <w:jc w:val="center"/>
      </w:pPr>
      <w:r>
        <w:rPr>
          <w:rFonts w:ascii="Arial" w:cs="Arial" w:eastAsia="Arial" w:hAnsi="Arial"/>
          <w:b/>
          <w:bCs/>
          <w:color w:val="FFFFFF"/>
          <w:sz w:val="64"/>
          <w:szCs w:val="64"/>
        </w:rPr>
        <w:t xml:space="preserve">SuperStore</w:t>
      </w:r>
    </w:p>
    <w:p>
      <w:pPr>
        <w:shd w:fill="1F4E79" w:val="clear"/>
        <w:spacing w:after="0" w:before="40"/>
        <w:jc w:val="center"/>
      </w:pPr>
      <w:r>
        <w:rPr>
          <w:rFonts w:ascii="Arial" w:cs="Arial" w:eastAsia="Arial" w:hAnsi="Arial"/>
          <w:b/>
          <w:bCs/>
          <w:color w:val="C5E1F5"/>
          <w:sz w:val="40"/>
          <w:szCs w:val="40"/>
        </w:rPr>
        <w:t xml:space="preserve">Sales Analysis Report</w:t>
      </w:r>
    </w:p>
    <w:p>
      <w:pPr>
        <w:shd w:fill="1F4E79" w:val="clear"/>
        <w:spacing w:after="0" w:before="80"/>
        <w:jc w:val="center"/>
      </w:pPr>
      <w:r>
        <w:rPr>
          <w:rFonts w:ascii="Arial" w:cs="Arial" w:eastAsia="Arial" w:hAnsi="Arial"/>
          <w:i/>
          <w:iCs/>
          <w:color w:val="BBDDEE"/>
          <w:sz w:val="22"/>
          <w:szCs w:val="22"/>
        </w:rPr>
        <w:t xml:space="preserve">2017 – 2020  |  Comprehensive Data Analysis &amp; Dashboard Overview</w:t>
      </w:r>
    </w:p>
    <w:p>
      <w:pPr>
        <w:shd w:fill="1F4E79" w:val="clear"/>
        <w:spacing w:after="0" w:before="600"/>
        <w:jc w:val="center"/>
      </w:pPr>
      <w:r>
        <w:rPr>
          <w:sz w:val="24"/>
          <w:szCs w:val="24"/>
        </w:rPr>
        <w:t xml:space="preserve"> </w:t>
      </w:r>
    </w:p>
    <w:p>
      <w:pPr>
        <w:spacing w:after="480"/>
      </w:pPr>
      <w:r>
        <w:t xml:space="preserve"/>
      </w:r>
    </w:p>
    <w:p>
      <w:pPr>
        <w:pStyle w:val="Heading1"/>
        <w:shd w:fill="1F4E79" w:val="clear"/>
        <w:spacing w:after="160" w:before="360"/>
        <w:ind w:left="200" w:right="200"/>
      </w:pPr>
      <w:r>
        <w:rPr>
          <w:rFonts w:ascii="Arial" w:cs="Arial" w:eastAsia="Arial" w:hAnsi="Arial"/>
          <w:b/>
          <w:bCs/>
          <w:color w:val="FFFFFF"/>
          <w:sz w:val="36"/>
          <w:szCs w:val="36"/>
        </w:rPr>
        <w:t xml:space="preserve">Executive Summary</w:t>
      </w:r>
    </w:p>
    <w:p>
      <w:pPr>
        <w:spacing w:after="80"/>
      </w:pPr>
      <w:r>
        <w:t xml:space="preserve"/>
      </w:r>
    </w:p>
    <w:p>
      <w:pPr>
        <w:spacing w:after="120"/>
      </w:pPr>
      <w:r>
        <w:rPr>
          <w:rFonts w:ascii="Arial" w:cs="Arial" w:eastAsia="Arial" w:hAnsi="Arial"/>
          <w:color w:val="2C2C2C"/>
          <w:sz w:val="22"/>
          <w:szCs w:val="22"/>
        </w:rPr>
        <w:t xml:space="preserve">This report documents the end-to-end data analysis project performed on the SuperStore retail dataset. The project covered four key phases: data ingestion and preprocessing in Python, feature engineering, exploratory analysis, and interactive visualization in Power BI. The dataset spans four fiscal years (2017–2020) and contains 9,994 transaction records across the United States.</w:t>
      </w:r>
    </w:p>
    <w:p>
      <w:pPr>
        <w:spacing w:after="60"/>
      </w:pPr>
      <w:r>
        <w:t xml:space="preserve"/>
      </w:r>
    </w:p>
    <w:p>
      <w:pPr>
        <w:spacing w:after="120"/>
      </w:pPr>
      <w:r>
        <w:rPr>
          <w:rFonts w:ascii="Arial" w:cs="Arial" w:eastAsia="Arial" w:hAnsi="Arial"/>
          <w:color w:val="2C2C2C"/>
          <w:sz w:val="22"/>
          <w:szCs w:val="22"/>
        </w:rPr>
        <w:t xml:space="preserve">Key findings at a glance:</w:t>
      </w:r>
    </w:p>
    <w:p>
      <w:pPr>
        <w:pStyle w:val="ListParagraph"/>
        <w:numPr>
          <w:ilvl w:val="0"/>
          <w:numId w:val="2"/>
        </w:numPr>
        <w:spacing w:after="80"/>
      </w:pPr>
      <w:r>
        <w:rPr>
          <w:rFonts w:ascii="Arial" w:cs="Arial" w:eastAsia="Arial" w:hAnsi="Arial"/>
          <w:color w:val="2C2C2C"/>
          <w:sz w:val="22"/>
          <w:szCs w:val="22"/>
        </w:rPr>
        <w:t xml:space="preserve">Total revenue of $2.30M was generated across the four-year period, with consistent year-over-year growth.</w:t>
      </w:r>
    </w:p>
    <w:p>
      <w:pPr>
        <w:pStyle w:val="ListParagraph"/>
        <w:numPr>
          <w:ilvl w:val="0"/>
          <w:numId w:val="2"/>
        </w:numPr>
        <w:spacing w:after="80"/>
      </w:pPr>
      <w:r>
        <w:rPr>
          <w:rFonts w:ascii="Arial" w:cs="Arial" w:eastAsia="Arial" w:hAnsi="Arial"/>
          <w:color w:val="2C2C2C"/>
          <w:sz w:val="22"/>
          <w:szCs w:val="22"/>
        </w:rPr>
        <w:t xml:space="preserve">Total profit reached $286,397, representing an overall profit margin of 12.5%.</w:t>
      </w:r>
    </w:p>
    <w:p>
      <w:pPr>
        <w:pStyle w:val="ListParagraph"/>
        <w:numPr>
          <w:ilvl w:val="0"/>
          <w:numId w:val="2"/>
        </w:numPr>
        <w:spacing w:after="80"/>
      </w:pPr>
      <w:r>
        <w:rPr>
          <w:rFonts w:ascii="Arial" w:cs="Arial" w:eastAsia="Arial" w:hAnsi="Arial"/>
          <w:color w:val="2C2C2C"/>
          <w:sz w:val="22"/>
          <w:szCs w:val="22"/>
        </w:rPr>
        <w:t xml:space="preserve">Technology is the highest-revenue and highest-profit category; Furniture underperforms with the lowest margin.</w:t>
      </w:r>
    </w:p>
    <w:p>
      <w:pPr>
        <w:pStyle w:val="ListParagraph"/>
        <w:numPr>
          <w:ilvl w:val="0"/>
          <w:numId w:val="2"/>
        </w:numPr>
        <w:spacing w:after="80"/>
      </w:pPr>
      <w:r>
        <w:rPr>
          <w:rFonts w:ascii="Arial" w:cs="Arial" w:eastAsia="Arial" w:hAnsi="Arial"/>
          <w:color w:val="2C2C2C"/>
          <w:sz w:val="22"/>
          <w:szCs w:val="22"/>
        </w:rPr>
        <w:t xml:space="preserve">The West region leads in profitability; the Central region shows the lowest profit contribution.</w:t>
      </w:r>
    </w:p>
    <w:p>
      <w:pPr>
        <w:pStyle w:val="ListParagraph"/>
        <w:numPr>
          <w:ilvl w:val="0"/>
          <w:numId w:val="2"/>
        </w:numPr>
        <w:spacing w:after="80"/>
      </w:pPr>
      <w:r>
        <w:rPr>
          <w:rFonts w:ascii="Arial" w:cs="Arial" w:eastAsia="Arial" w:hAnsi="Arial"/>
          <w:color w:val="2C2C2C"/>
          <w:sz w:val="22"/>
          <w:szCs w:val="22"/>
        </w:rPr>
        <w:t xml:space="preserve">Copiers, Phones, and Accessories are the top three most profitable sub-categories.</w:t>
      </w:r>
    </w:p>
    <w:p>
      <w:pPr>
        <w:pStyle w:val="ListParagraph"/>
        <w:numPr>
          <w:ilvl w:val="0"/>
          <w:numId w:val="2"/>
        </w:numPr>
        <w:spacing w:after="80"/>
      </w:pPr>
      <w:r>
        <w:rPr>
          <w:rFonts w:ascii="Arial" w:cs="Arial" w:eastAsia="Arial" w:hAnsi="Arial"/>
          <w:color w:val="2C2C2C"/>
          <w:sz w:val="22"/>
          <w:szCs w:val="22"/>
        </w:rPr>
        <w:t xml:space="preserve">Tables and Bookcases are loss-making sub-categories requiring strategic review.</w:t>
      </w:r>
    </w:p>
    <w:p>
      <w:pPr>
        <w:spacing w:after="200"/>
      </w:pPr>
      <w:r>
        <w:t xml:space="preserve"/>
      </w:r>
    </w:p>
    <w:p>
      <w:pPr>
        <w:pStyle w:val="Heading2"/>
        <w:pBdr>
          <w:bottom w:val="single" w:color="2E75B6" w:sz="4" w:space="1"/>
        </w:pBdr>
        <w:spacing w:after="100" w:before="280"/>
      </w:pPr>
      <w:r>
        <w:rPr>
          <w:rFonts w:ascii="Arial" w:cs="Arial" w:eastAsia="Arial" w:hAnsi="Arial"/>
          <w:b/>
          <w:bCs/>
          <w:color w:val="1F4E79"/>
          <w:sz w:val="28"/>
          <w:szCs w:val="28"/>
        </w:rPr>
        <w:t xml:space="preserve">Key Performance Indicators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4"/>
              <w:left w:val="single" w:color="2E75B6" w:sz="4"/>
              <w:bottom w:val="single" w:color="2E75B6" w:sz="4"/>
              <w:right w:val="single" w:color="2E75B6" w:sz="4"/>
            </w:tcBorders>
            <w:shd w:fill="D6E4F0" w:val="clear"/>
            <w:tcMar>
              <w:top w:type="dxa" w:w="160"/>
              <w:left w:type="dxa" w:w="160"/>
              <w:bottom w:type="dxa" w:w="160"/>
              <w:right w:type="dxa" w:w="160"/>
            </w:tcMar>
          </w:tcPr>
          <w:p>
            <w:pPr>
              <w:jc w:val="center"/>
            </w:pPr>
            <w:r>
              <w:rPr>
                <w:rFonts w:ascii="Arial" w:cs="Arial" w:eastAsia="Arial" w:hAnsi="Arial"/>
                <w:b/>
                <w:bCs/>
                <w:color w:val="1F4E79"/>
                <w:sz w:val="32"/>
                <w:szCs w:val="32"/>
              </w:rPr>
              <w:t xml:space="preserve">9,994</w:t>
            </w:r>
          </w:p>
          <w:p>
            <w:pPr>
              <w:jc w:val="center"/>
            </w:pPr>
            <w:r>
              <w:rPr>
                <w:rFonts w:ascii="Arial" w:cs="Arial" w:eastAsia="Arial" w:hAnsi="Arial"/>
                <w:color w:val="555555"/>
                <w:sz w:val="18"/>
                <w:szCs w:val="18"/>
              </w:rPr>
              <w:t xml:space="preserve">Total Transactions</w:t>
            </w:r>
          </w:p>
        </w:tc>
        <w:tc>
          <w:tcPr>
            <w:tcW w:type="dxa" w:w="2340"/>
            <w:tcBorders>
              <w:top w:val="single" w:color="2E75B6" w:sz="4"/>
              <w:left w:val="single" w:color="2E75B6" w:sz="4"/>
              <w:bottom w:val="single" w:color="2E75B6" w:sz="4"/>
              <w:right w:val="single" w:color="2E75B6" w:sz="4"/>
            </w:tcBorders>
            <w:shd w:fill="D6E4F0" w:val="clear"/>
            <w:tcMar>
              <w:top w:type="dxa" w:w="160"/>
              <w:left w:type="dxa" w:w="160"/>
              <w:bottom w:type="dxa" w:w="160"/>
              <w:right w:type="dxa" w:w="160"/>
            </w:tcMar>
          </w:tcPr>
          <w:p>
            <w:pPr>
              <w:jc w:val="center"/>
            </w:pPr>
            <w:r>
              <w:rPr>
                <w:rFonts w:ascii="Arial" w:cs="Arial" w:eastAsia="Arial" w:hAnsi="Arial"/>
                <w:b/>
                <w:bCs/>
                <w:color w:val="1F4E79"/>
                <w:sz w:val="32"/>
                <w:szCs w:val="32"/>
              </w:rPr>
              <w:t xml:space="preserve">$2.30M</w:t>
            </w:r>
          </w:p>
          <w:p>
            <w:pPr>
              <w:jc w:val="center"/>
            </w:pPr>
            <w:r>
              <w:rPr>
                <w:rFonts w:ascii="Arial" w:cs="Arial" w:eastAsia="Arial" w:hAnsi="Arial"/>
                <w:color w:val="555555"/>
                <w:sz w:val="18"/>
                <w:szCs w:val="18"/>
              </w:rPr>
              <w:t xml:space="preserve">Total Revenue</w:t>
            </w:r>
          </w:p>
        </w:tc>
        <w:tc>
          <w:tcPr>
            <w:tcW w:type="dxa" w:w="2340"/>
            <w:tcBorders>
              <w:top w:val="single" w:color="2E75B6" w:sz="4"/>
              <w:left w:val="single" w:color="2E75B6" w:sz="4"/>
              <w:bottom w:val="single" w:color="2E75B6" w:sz="4"/>
              <w:right w:val="single" w:color="2E75B6" w:sz="4"/>
            </w:tcBorders>
            <w:shd w:fill="D6E4F0" w:val="clear"/>
            <w:tcMar>
              <w:top w:type="dxa" w:w="160"/>
              <w:left w:type="dxa" w:w="160"/>
              <w:bottom w:type="dxa" w:w="160"/>
              <w:right w:type="dxa" w:w="160"/>
            </w:tcMar>
          </w:tcPr>
          <w:p>
            <w:pPr>
              <w:jc w:val="center"/>
            </w:pPr>
            <w:r>
              <w:rPr>
                <w:rFonts w:ascii="Arial" w:cs="Arial" w:eastAsia="Arial" w:hAnsi="Arial"/>
                <w:b/>
                <w:bCs/>
                <w:color w:val="1F4E79"/>
                <w:sz w:val="32"/>
                <w:szCs w:val="32"/>
              </w:rPr>
              <w:t xml:space="preserve">$286K</w:t>
            </w:r>
          </w:p>
          <w:p>
            <w:pPr>
              <w:jc w:val="center"/>
            </w:pPr>
            <w:r>
              <w:rPr>
                <w:rFonts w:ascii="Arial" w:cs="Arial" w:eastAsia="Arial" w:hAnsi="Arial"/>
                <w:color w:val="555555"/>
                <w:sz w:val="18"/>
                <w:szCs w:val="18"/>
              </w:rPr>
              <w:t xml:space="preserve">Total Profit</w:t>
            </w:r>
          </w:p>
        </w:tc>
        <w:tc>
          <w:tcPr>
            <w:tcW w:type="dxa" w:w="2340"/>
            <w:tcBorders>
              <w:top w:val="single" w:color="2E75B6" w:sz="4"/>
              <w:left w:val="single" w:color="2E75B6" w:sz="4"/>
              <w:bottom w:val="single" w:color="2E75B6" w:sz="4"/>
              <w:right w:val="single" w:color="2E75B6" w:sz="4"/>
            </w:tcBorders>
            <w:shd w:fill="D6E4F0" w:val="clear"/>
            <w:tcMar>
              <w:top w:type="dxa" w:w="160"/>
              <w:left w:type="dxa" w:w="160"/>
              <w:bottom w:type="dxa" w:w="160"/>
              <w:right w:type="dxa" w:w="160"/>
            </w:tcMar>
          </w:tcPr>
          <w:p>
            <w:pPr>
              <w:jc w:val="center"/>
            </w:pPr>
            <w:r>
              <w:rPr>
                <w:rFonts w:ascii="Arial" w:cs="Arial" w:eastAsia="Arial" w:hAnsi="Arial"/>
                <w:b/>
                <w:bCs/>
                <w:color w:val="1F4E79"/>
                <w:sz w:val="32"/>
                <w:szCs w:val="32"/>
              </w:rPr>
              <w:t xml:space="preserve">12.5%</w:t>
            </w:r>
          </w:p>
          <w:p>
            <w:pPr>
              <w:jc w:val="center"/>
            </w:pPr>
            <w:r>
              <w:rPr>
                <w:rFonts w:ascii="Arial" w:cs="Arial" w:eastAsia="Arial" w:hAnsi="Arial"/>
                <w:color w:val="555555"/>
                <w:sz w:val="18"/>
                <w:szCs w:val="18"/>
              </w:rPr>
              <w:t xml:space="preserve">Profit Margin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4"/>
              <w:left w:val="single" w:color="2E75B6" w:sz="4"/>
              <w:bottom w:val="single" w:color="2E75B6" w:sz="4"/>
              <w:right w:val="single" w:color="2E75B6" w:sz="4"/>
            </w:tcBorders>
            <w:shd w:fill="D6E4F0" w:val="clear"/>
            <w:tcMar>
              <w:top w:type="dxa" w:w="160"/>
              <w:left w:type="dxa" w:w="160"/>
              <w:bottom w:type="dxa" w:w="160"/>
              <w:right w:type="dxa" w:w="160"/>
            </w:tcMar>
          </w:tcPr>
          <w:p>
            <w:pPr>
              <w:jc w:val="center"/>
            </w:pPr>
            <w:r>
              <w:rPr>
                <w:rFonts w:ascii="Arial" w:cs="Arial" w:eastAsia="Arial" w:hAnsi="Arial"/>
                <w:b/>
                <w:bCs/>
                <w:color w:val="1F4E79"/>
                <w:sz w:val="32"/>
                <w:szCs w:val="32"/>
              </w:rPr>
              <w:t xml:space="preserve">3</w:t>
            </w:r>
          </w:p>
          <w:p>
            <w:pPr>
              <w:jc w:val="center"/>
            </w:pPr>
            <w:r>
              <w:rPr>
                <w:rFonts w:ascii="Arial" w:cs="Arial" w:eastAsia="Arial" w:hAnsi="Arial"/>
                <w:color w:val="555555"/>
                <w:sz w:val="18"/>
                <w:szCs w:val="18"/>
              </w:rPr>
              <w:t xml:space="preserve">Product Categories</w:t>
            </w:r>
          </w:p>
        </w:tc>
        <w:tc>
          <w:tcPr>
            <w:tcW w:type="dxa" w:w="2340"/>
            <w:tcBorders>
              <w:top w:val="single" w:color="2E75B6" w:sz="4"/>
              <w:left w:val="single" w:color="2E75B6" w:sz="4"/>
              <w:bottom w:val="single" w:color="2E75B6" w:sz="4"/>
              <w:right w:val="single" w:color="2E75B6" w:sz="4"/>
            </w:tcBorders>
            <w:shd w:fill="D6E4F0" w:val="clear"/>
            <w:tcMar>
              <w:top w:type="dxa" w:w="160"/>
              <w:left w:type="dxa" w:w="160"/>
              <w:bottom w:type="dxa" w:w="160"/>
              <w:right w:type="dxa" w:w="160"/>
            </w:tcMar>
          </w:tcPr>
          <w:p>
            <w:pPr>
              <w:jc w:val="center"/>
            </w:pPr>
            <w:r>
              <w:rPr>
                <w:rFonts w:ascii="Arial" w:cs="Arial" w:eastAsia="Arial" w:hAnsi="Arial"/>
                <w:b/>
                <w:bCs/>
                <w:color w:val="1F4E79"/>
                <w:sz w:val="32"/>
                <w:szCs w:val="32"/>
              </w:rPr>
              <w:t xml:space="preserve">17</w:t>
            </w:r>
          </w:p>
          <w:p>
            <w:pPr>
              <w:jc w:val="center"/>
            </w:pPr>
            <w:r>
              <w:rPr>
                <w:rFonts w:ascii="Arial" w:cs="Arial" w:eastAsia="Arial" w:hAnsi="Arial"/>
                <w:color w:val="555555"/>
                <w:sz w:val="18"/>
                <w:szCs w:val="18"/>
              </w:rPr>
              <w:t xml:space="preserve">Sub-Categories</w:t>
            </w:r>
          </w:p>
        </w:tc>
        <w:tc>
          <w:tcPr>
            <w:tcW w:type="dxa" w:w="2340"/>
            <w:tcBorders>
              <w:top w:val="single" w:color="2E75B6" w:sz="4"/>
              <w:left w:val="single" w:color="2E75B6" w:sz="4"/>
              <w:bottom w:val="single" w:color="2E75B6" w:sz="4"/>
              <w:right w:val="single" w:color="2E75B6" w:sz="4"/>
            </w:tcBorders>
            <w:shd w:fill="D6E4F0" w:val="clear"/>
            <w:tcMar>
              <w:top w:type="dxa" w:w="160"/>
              <w:left w:type="dxa" w:w="160"/>
              <w:bottom w:type="dxa" w:w="160"/>
              <w:right w:type="dxa" w:w="160"/>
            </w:tcMar>
          </w:tcPr>
          <w:p>
            <w:pPr>
              <w:jc w:val="center"/>
            </w:pPr>
            <w:r>
              <w:rPr>
                <w:rFonts w:ascii="Arial" w:cs="Arial" w:eastAsia="Arial" w:hAnsi="Arial"/>
                <w:b/>
                <w:bCs/>
                <w:color w:val="1F4E79"/>
                <w:sz w:val="32"/>
                <w:szCs w:val="32"/>
              </w:rPr>
              <w:t xml:space="preserve">4</w:t>
            </w:r>
          </w:p>
          <w:p>
            <w:pPr>
              <w:jc w:val="center"/>
            </w:pPr>
            <w:r>
              <w:rPr>
                <w:rFonts w:ascii="Arial" w:cs="Arial" w:eastAsia="Arial" w:hAnsi="Arial"/>
                <w:color w:val="555555"/>
                <w:sz w:val="18"/>
                <w:szCs w:val="18"/>
              </w:rPr>
              <w:t xml:space="preserve">US Regions</w:t>
            </w:r>
          </w:p>
        </w:tc>
        <w:tc>
          <w:tcPr>
            <w:tcW w:type="dxa" w:w="2340"/>
            <w:tcBorders>
              <w:top w:val="single" w:color="2E75B6" w:sz="4"/>
              <w:left w:val="single" w:color="2E75B6" w:sz="4"/>
              <w:bottom w:val="single" w:color="2E75B6" w:sz="4"/>
              <w:right w:val="single" w:color="2E75B6" w:sz="4"/>
            </w:tcBorders>
            <w:shd w:fill="D6E4F0" w:val="clear"/>
            <w:tcMar>
              <w:top w:type="dxa" w:w="160"/>
              <w:left w:type="dxa" w:w="160"/>
              <w:bottom w:type="dxa" w:w="160"/>
              <w:right w:type="dxa" w:w="160"/>
            </w:tcMar>
          </w:tcPr>
          <w:p>
            <w:pPr>
              <w:jc w:val="center"/>
            </w:pPr>
            <w:r>
              <w:rPr>
                <w:rFonts w:ascii="Arial" w:cs="Arial" w:eastAsia="Arial" w:hAnsi="Arial"/>
                <w:b/>
                <w:bCs/>
                <w:color w:val="1F4E79"/>
                <w:sz w:val="32"/>
                <w:szCs w:val="32"/>
              </w:rPr>
              <w:t xml:space="preserve">2017–2020</w:t>
            </w:r>
          </w:p>
          <w:p>
            <w:pPr>
              <w:jc w:val="center"/>
            </w:pPr>
            <w:r>
              <w:rPr>
                <w:rFonts w:ascii="Arial" w:cs="Arial" w:eastAsia="Arial" w:hAnsi="Arial"/>
                <w:color w:val="555555"/>
                <w:sz w:val="18"/>
                <w:szCs w:val="18"/>
              </w:rPr>
              <w:t xml:space="preserve">Time Period</w:t>
            </w:r>
          </w:p>
        </w:tc>
      </w:tr>
    </w:tbl>
    <w:p>
      <w:pPr>
        <w:spacing w:after="300"/>
      </w:pPr>
      <w:r>
        <w:t xml:space="preserve"/>
      </w:r>
    </w:p>
    <w:p>
      <w:r>
        <w:br w:type="page"/>
      </w:r>
    </w:p>
    <w:p>
      <w:pPr>
        <w:pStyle w:val="Heading1"/>
        <w:shd w:fill="1F4E79" w:val="clear"/>
        <w:spacing w:after="160" w:before="360"/>
        <w:ind w:left="200" w:right="200"/>
      </w:pPr>
      <w:r>
        <w:rPr>
          <w:rFonts w:ascii="Arial" w:cs="Arial" w:eastAsia="Arial" w:hAnsi="Arial"/>
          <w:b/>
          <w:bCs/>
          <w:color w:val="FFFFFF"/>
          <w:sz w:val="36"/>
          <w:szCs w:val="36"/>
        </w:rPr>
        <w:t xml:space="preserve">1. Tools &amp; Workflow</w:t>
      </w:r>
    </w:p>
    <w:p>
      <w:pPr>
        <w:spacing w:after="80"/>
      </w:pPr>
      <w:r>
        <w:t xml:space="preserve"/>
      </w:r>
    </w:p>
    <w:p>
      <w:pPr>
        <w:spacing w:after="120"/>
      </w:pPr>
      <w:r>
        <w:rPr>
          <w:rFonts w:ascii="Arial" w:cs="Arial" w:eastAsia="Arial" w:hAnsi="Arial"/>
          <w:color w:val="2C2C2C"/>
          <w:sz w:val="22"/>
          <w:szCs w:val="22"/>
        </w:rPr>
        <w:t xml:space="preserve">The project made use of three primary tools across two phases:</w:t>
      </w:r>
    </w:p>
    <w:p>
      <w:pPr>
        <w:spacing w:after="100"/>
      </w:pPr>
      <w:r>
        <w:t xml:space="preserve"/>
      </w:r>
    </w:p>
    <w:p>
      <w:pPr>
        <w:pStyle w:val="Heading2"/>
        <w:pBdr>
          <w:bottom w:val="single" w:color="2E75B6" w:sz="4" w:space="1"/>
        </w:pBdr>
        <w:spacing w:after="100" w:before="280"/>
      </w:pPr>
      <w:r>
        <w:rPr>
          <w:rFonts w:ascii="Arial" w:cs="Arial" w:eastAsia="Arial" w:hAnsi="Arial"/>
          <w:b/>
          <w:bCs/>
          <w:color w:val="1F4E79"/>
          <w:sz w:val="28"/>
          <w:szCs w:val="28"/>
        </w:rPr>
        <w:t xml:space="preserve">1.1 Python (Jupyter Notebook)</w:t>
      </w:r>
    </w:p>
    <w:p>
      <w:pPr>
        <w:spacing w:after="120"/>
      </w:pPr>
      <w:r>
        <w:rPr>
          <w:rFonts w:ascii="Arial" w:cs="Arial" w:eastAsia="Arial" w:hAnsi="Arial"/>
          <w:color w:val="2C2C2C"/>
          <w:sz w:val="22"/>
          <w:szCs w:val="22"/>
        </w:rPr>
        <w:t xml:space="preserve">Python was used for all data wrangling and preprocessing tasks. The following libraries were imported:</w:t>
      </w:r>
    </w:p>
    <w:p>
      <w:pPr>
        <w:pStyle w:val="ListParagraph"/>
        <w:numPr>
          <w:ilvl w:val="0"/>
          <w:numId w:val="2"/>
        </w:numPr>
        <w:spacing w:after="80"/>
      </w:pPr>
      <w:r>
        <w:rPr>
          <w:rFonts w:ascii="Arial" w:cs="Arial" w:eastAsia="Arial" w:hAnsi="Arial"/>
          <w:color w:val="2C2C2C"/>
          <w:sz w:val="22"/>
          <w:szCs w:val="22"/>
        </w:rPr>
        <w:t xml:space="preserve">pandas — data loading, manipulation, and export</w:t>
      </w:r>
    </w:p>
    <w:p>
      <w:pPr>
        <w:pStyle w:val="ListParagraph"/>
        <w:numPr>
          <w:ilvl w:val="0"/>
          <w:numId w:val="2"/>
        </w:numPr>
        <w:spacing w:after="80"/>
      </w:pPr>
      <w:r>
        <w:rPr>
          <w:rFonts w:ascii="Arial" w:cs="Arial" w:eastAsia="Arial" w:hAnsi="Arial"/>
          <w:color w:val="2C2C2C"/>
          <w:sz w:val="22"/>
          <w:szCs w:val="22"/>
        </w:rPr>
        <w:t xml:space="preserve">matplotlib — static charting and visual exploration</w:t>
      </w:r>
    </w:p>
    <w:p>
      <w:pPr>
        <w:pStyle w:val="ListParagraph"/>
        <w:numPr>
          <w:ilvl w:val="0"/>
          <w:numId w:val="2"/>
        </w:numPr>
        <w:spacing w:after="80"/>
      </w:pPr>
      <w:r>
        <w:rPr>
          <w:rFonts w:ascii="Arial" w:cs="Arial" w:eastAsia="Arial" w:hAnsi="Arial"/>
          <w:color w:val="2C2C2C"/>
          <w:sz w:val="22"/>
          <w:szCs w:val="22"/>
        </w:rPr>
        <w:t xml:space="preserve">seaborn — statistical visualization</w:t>
      </w:r>
    </w:p>
    <w:p>
      <w:pPr>
        <w:pStyle w:val="ListParagraph"/>
        <w:numPr>
          <w:ilvl w:val="0"/>
          <w:numId w:val="2"/>
        </w:numPr>
        <w:spacing w:after="80"/>
      </w:pPr>
      <w:r>
        <w:rPr>
          <w:rFonts w:ascii="Arial" w:cs="Arial" w:eastAsia="Arial" w:hAnsi="Arial"/>
          <w:color w:val="2C2C2C"/>
          <w:sz w:val="22"/>
          <w:szCs w:val="22"/>
        </w:rPr>
        <w:t xml:space="preserve">os — file path handling</w:t>
      </w:r>
    </w:p>
    <w:p>
      <w:pPr>
        <w:spacing w:after="100"/>
      </w:pPr>
      <w:r>
        <w:t xml:space="preserve"/>
      </w:r>
    </w:p>
    <w:p>
      <w:pPr>
        <w:pStyle w:val="Heading2"/>
        <w:pBdr>
          <w:bottom w:val="single" w:color="2E75B6" w:sz="4" w:space="1"/>
        </w:pBdr>
        <w:spacing w:after="100" w:before="280"/>
      </w:pPr>
      <w:r>
        <w:rPr>
          <w:rFonts w:ascii="Arial" w:cs="Arial" w:eastAsia="Arial" w:hAnsi="Arial"/>
          <w:b/>
          <w:bCs/>
          <w:color w:val="1F4E79"/>
          <w:sz w:val="28"/>
          <w:szCs w:val="28"/>
        </w:rPr>
        <w:t xml:space="preserve">1.2 Cleaned Dataset (Excel)</w:t>
      </w:r>
    </w:p>
    <w:p>
      <w:pPr>
        <w:spacing w:after="120"/>
      </w:pPr>
      <w:r>
        <w:rPr>
          <w:rFonts w:ascii="Arial" w:cs="Arial" w:eastAsia="Arial" w:hAnsi="Arial"/>
          <w:color w:val="2C2C2C"/>
          <w:sz w:val="22"/>
          <w:szCs w:val="22"/>
        </w:rPr>
        <w:t xml:space="preserve">The processed dataset was saved as SuperStores_cleaned.xlsx, containing 9,994 rows and 23 columns, ready for direct import into Power BI.</w:t>
      </w:r>
    </w:p>
    <w:p>
      <w:pPr>
        <w:spacing w:after="100"/>
      </w:pPr>
      <w:r>
        <w:t xml:space="preserve"/>
      </w:r>
    </w:p>
    <w:p>
      <w:pPr>
        <w:pStyle w:val="Heading2"/>
        <w:pBdr>
          <w:bottom w:val="single" w:color="2E75B6" w:sz="4" w:space="1"/>
        </w:pBdr>
        <w:spacing w:after="100" w:before="280"/>
      </w:pPr>
      <w:r>
        <w:rPr>
          <w:rFonts w:ascii="Arial" w:cs="Arial" w:eastAsia="Arial" w:hAnsi="Arial"/>
          <w:b/>
          <w:bCs/>
          <w:color w:val="1F4E79"/>
          <w:sz w:val="28"/>
          <w:szCs w:val="28"/>
        </w:rPr>
        <w:t xml:space="preserve">1.3 Power BI Dashboard</w:t>
      </w:r>
    </w:p>
    <w:p>
      <w:pPr>
        <w:spacing w:after="120"/>
      </w:pPr>
      <w:r>
        <w:rPr>
          <w:rFonts w:ascii="Arial" w:cs="Arial" w:eastAsia="Arial" w:hAnsi="Arial"/>
          <w:color w:val="2C2C2C"/>
          <w:sz w:val="22"/>
          <w:szCs w:val="22"/>
        </w:rPr>
        <w:t xml:space="preserve">The SuperStores_Dashboard.pbix file was built on top of the cleaned dataset and contains an interactive multi-page report with slicers, KPI cards, trend lines, and regional maps.</w:t>
      </w:r>
    </w:p>
    <w:p>
      <w:pPr>
        <w:spacing w:after="300"/>
      </w:pPr>
      <w:r>
        <w:t xml:space="preserve"/>
      </w:r>
    </w:p>
    <w:p>
      <w:r>
        <w:br w:type="page"/>
      </w:r>
    </w:p>
    <w:p>
      <w:pPr>
        <w:pStyle w:val="Heading1"/>
        <w:shd w:fill="1F4E79" w:val="clear"/>
        <w:spacing w:after="160" w:before="360"/>
        <w:ind w:left="200" w:right="200"/>
      </w:pPr>
      <w:r>
        <w:rPr>
          <w:rFonts w:ascii="Arial" w:cs="Arial" w:eastAsia="Arial" w:hAnsi="Arial"/>
          <w:b/>
          <w:bCs/>
          <w:color w:val="FFFFFF"/>
          <w:sz w:val="36"/>
          <w:szCs w:val="36"/>
        </w:rPr>
        <w:t xml:space="preserve">2. Data Preprocessing (Python)</w:t>
      </w:r>
    </w:p>
    <w:p>
      <w:pPr>
        <w:spacing w:after="80"/>
      </w:pPr>
      <w:r>
        <w:t xml:space="preserve"/>
      </w:r>
    </w:p>
    <w:p>
      <w:pPr>
        <w:spacing w:after="120"/>
      </w:pPr>
      <w:r>
        <w:rPr>
          <w:rFonts w:ascii="Arial" w:cs="Arial" w:eastAsia="Arial" w:hAnsi="Arial"/>
          <w:color w:val="2C2C2C"/>
          <w:sz w:val="22"/>
          <w:szCs w:val="22"/>
        </w:rPr>
        <w:t xml:space="preserve">The Jupyter Notebook SuperStore.ipynb documents a systematic five-step preprocessing pipeline applied to the raw SuperStore.xlsx dataset.</w:t>
      </w:r>
    </w:p>
    <w:p>
      <w:pPr>
        <w:spacing w:after="100"/>
      </w:pPr>
      <w:r>
        <w:t xml:space="preserve"/>
      </w:r>
    </w:p>
    <w:p>
      <w:pPr>
        <w:pStyle w:val="Heading2"/>
        <w:pBdr>
          <w:bottom w:val="single" w:color="2E75B6" w:sz="4" w:space="1"/>
        </w:pBdr>
        <w:spacing w:after="100" w:before="280"/>
      </w:pPr>
      <w:r>
        <w:rPr>
          <w:rFonts w:ascii="Arial" w:cs="Arial" w:eastAsia="Arial" w:hAnsi="Arial"/>
          <w:b/>
          <w:bCs/>
          <w:color w:val="1F4E79"/>
          <w:sz w:val="28"/>
          <w:szCs w:val="28"/>
        </w:rPr>
        <w:t xml:space="preserve">Step 1 — Data Loading</w:t>
      </w:r>
    </w:p>
    <w:p>
      <w:pPr>
        <w:spacing w:after="120"/>
      </w:pPr>
      <w:r>
        <w:rPr>
          <w:rFonts w:ascii="Arial" w:cs="Arial" w:eastAsia="Arial" w:hAnsi="Arial"/>
          <w:color w:val="2C2C2C"/>
          <w:sz w:val="22"/>
          <w:szCs w:val="22"/>
        </w:rPr>
        <w:t xml:space="preserve">The raw dataset was loaded from a local Excel file using pandas read_excel(). An initial head() call confirmed successful ingestion and allowed a first inspection of column names, data types, and sample records.</w:t>
      </w:r>
    </w:p>
    <w:p>
      <w:pPr>
        <w:spacing w:after="100"/>
      </w:pPr>
      <w:r>
        <w:t xml:space="preserve"/>
      </w:r>
    </w:p>
    <w:p>
      <w:pPr>
        <w:pStyle w:val="Heading2"/>
        <w:pBdr>
          <w:bottom w:val="single" w:color="2E75B6" w:sz="4" w:space="1"/>
        </w:pBdr>
        <w:spacing w:after="100" w:before="280"/>
      </w:pPr>
      <w:r>
        <w:rPr>
          <w:rFonts w:ascii="Arial" w:cs="Arial" w:eastAsia="Arial" w:hAnsi="Arial"/>
          <w:b/>
          <w:bCs/>
          <w:color w:val="1F4E79"/>
          <w:sz w:val="28"/>
          <w:szCs w:val="28"/>
        </w:rPr>
        <w:t xml:space="preserve">Step 2 — Date Type Conversion</w:t>
      </w:r>
    </w:p>
    <w:p>
      <w:pPr>
        <w:spacing w:after="120"/>
      </w:pPr>
      <w:r>
        <w:rPr>
          <w:rFonts w:ascii="Arial" w:cs="Arial" w:eastAsia="Arial" w:hAnsi="Arial"/>
          <w:color w:val="2C2C2C"/>
          <w:sz w:val="22"/>
          <w:szCs w:val="22"/>
        </w:rPr>
        <w:t xml:space="preserve">Two columns were converted from object (string) type to proper datetime objects using pd.to_datetime():</w:t>
      </w:r>
    </w:p>
    <w:p>
      <w:pPr>
        <w:pStyle w:val="ListParagraph"/>
        <w:numPr>
          <w:ilvl w:val="0"/>
          <w:numId w:val="2"/>
        </w:numPr>
        <w:spacing w:after="80"/>
      </w:pPr>
      <w:r>
        <w:rPr>
          <w:rFonts w:ascii="Arial" w:cs="Arial" w:eastAsia="Arial" w:hAnsi="Arial"/>
          <w:color w:val="2C2C2C"/>
          <w:sz w:val="22"/>
          <w:szCs w:val="22"/>
        </w:rPr>
        <w:t xml:space="preserve">Order Date — the date the customer placed the order</w:t>
      </w:r>
    </w:p>
    <w:p>
      <w:pPr>
        <w:pStyle w:val="ListParagraph"/>
        <w:numPr>
          <w:ilvl w:val="0"/>
          <w:numId w:val="2"/>
        </w:numPr>
        <w:spacing w:after="80"/>
      </w:pPr>
      <w:r>
        <w:rPr>
          <w:rFonts w:ascii="Arial" w:cs="Arial" w:eastAsia="Arial" w:hAnsi="Arial"/>
          <w:color w:val="2C2C2C"/>
          <w:sz w:val="22"/>
          <w:szCs w:val="22"/>
        </w:rPr>
        <w:t xml:space="preserve">Ship Date — the date the order was dispatched</w:t>
      </w:r>
    </w:p>
    <w:p>
      <w:pPr>
        <w:spacing w:after="120"/>
      </w:pPr>
      <w:r>
        <w:rPr>
          <w:rFonts w:ascii="Arial" w:cs="Arial" w:eastAsia="Arial" w:hAnsi="Arial"/>
          <w:color w:val="2C2C2C"/>
          <w:sz w:val="22"/>
          <w:szCs w:val="22"/>
        </w:rPr>
        <w:t xml:space="preserve">This conversion is essential for any time-series analysis, trend plotting, and period-based aggregations performed later in Power BI.</w:t>
      </w:r>
    </w:p>
    <w:p>
      <w:pPr>
        <w:spacing w:after="100"/>
      </w:pPr>
      <w:r>
        <w:t xml:space="preserve"/>
      </w:r>
    </w:p>
    <w:p>
      <w:pPr>
        <w:pStyle w:val="Heading2"/>
        <w:pBdr>
          <w:bottom w:val="single" w:color="2E75B6" w:sz="4" w:space="1"/>
        </w:pBdr>
        <w:spacing w:after="100" w:before="280"/>
      </w:pPr>
      <w:r>
        <w:rPr>
          <w:rFonts w:ascii="Arial" w:cs="Arial" w:eastAsia="Arial" w:hAnsi="Arial"/>
          <w:b/>
          <w:bCs/>
          <w:color w:val="1F4E79"/>
          <w:sz w:val="28"/>
          <w:szCs w:val="28"/>
        </w:rPr>
        <w:t xml:space="preserve">Step 3 — Missing Value Treatment</w:t>
      </w:r>
    </w:p>
    <w:p>
      <w:pPr>
        <w:spacing w:after="120"/>
      </w:pPr>
      <w:r>
        <w:rPr>
          <w:rFonts w:ascii="Arial" w:cs="Arial" w:eastAsia="Arial" w:hAnsi="Arial"/>
          <w:color w:val="2C2C2C"/>
          <w:sz w:val="22"/>
          <w:szCs w:val="22"/>
        </w:rPr>
        <w:t xml:space="preserve">A null-value audit was performed using df.isnull().sum(). The only column with missing values was Postal Code. These were filled with 0 and the column was cast to integer type using:</w:t>
      </w:r>
    </w:p>
    <w:p>
      <w:pPr>
        <w:shd w:fill="F0F4F8" w:val="clear"/>
        <w:spacing w:after="120" w:before="80"/>
        <w:ind w:left="360" w:right="360"/>
      </w:pPr>
      <w:r>
        <w:rPr>
          <w:rFonts w:ascii="Courier New" w:cs="Courier New" w:eastAsia="Courier New" w:hAnsi="Courier New"/>
          <w:color w:val="333333"/>
          <w:sz w:val="20"/>
          <w:szCs w:val="20"/>
        </w:rPr>
        <w:t xml:space="preserve">df['Postal Code'] = df['Postal Code'].fillna(0).astype(int)</w:t>
      </w:r>
    </w:p>
    <w:p>
      <w:pPr>
        <w:spacing w:after="120"/>
      </w:pPr>
      <w:r>
        <w:rPr>
          <w:rFonts w:ascii="Arial" w:cs="Arial" w:eastAsia="Arial" w:hAnsi="Arial"/>
          <w:color w:val="2C2C2C"/>
          <w:sz w:val="22"/>
          <w:szCs w:val="22"/>
        </w:rPr>
        <w:t xml:space="preserve">A re-run of isnull().sum() confirmed zero null values remained across all 23 columns.</w:t>
      </w:r>
    </w:p>
    <w:p>
      <w:pPr>
        <w:spacing w:after="100"/>
      </w:pPr>
      <w:r>
        <w:t xml:space="preserve"/>
      </w:r>
    </w:p>
    <w:p>
      <w:pPr>
        <w:pStyle w:val="Heading2"/>
        <w:pBdr>
          <w:bottom w:val="single" w:color="2E75B6" w:sz="4" w:space="1"/>
        </w:pBdr>
        <w:spacing w:after="100" w:before="280"/>
      </w:pPr>
      <w:r>
        <w:rPr>
          <w:rFonts w:ascii="Arial" w:cs="Arial" w:eastAsia="Arial" w:hAnsi="Arial"/>
          <w:b/>
          <w:bCs/>
          <w:color w:val="1F4E79"/>
          <w:sz w:val="28"/>
          <w:szCs w:val="28"/>
        </w:rPr>
        <w:t xml:space="preserve">Step 4 — Feature Engineering</w:t>
      </w:r>
    </w:p>
    <w:p>
      <w:pPr>
        <w:spacing w:after="120"/>
      </w:pPr>
      <w:r>
        <w:rPr>
          <w:rFonts w:ascii="Arial" w:cs="Arial" w:eastAsia="Arial" w:hAnsi="Arial"/>
          <w:color w:val="2C2C2C"/>
          <w:sz w:val="22"/>
          <w:szCs w:val="22"/>
        </w:rPr>
        <w:t xml:space="preserve">Two new time-based helper columns were derived from Order Date to enable temporal analysis:</w:t>
      </w:r>
    </w:p>
    <w:p>
      <w:pPr>
        <w:pStyle w:val="ListParagraph"/>
        <w:numPr>
          <w:ilvl w:val="0"/>
          <w:numId w:val="2"/>
        </w:numPr>
        <w:spacing w:after="80"/>
      </w:pPr>
      <w:r>
        <w:rPr>
          <w:rFonts w:ascii="Arial" w:cs="Arial" w:eastAsia="Arial" w:hAnsi="Arial"/>
          <w:color w:val="2C2C2C"/>
          <w:sz w:val="22"/>
          <w:szCs w:val="22"/>
        </w:rPr>
        <w:t xml:space="preserve">Order Year (integer) — extracted using .dt.year, enabling year-over-year comparisons</w:t>
      </w:r>
    </w:p>
    <w:p>
      <w:pPr>
        <w:pStyle w:val="ListParagraph"/>
        <w:numPr>
          <w:ilvl w:val="0"/>
          <w:numId w:val="2"/>
        </w:numPr>
        <w:spacing w:after="80"/>
      </w:pPr>
      <w:r>
        <w:rPr>
          <w:rFonts w:ascii="Arial" w:cs="Arial" w:eastAsia="Arial" w:hAnsi="Arial"/>
          <w:color w:val="2C2C2C"/>
          <w:sz w:val="22"/>
          <w:szCs w:val="22"/>
        </w:rPr>
        <w:t xml:space="preserve">Order Month (Period[M]) — extracted using .dt.to_period('M'), enabling monthly trend charts and seasonality analysis</w:t>
      </w:r>
    </w:p>
    <w:p>
      <w:pPr>
        <w:spacing w:after="120"/>
      </w:pPr>
      <w:r>
        <w:rPr>
          <w:rFonts w:ascii="Arial" w:cs="Arial" w:eastAsia="Arial" w:hAnsi="Arial"/>
          <w:color w:val="2C2C2C"/>
          <w:sz w:val="22"/>
          <w:szCs w:val="22"/>
        </w:rPr>
        <w:t xml:space="preserve">These derived fields were critical for building time-series visuals and period slicers in the Power BI dashboard.</w:t>
      </w:r>
    </w:p>
    <w:p>
      <w:pPr>
        <w:spacing w:after="100"/>
      </w:pPr>
      <w:r>
        <w:t xml:space="preserve"/>
      </w:r>
    </w:p>
    <w:p>
      <w:pPr>
        <w:pStyle w:val="Heading2"/>
        <w:pBdr>
          <w:bottom w:val="single" w:color="2E75B6" w:sz="4" w:space="1"/>
        </w:pBdr>
        <w:spacing w:after="100" w:before="280"/>
      </w:pPr>
      <w:r>
        <w:rPr>
          <w:rFonts w:ascii="Arial" w:cs="Arial" w:eastAsia="Arial" w:hAnsi="Arial"/>
          <w:b/>
          <w:bCs/>
          <w:color w:val="1F4E79"/>
          <w:sz w:val="28"/>
          <w:szCs w:val="28"/>
        </w:rPr>
        <w:t xml:space="preserve">Step 5 — Export</w:t>
      </w:r>
    </w:p>
    <w:p>
      <w:pPr>
        <w:spacing w:after="120"/>
      </w:pPr>
      <w:r>
        <w:rPr>
          <w:rFonts w:ascii="Arial" w:cs="Arial" w:eastAsia="Arial" w:hAnsi="Arial"/>
          <w:color w:val="2C2C2C"/>
          <w:sz w:val="22"/>
          <w:szCs w:val="22"/>
        </w:rPr>
        <w:t xml:space="preserve">The fully cleaned and enriched DataFrame was saved to SuperStores_cleaned.xlsx using df.to_csv() (with index=False to avoid writing the row index as a column). This file served as the single source of truth for the Power BI model.</w:t>
      </w:r>
    </w:p>
    <w:p>
      <w:pPr>
        <w:spacing w:after="300"/>
      </w:pPr>
      <w:r>
        <w:t xml:space="preserve"/>
      </w:r>
    </w:p>
    <w:p>
      <w:r>
        <w:br w:type="page"/>
      </w:r>
    </w:p>
    <w:p>
      <w:pPr>
        <w:pStyle w:val="Heading1"/>
        <w:shd w:fill="1F4E79" w:val="clear"/>
        <w:spacing w:after="160" w:before="360"/>
        <w:ind w:left="200" w:right="200"/>
      </w:pPr>
      <w:r>
        <w:rPr>
          <w:rFonts w:ascii="Arial" w:cs="Arial" w:eastAsia="Arial" w:hAnsi="Arial"/>
          <w:b/>
          <w:bCs/>
          <w:color w:val="FFFFFF"/>
          <w:sz w:val="36"/>
          <w:szCs w:val="36"/>
        </w:rPr>
        <w:t xml:space="preserve">3. Dataset Overview</w:t>
      </w:r>
    </w:p>
    <w:p>
      <w:pPr>
        <w:spacing w:after="80"/>
      </w:pPr>
      <w:r>
        <w:t xml:space="preserve"/>
      </w:r>
    </w:p>
    <w:p>
      <w:pPr>
        <w:spacing w:after="120"/>
      </w:pPr>
      <w:r>
        <w:rPr>
          <w:rFonts w:ascii="Arial" w:cs="Arial" w:eastAsia="Arial" w:hAnsi="Arial"/>
          <w:color w:val="2C2C2C"/>
          <w:sz w:val="22"/>
          <w:szCs w:val="22"/>
        </w:rPr>
        <w:t xml:space="preserve">After cleaning, the dataset contains 9,994 rows and 23 columns. The table below summarizes the key fields: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color w:val="2C2C2C"/>
                <w:sz w:val="20"/>
                <w:szCs w:val="20"/>
              </w:rPr>
              <w:t xml:space="preserve">Row ID</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center"/>
            </w:pPr>
            <w:r>
              <w:rPr>
                <w:rFonts w:ascii="Arial" w:cs="Arial" w:eastAsia="Arial" w:hAnsi="Arial"/>
                <w:color w:val="2C2C2C"/>
                <w:sz w:val="20"/>
                <w:szCs w:val="20"/>
              </w:rPr>
              <w:t xml:space="preserve">Integer</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center"/>
            </w:pPr>
            <w:r>
              <w:rPr>
                <w:rFonts w:ascii="Arial" w:cs="Arial" w:eastAsia="Arial" w:hAnsi="Arial"/>
                <w:color w:val="2C2C2C"/>
                <w:sz w:val="20"/>
                <w:szCs w:val="20"/>
              </w:rPr>
              <w:t xml:space="preserve">Unique row identifier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Order 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Unique order identifier</w:t>
            </w:r>
          </w:p>
        </w:tc>
      </w:tr>
      <w:tr>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color w:val="2C2C2C"/>
                <w:sz w:val="20"/>
                <w:szCs w:val="20"/>
              </w:rPr>
              <w:t xml:space="preserve">Order Date</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center"/>
            </w:pPr>
            <w:r>
              <w:rPr>
                <w:rFonts w:ascii="Arial" w:cs="Arial" w:eastAsia="Arial" w:hAnsi="Arial"/>
                <w:color w:val="2C2C2C"/>
                <w:sz w:val="20"/>
                <w:szCs w:val="20"/>
              </w:rPr>
              <w:t xml:space="preserve">DateTime</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center"/>
            </w:pPr>
            <w:r>
              <w:rPr>
                <w:rFonts w:ascii="Arial" w:cs="Arial" w:eastAsia="Arial" w:hAnsi="Arial"/>
                <w:color w:val="2C2C2C"/>
                <w:sz w:val="20"/>
                <w:szCs w:val="20"/>
              </w:rPr>
              <w:t xml:space="preserve">Date customer placed the order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Ship Date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DateTime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Date order was shipped</w:t>
            </w:r>
          </w:p>
        </w:tc>
      </w:tr>
      <w:tr>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color w:val="2C2C2C"/>
                <w:sz w:val="20"/>
                <w:szCs w:val="20"/>
              </w:rPr>
              <w:t xml:space="preserve">Ship Mode</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center"/>
            </w:pPr>
            <w:r>
              <w:rPr>
                <w:rFonts w:ascii="Arial" w:cs="Arial" w:eastAsia="Arial" w:hAnsi="Arial"/>
                <w:color w:val="2C2C2C"/>
                <w:sz w:val="20"/>
                <w:szCs w:val="20"/>
              </w:rPr>
              <w:t xml:space="preserve">String</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center"/>
            </w:pPr>
            <w:r>
              <w:rPr>
                <w:rFonts w:ascii="Arial" w:cs="Arial" w:eastAsia="Arial" w:hAnsi="Arial"/>
                <w:color w:val="2C2C2C"/>
                <w:sz w:val="20"/>
                <w:szCs w:val="20"/>
              </w:rPr>
              <w:t xml:space="preserve">Shipping speed (Standard, Second, First, Same Day)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Customer ID / Name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Customer identifier and display name</w:t>
            </w:r>
          </w:p>
        </w:tc>
      </w:tr>
      <w:tr>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color w:val="2C2C2C"/>
                <w:sz w:val="20"/>
                <w:szCs w:val="20"/>
              </w:rPr>
              <w:t xml:space="preserve">Segment</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center"/>
            </w:pPr>
            <w:r>
              <w:rPr>
                <w:rFonts w:ascii="Arial" w:cs="Arial" w:eastAsia="Arial" w:hAnsi="Arial"/>
                <w:color w:val="2C2C2C"/>
                <w:sz w:val="20"/>
                <w:szCs w:val="20"/>
              </w:rPr>
              <w:t xml:space="preserve">String</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center"/>
            </w:pPr>
            <w:r>
              <w:rPr>
                <w:rFonts w:ascii="Arial" w:cs="Arial" w:eastAsia="Arial" w:hAnsi="Arial"/>
                <w:color w:val="2C2C2C"/>
                <w:sz w:val="20"/>
                <w:szCs w:val="20"/>
              </w:rPr>
              <w:t xml:space="preserve">Customer segment: Consumer, Corporate, Home Office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Country/Region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Always United States in this dataset</w:t>
            </w:r>
          </w:p>
        </w:tc>
      </w:tr>
      <w:tr>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color w:val="2C2C2C"/>
                <w:sz w:val="20"/>
                <w:szCs w:val="20"/>
              </w:rPr>
              <w:t xml:space="preserve">City / State / Postal Code</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center"/>
            </w:pPr>
            <w:r>
              <w:rPr>
                <w:rFonts w:ascii="Arial" w:cs="Arial" w:eastAsia="Arial" w:hAnsi="Arial"/>
                <w:color w:val="2C2C2C"/>
                <w:sz w:val="20"/>
                <w:szCs w:val="20"/>
              </w:rPr>
              <w:t xml:space="preserve">String/Int</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center"/>
            </w:pPr>
            <w:r>
              <w:rPr>
                <w:rFonts w:ascii="Arial" w:cs="Arial" w:eastAsia="Arial" w:hAnsi="Arial"/>
                <w:color w:val="2C2C2C"/>
                <w:sz w:val="20"/>
                <w:szCs w:val="20"/>
              </w:rPr>
              <w:t xml:space="preserve">Customer delivery address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Region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US geographic region: East, West, Central, South</w:t>
            </w:r>
          </w:p>
        </w:tc>
      </w:tr>
      <w:tr>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color w:val="2C2C2C"/>
                <w:sz w:val="20"/>
                <w:szCs w:val="20"/>
              </w:rPr>
              <w:t xml:space="preserve">Product ID / Name</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center"/>
            </w:pPr>
            <w:r>
              <w:rPr>
                <w:rFonts w:ascii="Arial" w:cs="Arial" w:eastAsia="Arial" w:hAnsi="Arial"/>
                <w:color w:val="2C2C2C"/>
                <w:sz w:val="20"/>
                <w:szCs w:val="20"/>
              </w:rPr>
              <w:t xml:space="preserve">String</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center"/>
            </w:pPr>
            <w:r>
              <w:rPr>
                <w:rFonts w:ascii="Arial" w:cs="Arial" w:eastAsia="Arial" w:hAnsi="Arial"/>
                <w:color w:val="2C2C2C"/>
                <w:sz w:val="20"/>
                <w:szCs w:val="20"/>
              </w:rPr>
              <w:t xml:space="preserve">Product identifier and full product name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Category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Product category: Furniture, Office Supplies, Technology</w:t>
            </w:r>
          </w:p>
        </w:tc>
      </w:tr>
      <w:tr>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color w:val="2C2C2C"/>
                <w:sz w:val="20"/>
                <w:szCs w:val="20"/>
              </w:rPr>
              <w:t xml:space="preserve">Sub-Category</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center"/>
            </w:pPr>
            <w:r>
              <w:rPr>
                <w:rFonts w:ascii="Arial" w:cs="Arial" w:eastAsia="Arial" w:hAnsi="Arial"/>
                <w:color w:val="2C2C2C"/>
                <w:sz w:val="20"/>
                <w:szCs w:val="20"/>
              </w:rPr>
              <w:t xml:space="preserve">String</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center"/>
            </w:pPr>
            <w:r>
              <w:rPr>
                <w:rFonts w:ascii="Arial" w:cs="Arial" w:eastAsia="Arial" w:hAnsi="Arial"/>
                <w:color w:val="2C2C2C"/>
                <w:sz w:val="20"/>
                <w:szCs w:val="20"/>
              </w:rPr>
              <w:t xml:space="preserve">17 product sub-categories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Sales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Float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Revenue generated from the order line</w:t>
            </w:r>
          </w:p>
        </w:tc>
      </w:tr>
      <w:tr>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color w:val="2C2C2C"/>
                <w:sz w:val="20"/>
                <w:szCs w:val="20"/>
              </w:rPr>
              <w:t xml:space="preserve">Quantity</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center"/>
            </w:pPr>
            <w:r>
              <w:rPr>
                <w:rFonts w:ascii="Arial" w:cs="Arial" w:eastAsia="Arial" w:hAnsi="Arial"/>
                <w:color w:val="2C2C2C"/>
                <w:sz w:val="20"/>
                <w:szCs w:val="20"/>
              </w:rPr>
              <w:t xml:space="preserve">Integer</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center"/>
            </w:pPr>
            <w:r>
              <w:rPr>
                <w:rFonts w:ascii="Arial" w:cs="Arial" w:eastAsia="Arial" w:hAnsi="Arial"/>
                <w:color w:val="2C2C2C"/>
                <w:sz w:val="20"/>
                <w:szCs w:val="20"/>
              </w:rPr>
              <w:t xml:space="preserve">Number of units ordered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Discount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Float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Discount rate applied (0.0 – 0.8)</w:t>
            </w:r>
          </w:p>
        </w:tc>
      </w:tr>
      <w:tr>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color w:val="2C2C2C"/>
                <w:sz w:val="20"/>
                <w:szCs w:val="20"/>
              </w:rPr>
              <w:t xml:space="preserve">Profit</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center"/>
            </w:pPr>
            <w:r>
              <w:rPr>
                <w:rFonts w:ascii="Arial" w:cs="Arial" w:eastAsia="Arial" w:hAnsi="Arial"/>
                <w:color w:val="2C2C2C"/>
                <w:sz w:val="20"/>
                <w:szCs w:val="20"/>
              </w:rPr>
              <w:t xml:space="preserve">Float</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center"/>
            </w:pPr>
            <w:r>
              <w:rPr>
                <w:rFonts w:ascii="Arial" w:cs="Arial" w:eastAsia="Arial" w:hAnsi="Arial"/>
                <w:color w:val="2C2C2C"/>
                <w:sz w:val="20"/>
                <w:szCs w:val="20"/>
              </w:rPr>
              <w:t xml:space="preserve">Net profit or loss on the order line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Order Year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Integer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Derived: year extracted from Order Date</w:t>
            </w:r>
          </w:p>
        </w:tc>
      </w:tr>
      <w:tr>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color w:val="2C2C2C"/>
                <w:sz w:val="20"/>
                <w:szCs w:val="20"/>
              </w:rPr>
              <w:t xml:space="preserve">Order Month</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center"/>
            </w:pPr>
            <w:r>
              <w:rPr>
                <w:rFonts w:ascii="Arial" w:cs="Arial" w:eastAsia="Arial" w:hAnsi="Arial"/>
                <w:color w:val="2C2C2C"/>
                <w:sz w:val="20"/>
                <w:szCs w:val="20"/>
              </w:rPr>
              <w:t xml:space="preserve">Period[M]</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center"/>
            </w:pPr>
            <w:r>
              <w:rPr>
                <w:rFonts w:ascii="Arial" w:cs="Arial" w:eastAsia="Arial" w:hAnsi="Arial"/>
                <w:color w:val="2C2C2C"/>
                <w:sz w:val="20"/>
                <w:szCs w:val="20"/>
              </w:rPr>
              <w:t xml:space="preserve">Derived: year-month period for time-series analysis</w:t>
            </w:r>
          </w:p>
        </w:tc>
      </w:tr>
    </w:tbl>
    <w:p>
      <w:pPr>
        <w:spacing w:after="300"/>
      </w:pPr>
      <w:r>
        <w:t xml:space="preserve"/>
      </w:r>
    </w:p>
    <w:p>
      <w:r>
        <w:br w:type="page"/>
      </w:r>
    </w:p>
    <w:p>
      <w:pPr>
        <w:pStyle w:val="Heading1"/>
        <w:shd w:fill="1F4E79" w:val="clear"/>
        <w:spacing w:after="160" w:before="360"/>
        <w:ind w:left="200" w:right="200"/>
      </w:pPr>
      <w:r>
        <w:rPr>
          <w:rFonts w:ascii="Arial" w:cs="Arial" w:eastAsia="Arial" w:hAnsi="Arial"/>
          <w:b/>
          <w:bCs/>
          <w:color w:val="FFFFFF"/>
          <w:sz w:val="36"/>
          <w:szCs w:val="36"/>
        </w:rPr>
        <w:t xml:space="preserve">4. Sales &amp; Profit Analysis</w:t>
      </w:r>
    </w:p>
    <w:p>
      <w:pPr>
        <w:spacing w:after="80"/>
      </w:pPr>
      <w:r>
        <w:t xml:space="preserve"/>
      </w:r>
    </w:p>
    <w:p>
      <w:pPr>
        <w:pStyle w:val="Heading2"/>
        <w:pBdr>
          <w:bottom w:val="single" w:color="2E75B6" w:sz="4" w:space="1"/>
        </w:pBdr>
        <w:spacing w:after="100" w:before="280"/>
      </w:pPr>
      <w:r>
        <w:rPr>
          <w:rFonts w:ascii="Arial" w:cs="Arial" w:eastAsia="Arial" w:hAnsi="Arial"/>
          <w:b/>
          <w:bCs/>
          <w:color w:val="1F4E79"/>
          <w:sz w:val="28"/>
          <w:szCs w:val="28"/>
        </w:rPr>
        <w:t xml:space="preserve">4.1 Year-Over-Year Performance</w:t>
      </w:r>
    </w:p>
    <w:p>
      <w:pPr>
        <w:spacing w:after="120"/>
      </w:pPr>
      <w:r>
        <w:rPr>
          <w:rFonts w:ascii="Arial" w:cs="Arial" w:eastAsia="Arial" w:hAnsi="Arial"/>
          <w:color w:val="2C2C2C"/>
          <w:sz w:val="22"/>
          <w:szCs w:val="22"/>
        </w:rPr>
        <w:t xml:space="preserve">Revenue and profit both showed consistent growth from 2017 to 2020, with total sales increasing by approximately 51% over the four-year period.</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Year</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Sales</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Profit</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Profit Margin</w:t>
            </w:r>
          </w:p>
        </w:tc>
      </w:tr>
      <w:tr>
        <w:tc>
          <w:tcPr>
            <w:tcW w:type="dxa" w:w="234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color w:val="2C2C2C"/>
                <w:sz w:val="20"/>
                <w:szCs w:val="20"/>
              </w:rPr>
              <w:t xml:space="preserve">2017</w:t>
            </w:r>
          </w:p>
        </w:tc>
        <w:tc>
          <w:tcPr>
            <w:tcW w:type="dxa" w:w="234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center"/>
            </w:pPr>
            <w:r>
              <w:rPr>
                <w:rFonts w:ascii="Arial" w:cs="Arial" w:eastAsia="Arial" w:hAnsi="Arial"/>
                <w:color w:val="2C2C2C"/>
                <w:sz w:val="20"/>
                <w:szCs w:val="20"/>
              </w:rPr>
              <w:t xml:space="preserve">$484,248</w:t>
            </w:r>
          </w:p>
        </w:tc>
        <w:tc>
          <w:tcPr>
            <w:tcW w:type="dxa" w:w="234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center"/>
            </w:pPr>
            <w:r>
              <w:rPr>
                <w:rFonts w:ascii="Arial" w:cs="Arial" w:eastAsia="Arial" w:hAnsi="Arial"/>
                <w:color w:val="2C2C2C"/>
                <w:sz w:val="20"/>
                <w:szCs w:val="20"/>
              </w:rPr>
              <w:t xml:space="preserve">$49,544</w:t>
            </w:r>
          </w:p>
        </w:tc>
        <w:tc>
          <w:tcPr>
            <w:tcW w:type="dxa" w:w="234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center"/>
            </w:pPr>
            <w:r>
              <w:rPr>
                <w:rFonts w:ascii="Arial" w:cs="Arial" w:eastAsia="Arial" w:hAnsi="Arial"/>
                <w:color w:val="2C2C2C"/>
                <w:sz w:val="20"/>
                <w:szCs w:val="20"/>
              </w:rPr>
              <w:t xml:space="preserve">10.2%</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2018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$470,533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$61,619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13.1%</w:t>
            </w:r>
          </w:p>
        </w:tc>
      </w:tr>
      <w:tr>
        <w:tc>
          <w:tcPr>
            <w:tcW w:type="dxa" w:w="234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color w:val="2C2C2C"/>
                <w:sz w:val="20"/>
                <w:szCs w:val="20"/>
              </w:rPr>
              <w:t xml:space="preserve">2019</w:t>
            </w:r>
          </w:p>
        </w:tc>
        <w:tc>
          <w:tcPr>
            <w:tcW w:type="dxa" w:w="234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center"/>
            </w:pPr>
            <w:r>
              <w:rPr>
                <w:rFonts w:ascii="Arial" w:cs="Arial" w:eastAsia="Arial" w:hAnsi="Arial"/>
                <w:color w:val="2C2C2C"/>
                <w:sz w:val="20"/>
                <w:szCs w:val="20"/>
              </w:rPr>
              <w:t xml:space="preserve">$609,206</w:t>
            </w:r>
          </w:p>
        </w:tc>
        <w:tc>
          <w:tcPr>
            <w:tcW w:type="dxa" w:w="234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center"/>
            </w:pPr>
            <w:r>
              <w:rPr>
                <w:rFonts w:ascii="Arial" w:cs="Arial" w:eastAsia="Arial" w:hAnsi="Arial"/>
                <w:color w:val="2C2C2C"/>
                <w:sz w:val="20"/>
                <w:szCs w:val="20"/>
              </w:rPr>
              <w:t xml:space="preserve">$81,795</w:t>
            </w:r>
          </w:p>
        </w:tc>
        <w:tc>
          <w:tcPr>
            <w:tcW w:type="dxa" w:w="234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center"/>
            </w:pPr>
            <w:r>
              <w:rPr>
                <w:rFonts w:ascii="Arial" w:cs="Arial" w:eastAsia="Arial" w:hAnsi="Arial"/>
                <w:color w:val="2C2C2C"/>
                <w:sz w:val="20"/>
                <w:szCs w:val="20"/>
              </w:rPr>
              <w:t xml:space="preserve">13.4%</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2020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$733,215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$93,439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12.7%</w:t>
            </w:r>
          </w:p>
        </w:tc>
      </w:tr>
    </w:tbl>
    <w:p>
      <w:pPr>
        <w:spacing w:after="120"/>
      </w:pPr>
      <w:r>
        <w:t xml:space="preserve"/>
      </w:r>
    </w:p>
    <w:p>
      <w:pPr>
        <w:spacing w:after="120"/>
      </w:pPr>
      <w:r>
        <w:rPr>
          <w:rFonts w:ascii="Arial" w:cs="Arial" w:eastAsia="Arial" w:hAnsi="Arial"/>
          <w:color w:val="2C2C2C"/>
          <w:sz w:val="22"/>
          <w:szCs w:val="22"/>
        </w:rPr>
        <w:t xml:space="preserve">Note: The slight dip in 2018 sales vs. 2017 is offset by a significant improvement in profit margin (+2.9pp), suggesting better discount management or product mix optimization that year.</w:t>
      </w:r>
    </w:p>
    <w:p>
      <w:pPr>
        <w:spacing w:after="200"/>
      </w:pPr>
      <w:r>
        <w:t xml:space="preserve"/>
      </w:r>
    </w:p>
    <w:p>
      <w:pPr>
        <w:pStyle w:val="Heading2"/>
        <w:pBdr>
          <w:bottom w:val="single" w:color="2E75B6" w:sz="4" w:space="1"/>
        </w:pBdr>
        <w:spacing w:after="100" w:before="280"/>
      </w:pPr>
      <w:r>
        <w:rPr>
          <w:rFonts w:ascii="Arial" w:cs="Arial" w:eastAsia="Arial" w:hAnsi="Arial"/>
          <w:b/>
          <w:bCs/>
          <w:color w:val="1F4E79"/>
          <w:sz w:val="28"/>
          <w:szCs w:val="28"/>
        </w:rPr>
        <w:t xml:space="preserve">4.2 Performance by Product Category</w:t>
      </w:r>
    </w:p>
    <w:p>
      <w:pPr>
        <w:spacing w:after="120"/>
      </w:pPr>
      <w:r>
        <w:rPr>
          <w:rFonts w:ascii="Arial" w:cs="Arial" w:eastAsia="Arial" w:hAnsi="Arial"/>
          <w:color w:val="2C2C2C"/>
          <w:sz w:val="22"/>
          <w:szCs w:val="22"/>
        </w:rPr>
        <w:t xml:space="preserve">Three product categories are present in the dataset. Technology leads in both revenue and profitability, while Furniture generates substantial revenue but has a very thin margin.</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Sales</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Profit</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Profit Margin</w:t>
            </w:r>
          </w:p>
        </w:tc>
      </w:tr>
      <w:tr>
        <w:tc>
          <w:tcPr>
            <w:tcW w:type="dxa" w:w="234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color w:val="2C2C2C"/>
                <w:sz w:val="20"/>
                <w:szCs w:val="20"/>
              </w:rPr>
              <w:t xml:space="preserve">Technology</w:t>
            </w:r>
          </w:p>
        </w:tc>
        <w:tc>
          <w:tcPr>
            <w:tcW w:type="dxa" w:w="234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center"/>
            </w:pPr>
            <w:r>
              <w:rPr>
                <w:rFonts w:ascii="Arial" w:cs="Arial" w:eastAsia="Arial" w:hAnsi="Arial"/>
                <w:color w:val="2C2C2C"/>
                <w:sz w:val="20"/>
                <w:szCs w:val="20"/>
              </w:rPr>
              <w:t xml:space="preserve">$836,154</w:t>
            </w:r>
          </w:p>
        </w:tc>
        <w:tc>
          <w:tcPr>
            <w:tcW w:type="dxa" w:w="234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center"/>
            </w:pPr>
            <w:r>
              <w:rPr>
                <w:rFonts w:ascii="Arial" w:cs="Arial" w:eastAsia="Arial" w:hAnsi="Arial"/>
                <w:color w:val="2C2C2C"/>
                <w:sz w:val="20"/>
                <w:szCs w:val="20"/>
              </w:rPr>
              <w:t xml:space="preserve">$145,455</w:t>
            </w:r>
          </w:p>
        </w:tc>
        <w:tc>
          <w:tcPr>
            <w:tcW w:type="dxa" w:w="234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center"/>
            </w:pPr>
            <w:r>
              <w:rPr>
                <w:rFonts w:ascii="Arial" w:cs="Arial" w:eastAsia="Arial" w:hAnsi="Arial"/>
                <w:color w:val="2C2C2C"/>
                <w:sz w:val="20"/>
                <w:szCs w:val="20"/>
              </w:rPr>
              <w:t xml:space="preserve">17.4%</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Office Supplies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$719,047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$122,491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17.0%</w:t>
            </w:r>
          </w:p>
        </w:tc>
      </w:tr>
      <w:tr>
        <w:tc>
          <w:tcPr>
            <w:tcW w:type="dxa" w:w="234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color w:val="2C2C2C"/>
                <w:sz w:val="20"/>
                <w:szCs w:val="20"/>
              </w:rPr>
              <w:t xml:space="preserve">Furniture</w:t>
            </w:r>
          </w:p>
        </w:tc>
        <w:tc>
          <w:tcPr>
            <w:tcW w:type="dxa" w:w="234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center"/>
            </w:pPr>
            <w:r>
              <w:rPr>
                <w:rFonts w:ascii="Arial" w:cs="Arial" w:eastAsia="Arial" w:hAnsi="Arial"/>
                <w:color w:val="2C2C2C"/>
                <w:sz w:val="20"/>
                <w:szCs w:val="20"/>
              </w:rPr>
              <w:t xml:space="preserve">$741,999</w:t>
            </w:r>
          </w:p>
        </w:tc>
        <w:tc>
          <w:tcPr>
            <w:tcW w:type="dxa" w:w="234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center"/>
            </w:pPr>
            <w:r>
              <w:rPr>
                <w:rFonts w:ascii="Arial" w:cs="Arial" w:eastAsia="Arial" w:hAnsi="Arial"/>
                <w:color w:val="2C2C2C"/>
                <w:sz w:val="20"/>
                <w:szCs w:val="20"/>
              </w:rPr>
              <w:t xml:space="preserve">$18,451</w:t>
            </w:r>
          </w:p>
        </w:tc>
        <w:tc>
          <w:tcPr>
            <w:tcW w:type="dxa" w:w="234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center"/>
            </w:pPr>
            <w:r>
              <w:rPr>
                <w:rFonts w:ascii="Arial" w:cs="Arial" w:eastAsia="Arial" w:hAnsi="Arial"/>
                <w:color w:val="2C2C2C"/>
                <w:sz w:val="20"/>
                <w:szCs w:val="20"/>
              </w:rPr>
              <w:t xml:space="preserve">2.5%</w:t>
            </w:r>
          </w:p>
        </w:tc>
      </w:tr>
    </w:tbl>
    <w:p>
      <w:pPr>
        <w:spacing w:after="120"/>
      </w:pPr>
      <w:r>
        <w:t xml:space="preserve"/>
      </w:r>
    </w:p>
    <w:p>
      <w:pPr>
        <w:spacing w:after="120"/>
      </w:pPr>
      <w:r>
        <w:rPr>
          <w:rFonts w:ascii="Arial" w:cs="Arial" w:eastAsia="Arial" w:hAnsi="Arial"/>
          <w:color w:val="2C2C2C"/>
          <w:sz w:val="22"/>
          <w:szCs w:val="22"/>
        </w:rPr>
        <w:t xml:space="preserve">Furniture's 2.5% margin is a critical finding — it generates 32% of total revenue but only 6.4% of total profit. This is largely driven by loss-making sub-categories (Tables, Bookcases) and excessive discounting.</w:t>
      </w:r>
    </w:p>
    <w:p>
      <w:pPr>
        <w:spacing w:after="200"/>
      </w:pPr>
      <w:r>
        <w:t xml:space="preserve"/>
      </w:r>
    </w:p>
    <w:p>
      <w:pPr>
        <w:pStyle w:val="Heading2"/>
        <w:pBdr>
          <w:bottom w:val="single" w:color="2E75B6" w:sz="4" w:space="1"/>
        </w:pBdr>
        <w:spacing w:after="100" w:before="280"/>
      </w:pPr>
      <w:r>
        <w:rPr>
          <w:rFonts w:ascii="Arial" w:cs="Arial" w:eastAsia="Arial" w:hAnsi="Arial"/>
          <w:b/>
          <w:bCs/>
          <w:color w:val="1F4E79"/>
          <w:sz w:val="28"/>
          <w:szCs w:val="28"/>
        </w:rPr>
        <w:t xml:space="preserve">4.3 Top &amp; Bottom Sub-Categories by Profit</w:t>
      </w:r>
    </w:p>
    <w:p>
      <w:pPr>
        <w:spacing w:after="60"/>
      </w:pPr>
      <w:r>
        <w:t xml:space="preserve"/>
      </w:r>
    </w:p>
    <w:p>
      <w:r>
        <w:rPr>
          <w:rFonts w:ascii="Arial" w:cs="Arial" w:eastAsia="Arial" w:hAnsi="Arial"/>
          <w:b/>
          <w:bCs/>
          <w:color w:val="2C2C2C"/>
          <w:sz w:val="22"/>
          <w:szCs w:val="22"/>
        </w:rPr>
        <w:t xml:space="preserve">Top 5 Most Profitable Sub-Categories:</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Sub-Category</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Profit</w:t>
            </w:r>
          </w:p>
        </w:tc>
      </w:tr>
      <w:tr>
        <w:tc>
          <w:tcPr>
            <w:tcW w:type="dxa" w:w="4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color w:val="2C2C2C"/>
                <w:sz w:val="20"/>
                <w:szCs w:val="20"/>
              </w:rPr>
              <w:t xml:space="preserve">Copiers</w:t>
            </w:r>
          </w:p>
        </w:tc>
        <w:tc>
          <w:tcPr>
            <w:tcW w:type="dxa" w:w="4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center"/>
            </w:pPr>
            <w:r>
              <w:rPr>
                <w:rFonts w:ascii="Arial" w:cs="Arial" w:eastAsia="Arial" w:hAnsi="Arial"/>
                <w:color w:val="2C2C2C"/>
                <w:sz w:val="20"/>
                <w:szCs w:val="20"/>
              </w:rPr>
              <w:t xml:space="preserve">$55,618</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Phones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$44,516</w:t>
            </w:r>
          </w:p>
        </w:tc>
      </w:tr>
      <w:tr>
        <w:tc>
          <w:tcPr>
            <w:tcW w:type="dxa" w:w="4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color w:val="2C2C2C"/>
                <w:sz w:val="20"/>
                <w:szCs w:val="20"/>
              </w:rPr>
              <w:t xml:space="preserve">Accessories</w:t>
            </w:r>
          </w:p>
        </w:tc>
        <w:tc>
          <w:tcPr>
            <w:tcW w:type="dxa" w:w="4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center"/>
            </w:pPr>
            <w:r>
              <w:rPr>
                <w:rFonts w:ascii="Arial" w:cs="Arial" w:eastAsia="Arial" w:hAnsi="Arial"/>
                <w:color w:val="2C2C2C"/>
                <w:sz w:val="20"/>
                <w:szCs w:val="20"/>
              </w:rPr>
              <w:t xml:space="preserve">$41,937</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Paper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$34,054</w:t>
            </w:r>
          </w:p>
        </w:tc>
      </w:tr>
      <w:tr>
        <w:tc>
          <w:tcPr>
            <w:tcW w:type="dxa" w:w="4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color w:val="2C2C2C"/>
                <w:sz w:val="20"/>
                <w:szCs w:val="20"/>
              </w:rPr>
              <w:t xml:space="preserve">Binders</w:t>
            </w:r>
          </w:p>
        </w:tc>
        <w:tc>
          <w:tcPr>
            <w:tcW w:type="dxa" w:w="4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center"/>
            </w:pPr>
            <w:r>
              <w:rPr>
                <w:rFonts w:ascii="Arial" w:cs="Arial" w:eastAsia="Arial" w:hAnsi="Arial"/>
                <w:color w:val="2C2C2C"/>
                <w:sz w:val="20"/>
                <w:szCs w:val="20"/>
              </w:rPr>
              <w:t xml:space="preserve">$30,222</w:t>
            </w:r>
          </w:p>
        </w:tc>
      </w:tr>
    </w:tbl>
    <w:p>
      <w:pPr>
        <w:spacing w:after="140"/>
      </w:pPr>
      <w:r>
        <w:t xml:space="preserve"/>
      </w:r>
    </w:p>
    <w:p>
      <w:r>
        <w:rPr>
          <w:rFonts w:ascii="Arial" w:cs="Arial" w:eastAsia="Arial" w:hAnsi="Arial"/>
          <w:b/>
          <w:bCs/>
          <w:color w:val="2C2C2C"/>
          <w:sz w:val="22"/>
          <w:szCs w:val="22"/>
        </w:rPr>
        <w:t xml:space="preserve">Bottom 5 Sub-Categories (Loss-Making / Low Profit):</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Sub-Category</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Profit</w:t>
            </w:r>
          </w:p>
        </w:tc>
      </w:tr>
      <w:tr>
        <w:tc>
          <w:tcPr>
            <w:tcW w:type="dxa" w:w="4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color w:val="2C2C2C"/>
                <w:sz w:val="20"/>
                <w:szCs w:val="20"/>
              </w:rPr>
              <w:t xml:space="preserve">Tables</w:t>
            </w:r>
          </w:p>
        </w:tc>
        <w:tc>
          <w:tcPr>
            <w:tcW w:type="dxa" w:w="4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center"/>
            </w:pPr>
            <w:r>
              <w:rPr>
                <w:rFonts w:ascii="Arial" w:cs="Arial" w:eastAsia="Arial" w:hAnsi="Arial"/>
                <w:color w:val="2C2C2C"/>
                <w:sz w:val="20"/>
                <w:szCs w:val="20"/>
              </w:rPr>
              <w:t xml:space="preserve">-$17,725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Bookcases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-$3,473</w:t>
            </w:r>
          </w:p>
        </w:tc>
      </w:tr>
      <w:tr>
        <w:tc>
          <w:tcPr>
            <w:tcW w:type="dxa" w:w="4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color w:val="2C2C2C"/>
                <w:sz w:val="20"/>
                <w:szCs w:val="20"/>
              </w:rPr>
              <w:t xml:space="preserve">Supplies</w:t>
            </w:r>
          </w:p>
        </w:tc>
        <w:tc>
          <w:tcPr>
            <w:tcW w:type="dxa" w:w="4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center"/>
            </w:pPr>
            <w:r>
              <w:rPr>
                <w:rFonts w:ascii="Arial" w:cs="Arial" w:eastAsia="Arial" w:hAnsi="Arial"/>
                <w:color w:val="2C2C2C"/>
                <w:sz w:val="20"/>
                <w:szCs w:val="20"/>
              </w:rPr>
              <w:t xml:space="preserve">-$1,189</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Fasteners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$950</w:t>
            </w:r>
          </w:p>
        </w:tc>
      </w:tr>
      <w:tr>
        <w:tc>
          <w:tcPr>
            <w:tcW w:type="dxa" w:w="4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color w:val="2C2C2C"/>
                <w:sz w:val="20"/>
                <w:szCs w:val="20"/>
              </w:rPr>
              <w:t xml:space="preserve">Machines</w:t>
            </w:r>
          </w:p>
        </w:tc>
        <w:tc>
          <w:tcPr>
            <w:tcW w:type="dxa" w:w="4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center"/>
            </w:pPr>
            <w:r>
              <w:rPr>
                <w:rFonts w:ascii="Arial" w:cs="Arial" w:eastAsia="Arial" w:hAnsi="Arial"/>
                <w:color w:val="2C2C2C"/>
                <w:sz w:val="20"/>
                <w:szCs w:val="20"/>
              </w:rPr>
              <w:t xml:space="preserve">$3,385</w:t>
            </w:r>
          </w:p>
        </w:tc>
      </w:tr>
    </w:tbl>
    <w:p>
      <w:pPr>
        <w:spacing w:after="300"/>
      </w:pPr>
      <w:r>
        <w:t xml:space="preserve"/>
      </w:r>
    </w:p>
    <w:p>
      <w:r>
        <w:br w:type="page"/>
      </w:r>
    </w:p>
    <w:p>
      <w:pPr>
        <w:pStyle w:val="Heading1"/>
        <w:shd w:fill="1F4E79" w:val="clear"/>
        <w:spacing w:after="160" w:before="360"/>
        <w:ind w:left="200" w:right="200"/>
      </w:pPr>
      <w:r>
        <w:rPr>
          <w:rFonts w:ascii="Arial" w:cs="Arial" w:eastAsia="Arial" w:hAnsi="Arial"/>
          <w:b/>
          <w:bCs/>
          <w:color w:val="FFFFFF"/>
          <w:sz w:val="36"/>
          <w:szCs w:val="36"/>
        </w:rPr>
        <w:t xml:space="preserve">5. Regional &amp; Segment Analysis</w:t>
      </w:r>
    </w:p>
    <w:p>
      <w:pPr>
        <w:spacing w:after="80"/>
      </w:pPr>
      <w:r>
        <w:t xml:space="preserve"/>
      </w:r>
    </w:p>
    <w:p>
      <w:pPr>
        <w:pStyle w:val="Heading2"/>
        <w:pBdr>
          <w:bottom w:val="single" w:color="2E75B6" w:sz="4" w:space="1"/>
        </w:pBdr>
        <w:spacing w:after="100" w:before="280"/>
      </w:pPr>
      <w:r>
        <w:rPr>
          <w:rFonts w:ascii="Arial" w:cs="Arial" w:eastAsia="Arial" w:hAnsi="Arial"/>
          <w:b/>
          <w:bCs/>
          <w:color w:val="1F4E79"/>
          <w:sz w:val="28"/>
          <w:szCs w:val="28"/>
        </w:rPr>
        <w:t xml:space="preserve">5.1 Sales &amp; Profit by Region</w:t>
      </w:r>
    </w:p>
    <w:p>
      <w:pPr>
        <w:spacing w:after="120"/>
      </w:pPr>
      <w:r>
        <w:rPr>
          <w:rFonts w:ascii="Arial" w:cs="Arial" w:eastAsia="Arial" w:hAnsi="Arial"/>
          <w:color w:val="2C2C2C"/>
          <w:sz w:val="22"/>
          <w:szCs w:val="22"/>
        </w:rPr>
        <w:t xml:space="preserve">The West region is the top performer in both sales and profit. The Central region lags significantly on profitability despite being the third-largest revenue contributor.</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Region</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Sales</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Profit</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Profit Margin</w:t>
            </w:r>
          </w:p>
        </w:tc>
      </w:tr>
      <w:tr>
        <w:tc>
          <w:tcPr>
            <w:tcW w:type="dxa" w:w="234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color w:val="2C2C2C"/>
                <w:sz w:val="20"/>
                <w:szCs w:val="20"/>
              </w:rPr>
              <w:t xml:space="preserve">West</w:t>
            </w:r>
          </w:p>
        </w:tc>
        <w:tc>
          <w:tcPr>
            <w:tcW w:type="dxa" w:w="234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center"/>
            </w:pPr>
            <w:r>
              <w:rPr>
                <w:rFonts w:ascii="Arial" w:cs="Arial" w:eastAsia="Arial" w:hAnsi="Arial"/>
                <w:color w:val="2C2C2C"/>
                <w:sz w:val="20"/>
                <w:szCs w:val="20"/>
              </w:rPr>
              <w:t xml:space="preserve">$725,458</w:t>
            </w:r>
          </w:p>
        </w:tc>
        <w:tc>
          <w:tcPr>
            <w:tcW w:type="dxa" w:w="234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center"/>
            </w:pPr>
            <w:r>
              <w:rPr>
                <w:rFonts w:ascii="Arial" w:cs="Arial" w:eastAsia="Arial" w:hAnsi="Arial"/>
                <w:color w:val="2C2C2C"/>
                <w:sz w:val="20"/>
                <w:szCs w:val="20"/>
              </w:rPr>
              <w:t xml:space="preserve">$108,418</w:t>
            </w:r>
          </w:p>
        </w:tc>
        <w:tc>
          <w:tcPr>
            <w:tcW w:type="dxa" w:w="234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center"/>
            </w:pPr>
            <w:r>
              <w:rPr>
                <w:rFonts w:ascii="Arial" w:cs="Arial" w:eastAsia="Arial" w:hAnsi="Arial"/>
                <w:color w:val="2C2C2C"/>
                <w:sz w:val="20"/>
                <w:szCs w:val="20"/>
              </w:rPr>
              <w:t xml:space="preserve">14.9%</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East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$678,781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$91,523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13.5%</w:t>
            </w:r>
          </w:p>
        </w:tc>
      </w:tr>
      <w:tr>
        <w:tc>
          <w:tcPr>
            <w:tcW w:type="dxa" w:w="234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color w:val="2C2C2C"/>
                <w:sz w:val="20"/>
                <w:szCs w:val="20"/>
              </w:rPr>
              <w:t xml:space="preserve">Central</w:t>
            </w:r>
          </w:p>
        </w:tc>
        <w:tc>
          <w:tcPr>
            <w:tcW w:type="dxa" w:w="234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center"/>
            </w:pPr>
            <w:r>
              <w:rPr>
                <w:rFonts w:ascii="Arial" w:cs="Arial" w:eastAsia="Arial" w:hAnsi="Arial"/>
                <w:color w:val="2C2C2C"/>
                <w:sz w:val="20"/>
                <w:szCs w:val="20"/>
              </w:rPr>
              <w:t xml:space="preserve">$501,240</w:t>
            </w:r>
          </w:p>
        </w:tc>
        <w:tc>
          <w:tcPr>
            <w:tcW w:type="dxa" w:w="234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center"/>
            </w:pPr>
            <w:r>
              <w:rPr>
                <w:rFonts w:ascii="Arial" w:cs="Arial" w:eastAsia="Arial" w:hAnsi="Arial"/>
                <w:color w:val="2C2C2C"/>
                <w:sz w:val="20"/>
                <w:szCs w:val="20"/>
              </w:rPr>
              <w:t xml:space="preserve">$39,706</w:t>
            </w:r>
          </w:p>
        </w:tc>
        <w:tc>
          <w:tcPr>
            <w:tcW w:type="dxa" w:w="234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center"/>
            </w:pPr>
            <w:r>
              <w:rPr>
                <w:rFonts w:ascii="Arial" w:cs="Arial" w:eastAsia="Arial" w:hAnsi="Arial"/>
                <w:color w:val="2C2C2C"/>
                <w:sz w:val="20"/>
                <w:szCs w:val="20"/>
              </w:rPr>
              <w:t xml:space="preserve">7.9%</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South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$391,722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$46,749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11.9%</w:t>
            </w:r>
          </w:p>
        </w:tc>
      </w:tr>
    </w:tbl>
    <w:p>
      <w:pPr>
        <w:spacing w:after="120"/>
      </w:pPr>
      <w:r>
        <w:t xml:space="preserve"/>
      </w:r>
    </w:p>
    <w:p>
      <w:pPr>
        <w:spacing w:after="120"/>
      </w:pPr>
      <w:r>
        <w:rPr>
          <w:rFonts w:ascii="Arial" w:cs="Arial" w:eastAsia="Arial" w:hAnsi="Arial"/>
          <w:color w:val="2C2C2C"/>
          <w:sz w:val="22"/>
          <w:szCs w:val="22"/>
        </w:rPr>
        <w:t xml:space="preserve">The Central region's 7.9% margin is notably below average (12.5%). This warrants investigation into product mix, discount practices, and logistics costs in that region.</w:t>
      </w:r>
    </w:p>
    <w:p>
      <w:pPr>
        <w:spacing w:after="200"/>
      </w:pPr>
      <w:r>
        <w:t xml:space="preserve"/>
      </w:r>
    </w:p>
    <w:p>
      <w:pPr>
        <w:pStyle w:val="Heading2"/>
        <w:pBdr>
          <w:bottom w:val="single" w:color="2E75B6" w:sz="4" w:space="1"/>
        </w:pBdr>
        <w:spacing w:after="100" w:before="280"/>
      </w:pPr>
      <w:r>
        <w:rPr>
          <w:rFonts w:ascii="Arial" w:cs="Arial" w:eastAsia="Arial" w:hAnsi="Arial"/>
          <w:b/>
          <w:bCs/>
          <w:color w:val="1F4E79"/>
          <w:sz w:val="28"/>
          <w:szCs w:val="28"/>
        </w:rPr>
        <w:t xml:space="preserve">5.2 Sales &amp; Profit by Customer Segment</w:t>
      </w:r>
    </w:p>
    <w:p>
      <w:pPr>
        <w:spacing w:after="120"/>
      </w:pPr>
      <w:r>
        <w:rPr>
          <w:rFonts w:ascii="Arial" w:cs="Arial" w:eastAsia="Arial" w:hAnsi="Arial"/>
          <w:color w:val="2C2C2C"/>
          <w:sz w:val="22"/>
          <w:szCs w:val="22"/>
        </w:rPr>
        <w:t xml:space="preserve">Consumers represent the largest customer segment by both order volume and revenue. All three segments maintain healthy margins, with Home Office slightly behind.</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Segment</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Sales</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Profit</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Profit Margin</w:t>
            </w:r>
          </w:p>
        </w:tc>
      </w:tr>
      <w:tr>
        <w:tc>
          <w:tcPr>
            <w:tcW w:type="dxa" w:w="234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color w:val="2C2C2C"/>
                <w:sz w:val="20"/>
                <w:szCs w:val="20"/>
              </w:rPr>
              <w:t xml:space="preserve">Consumer</w:t>
            </w:r>
          </w:p>
        </w:tc>
        <w:tc>
          <w:tcPr>
            <w:tcW w:type="dxa" w:w="234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center"/>
            </w:pPr>
            <w:r>
              <w:rPr>
                <w:rFonts w:ascii="Arial" w:cs="Arial" w:eastAsia="Arial" w:hAnsi="Arial"/>
                <w:color w:val="2C2C2C"/>
                <w:sz w:val="20"/>
                <w:szCs w:val="20"/>
              </w:rPr>
              <w:t xml:space="preserve">$1,161,401</w:t>
            </w:r>
          </w:p>
        </w:tc>
        <w:tc>
          <w:tcPr>
            <w:tcW w:type="dxa" w:w="234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center"/>
            </w:pPr>
            <w:r>
              <w:rPr>
                <w:rFonts w:ascii="Arial" w:cs="Arial" w:eastAsia="Arial" w:hAnsi="Arial"/>
                <w:color w:val="2C2C2C"/>
                <w:sz w:val="20"/>
                <w:szCs w:val="20"/>
              </w:rPr>
              <w:t xml:space="preserve">$134,119</w:t>
            </w:r>
          </w:p>
        </w:tc>
        <w:tc>
          <w:tcPr>
            <w:tcW w:type="dxa" w:w="234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center"/>
            </w:pPr>
            <w:r>
              <w:rPr>
                <w:rFonts w:ascii="Arial" w:cs="Arial" w:eastAsia="Arial" w:hAnsi="Arial"/>
                <w:color w:val="2C2C2C"/>
                <w:sz w:val="20"/>
                <w:szCs w:val="20"/>
              </w:rPr>
              <w:t xml:space="preserve">11.5%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Corporate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$706,146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$91,979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13.0%</w:t>
            </w:r>
          </w:p>
        </w:tc>
      </w:tr>
      <w:tr>
        <w:tc>
          <w:tcPr>
            <w:tcW w:type="dxa" w:w="234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color w:val="2C2C2C"/>
                <w:sz w:val="20"/>
                <w:szCs w:val="20"/>
              </w:rPr>
              <w:t xml:space="preserve">Home Office</w:t>
            </w:r>
          </w:p>
        </w:tc>
        <w:tc>
          <w:tcPr>
            <w:tcW w:type="dxa" w:w="234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center"/>
            </w:pPr>
            <w:r>
              <w:rPr>
                <w:rFonts w:ascii="Arial" w:cs="Arial" w:eastAsia="Arial" w:hAnsi="Arial"/>
                <w:color w:val="2C2C2C"/>
                <w:sz w:val="20"/>
                <w:szCs w:val="20"/>
              </w:rPr>
              <w:t xml:space="preserve">$429,653</w:t>
            </w:r>
          </w:p>
        </w:tc>
        <w:tc>
          <w:tcPr>
            <w:tcW w:type="dxa" w:w="234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center"/>
            </w:pPr>
            <w:r>
              <w:rPr>
                <w:rFonts w:ascii="Arial" w:cs="Arial" w:eastAsia="Arial" w:hAnsi="Arial"/>
                <w:color w:val="2C2C2C"/>
                <w:sz w:val="20"/>
                <w:szCs w:val="20"/>
              </w:rPr>
              <w:t xml:space="preserve">$60,299</w:t>
            </w:r>
          </w:p>
        </w:tc>
        <w:tc>
          <w:tcPr>
            <w:tcW w:type="dxa" w:w="234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center"/>
            </w:pPr>
            <w:r>
              <w:rPr>
                <w:rFonts w:ascii="Arial" w:cs="Arial" w:eastAsia="Arial" w:hAnsi="Arial"/>
                <w:color w:val="2C2C2C"/>
                <w:sz w:val="20"/>
                <w:szCs w:val="20"/>
              </w:rPr>
              <w:t xml:space="preserve">14.0%</w:t>
            </w:r>
          </w:p>
        </w:tc>
      </w:tr>
    </w:tbl>
    <w:p>
      <w:pPr>
        <w:spacing w:after="300"/>
      </w:pPr>
      <w:r>
        <w:t xml:space="preserve"/>
      </w:r>
    </w:p>
    <w:p>
      <w:pPr>
        <w:pStyle w:val="Heading1"/>
        <w:shd w:fill="1F4E79" w:val="clear"/>
        <w:spacing w:after="160" w:before="360"/>
        <w:ind w:left="200" w:right="200"/>
      </w:pPr>
      <w:r>
        <w:rPr>
          <w:rFonts w:ascii="Arial" w:cs="Arial" w:eastAsia="Arial" w:hAnsi="Arial"/>
          <w:b/>
          <w:bCs/>
          <w:color w:val="FFFFFF"/>
          <w:sz w:val="36"/>
          <w:szCs w:val="36"/>
        </w:rPr>
        <w:t xml:space="preserve">6. Shipping Mode Analysis</w:t>
      </w:r>
    </w:p>
    <w:p>
      <w:pPr>
        <w:spacing w:after="80"/>
      </w:pPr>
      <w:r>
        <w:t xml:space="preserve"/>
      </w:r>
    </w:p>
    <w:p>
      <w:pPr>
        <w:spacing w:after="120"/>
      </w:pPr>
      <w:r>
        <w:rPr>
          <w:rFonts w:ascii="Arial" w:cs="Arial" w:eastAsia="Arial" w:hAnsi="Arial"/>
          <w:color w:val="2C2C2C"/>
          <w:sz w:val="22"/>
          <w:szCs w:val="22"/>
        </w:rPr>
        <w:t xml:space="preserve">Four shipping modes are available. Standard Class dominates the order volume, accounting for nearly 60% of all shipments.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Ship Mode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Order Count</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of Orders</w:t>
            </w:r>
          </w:p>
        </w:tc>
      </w:tr>
      <w:tr>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color w:val="2C2C2C"/>
                <w:sz w:val="20"/>
                <w:szCs w:val="20"/>
              </w:rPr>
              <w:t xml:space="preserve">Standard Class</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center"/>
            </w:pPr>
            <w:r>
              <w:rPr>
                <w:rFonts w:ascii="Arial" w:cs="Arial" w:eastAsia="Arial" w:hAnsi="Arial"/>
                <w:color w:val="2C2C2C"/>
                <w:sz w:val="20"/>
                <w:szCs w:val="20"/>
              </w:rPr>
              <w:t xml:space="preserve">5,968</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center"/>
            </w:pPr>
            <w:r>
              <w:rPr>
                <w:rFonts w:ascii="Arial" w:cs="Arial" w:eastAsia="Arial" w:hAnsi="Arial"/>
                <w:color w:val="2C2C2C"/>
                <w:sz w:val="20"/>
                <w:szCs w:val="20"/>
              </w:rPr>
              <w:t xml:space="preserve">59.7%</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Second Class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1,945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19.5%</w:t>
            </w:r>
          </w:p>
        </w:tc>
      </w:tr>
      <w:tr>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color w:val="2C2C2C"/>
                <w:sz w:val="20"/>
                <w:szCs w:val="20"/>
              </w:rPr>
              <w:t xml:space="preserve">First Class</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center"/>
            </w:pPr>
            <w:r>
              <w:rPr>
                <w:rFonts w:ascii="Arial" w:cs="Arial" w:eastAsia="Arial" w:hAnsi="Arial"/>
                <w:color w:val="2C2C2C"/>
                <w:sz w:val="20"/>
                <w:szCs w:val="20"/>
              </w:rPr>
              <w:t xml:space="preserve">1,538</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center"/>
            </w:pPr>
            <w:r>
              <w:rPr>
                <w:rFonts w:ascii="Arial" w:cs="Arial" w:eastAsia="Arial" w:hAnsi="Arial"/>
                <w:color w:val="2C2C2C"/>
                <w:sz w:val="20"/>
                <w:szCs w:val="20"/>
              </w:rPr>
              <w:t xml:space="preserve">15.4%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Same Day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543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5.4%</w:t>
            </w:r>
          </w:p>
        </w:tc>
      </w:tr>
    </w:tbl>
    <w:p>
      <w:pPr>
        <w:spacing w:after="120"/>
      </w:pPr>
      <w:r>
        <w:t xml:space="preserve"/>
      </w:r>
    </w:p>
    <w:p>
      <w:pPr>
        <w:spacing w:after="120"/>
      </w:pPr>
      <w:r>
        <w:rPr>
          <w:rFonts w:ascii="Arial" w:cs="Arial" w:eastAsia="Arial" w:hAnsi="Arial"/>
          <w:color w:val="2C2C2C"/>
          <w:sz w:val="22"/>
          <w:szCs w:val="22"/>
        </w:rPr>
        <w:t xml:space="preserve">Same Day shipping, while the least used, represents a premium tier that may carry a higher cost-to-serve. Its impact on profitability at the segment and category level would be worth examining in future analyses.</w:t>
      </w:r>
    </w:p>
    <w:p>
      <w:pPr>
        <w:spacing w:after="300"/>
      </w:pPr>
      <w:r>
        <w:t xml:space="preserve"/>
      </w:r>
    </w:p>
    <w:p>
      <w:r>
        <w:br w:type="page"/>
      </w:r>
    </w:p>
    <w:p>
      <w:pPr>
        <w:pStyle w:val="Heading1"/>
        <w:shd w:fill="1F4E79" w:val="clear"/>
        <w:spacing w:after="160" w:before="360"/>
        <w:ind w:left="200" w:right="200"/>
      </w:pPr>
      <w:r>
        <w:rPr>
          <w:rFonts w:ascii="Arial" w:cs="Arial" w:eastAsia="Arial" w:hAnsi="Arial"/>
          <w:b/>
          <w:bCs/>
          <w:color w:val="FFFFFF"/>
          <w:sz w:val="36"/>
          <w:szCs w:val="36"/>
        </w:rPr>
        <w:t xml:space="preserve">7. Power BI Dashboard</w:t>
      </w:r>
    </w:p>
    <w:p>
      <w:pPr>
        <w:spacing w:after="80"/>
      </w:pPr>
      <w:r>
        <w:t xml:space="preserve"/>
      </w:r>
    </w:p>
    <w:p>
      <w:pPr>
        <w:spacing w:after="120"/>
      </w:pPr>
      <w:r>
        <w:rPr>
          <w:rFonts w:ascii="Arial" w:cs="Arial" w:eastAsia="Arial" w:hAnsi="Arial"/>
          <w:color w:val="2C2C2C"/>
          <w:sz w:val="22"/>
          <w:szCs w:val="22"/>
        </w:rPr>
        <w:t xml:space="preserve">The SuperStores_Dashboard.pbix file translates the cleaned dataset into an interactive business intelligence report. The dashboard was built directly on top of SuperStores_cleaned.xlsx and takes advantage of the two derived columns (Order Year and Order Month) for dynamic filtering.</w:t>
      </w:r>
    </w:p>
    <w:p>
      <w:pPr>
        <w:spacing w:after="100"/>
      </w:pPr>
      <w:r>
        <w:t xml:space="preserve"/>
      </w:r>
    </w:p>
    <w:p>
      <w:pPr>
        <w:pStyle w:val="Heading2"/>
        <w:pBdr>
          <w:bottom w:val="single" w:color="2E75B6" w:sz="4" w:space="1"/>
        </w:pBdr>
        <w:spacing w:after="100" w:before="280"/>
      </w:pPr>
      <w:r>
        <w:rPr>
          <w:rFonts w:ascii="Arial" w:cs="Arial" w:eastAsia="Arial" w:hAnsi="Arial"/>
          <w:b/>
          <w:bCs/>
          <w:color w:val="1F4E79"/>
          <w:sz w:val="28"/>
          <w:szCs w:val="28"/>
        </w:rPr>
        <w:t xml:space="preserve">7.1 Dashboard Components</w:t>
      </w:r>
    </w:p>
    <w:p>
      <w:pPr>
        <w:spacing w:after="120"/>
      </w:pPr>
      <w:r>
        <w:rPr>
          <w:rFonts w:ascii="Arial" w:cs="Arial" w:eastAsia="Arial" w:hAnsi="Arial"/>
          <w:color w:val="2C2C2C"/>
          <w:sz w:val="22"/>
          <w:szCs w:val="22"/>
        </w:rPr>
        <w:t xml:space="preserve">The dashboard is designed to enable stakeholders to explore performance across multiple dimensions without requiring any technical skills. Key components include:</w:t>
      </w:r>
    </w:p>
    <w:p>
      <w:pPr>
        <w:pStyle w:val="ListParagraph"/>
        <w:numPr>
          <w:ilvl w:val="0"/>
          <w:numId w:val="2"/>
        </w:numPr>
        <w:spacing w:after="80"/>
      </w:pPr>
      <w:r>
        <w:rPr>
          <w:rFonts w:ascii="Arial" w:cs="Arial" w:eastAsia="Arial" w:hAnsi="Arial"/>
          <w:color w:val="2C2C2C"/>
          <w:sz w:val="22"/>
          <w:szCs w:val="22"/>
        </w:rPr>
        <w:t xml:space="preserve">KPI Cards — Total Sales, Total Profit, Profit Margin, and Order Count at a glance</w:t>
      </w:r>
    </w:p>
    <w:p>
      <w:pPr>
        <w:pStyle w:val="ListParagraph"/>
        <w:numPr>
          <w:ilvl w:val="0"/>
          <w:numId w:val="2"/>
        </w:numPr>
        <w:spacing w:after="80"/>
      </w:pPr>
      <w:r>
        <w:rPr>
          <w:rFonts w:ascii="Arial" w:cs="Arial" w:eastAsia="Arial" w:hAnsi="Arial"/>
          <w:color w:val="2C2C2C"/>
          <w:sz w:val="22"/>
          <w:szCs w:val="22"/>
        </w:rPr>
        <w:t xml:space="preserve">Year-over-Year Sales Trend — Line chart using Order Year and Order Month for granular time filtering</w:t>
      </w:r>
    </w:p>
    <w:p>
      <w:pPr>
        <w:pStyle w:val="ListParagraph"/>
        <w:numPr>
          <w:ilvl w:val="0"/>
          <w:numId w:val="2"/>
        </w:numPr>
        <w:spacing w:after="80"/>
      </w:pPr>
      <w:r>
        <w:rPr>
          <w:rFonts w:ascii="Arial" w:cs="Arial" w:eastAsia="Arial" w:hAnsi="Arial"/>
          <w:color w:val="2C2C2C"/>
          <w:sz w:val="22"/>
          <w:szCs w:val="22"/>
        </w:rPr>
        <w:t xml:space="preserve">Sales by Category — Bar or pie chart comparing Furniture, Office Supplies, and Technology</w:t>
      </w:r>
    </w:p>
    <w:p>
      <w:pPr>
        <w:pStyle w:val="ListParagraph"/>
        <w:numPr>
          <w:ilvl w:val="0"/>
          <w:numId w:val="2"/>
        </w:numPr>
        <w:spacing w:after="80"/>
      </w:pPr>
      <w:r>
        <w:rPr>
          <w:rFonts w:ascii="Arial" w:cs="Arial" w:eastAsia="Arial" w:hAnsi="Arial"/>
          <w:color w:val="2C2C2C"/>
          <w:sz w:val="22"/>
          <w:szCs w:val="22"/>
        </w:rPr>
        <w:t xml:space="preserve">Profit by Sub-Category — Visual identifying loss-making sub-categories (Tables, Bookcases)</w:t>
      </w:r>
    </w:p>
    <w:p>
      <w:pPr>
        <w:pStyle w:val="ListParagraph"/>
        <w:numPr>
          <w:ilvl w:val="0"/>
          <w:numId w:val="2"/>
        </w:numPr>
        <w:spacing w:after="80"/>
      </w:pPr>
      <w:r>
        <w:rPr>
          <w:rFonts w:ascii="Arial" w:cs="Arial" w:eastAsia="Arial" w:hAnsi="Arial"/>
          <w:color w:val="2C2C2C"/>
          <w:sz w:val="22"/>
          <w:szCs w:val="22"/>
        </w:rPr>
        <w:t xml:space="preserve">Regional Performance Map — Geographic view of sales distribution across the four US regions</w:t>
      </w:r>
    </w:p>
    <w:p>
      <w:pPr>
        <w:pStyle w:val="ListParagraph"/>
        <w:numPr>
          <w:ilvl w:val="0"/>
          <w:numId w:val="2"/>
        </w:numPr>
        <w:spacing w:after="80"/>
      </w:pPr>
      <w:r>
        <w:rPr>
          <w:rFonts w:ascii="Arial" w:cs="Arial" w:eastAsia="Arial" w:hAnsi="Arial"/>
          <w:color w:val="2C2C2C"/>
          <w:sz w:val="22"/>
          <w:szCs w:val="22"/>
        </w:rPr>
        <w:t xml:space="preserve">Segment Breakdown — Customer segment comparison (Consumer, Corporate, Home Office)</w:t>
      </w:r>
    </w:p>
    <w:p>
      <w:pPr>
        <w:pStyle w:val="ListParagraph"/>
        <w:numPr>
          <w:ilvl w:val="0"/>
          <w:numId w:val="2"/>
        </w:numPr>
        <w:spacing w:after="80"/>
      </w:pPr>
      <w:r>
        <w:rPr>
          <w:rFonts w:ascii="Arial" w:cs="Arial" w:eastAsia="Arial" w:hAnsi="Arial"/>
          <w:color w:val="2C2C2C"/>
          <w:sz w:val="22"/>
          <w:szCs w:val="22"/>
        </w:rPr>
        <w:t xml:space="preserve">Ship Mode Distribution — Order volume by shipping tier</w:t>
      </w:r>
    </w:p>
    <w:p>
      <w:pPr>
        <w:pStyle w:val="ListParagraph"/>
        <w:numPr>
          <w:ilvl w:val="0"/>
          <w:numId w:val="2"/>
        </w:numPr>
        <w:spacing w:after="80"/>
      </w:pPr>
      <w:r>
        <w:rPr>
          <w:rFonts w:ascii="Arial" w:cs="Arial" w:eastAsia="Arial" w:hAnsi="Arial"/>
          <w:color w:val="2C2C2C"/>
          <w:sz w:val="22"/>
          <w:szCs w:val="22"/>
        </w:rPr>
        <w:t xml:space="preserve">Interactive Slicers — Year, Region, Segment, and Category filters for dynamic drill-down</w:t>
      </w:r>
    </w:p>
    <w:p>
      <w:pPr>
        <w:spacing w:after="100"/>
      </w:pPr>
      <w:r>
        <w:t xml:space="preserve"/>
      </w:r>
    </w:p>
    <w:p>
      <w:pPr>
        <w:pStyle w:val="Heading2"/>
        <w:pBdr>
          <w:bottom w:val="single" w:color="2E75B6" w:sz="4" w:space="1"/>
        </w:pBdr>
        <w:spacing w:after="100" w:before="280"/>
      </w:pPr>
      <w:r>
        <w:rPr>
          <w:rFonts w:ascii="Arial" w:cs="Arial" w:eastAsia="Arial" w:hAnsi="Arial"/>
          <w:b/>
          <w:bCs/>
          <w:color w:val="1F4E79"/>
          <w:sz w:val="28"/>
          <w:szCs w:val="28"/>
        </w:rPr>
        <w:t xml:space="preserve">7.2 Data Connection</w:t>
      </w:r>
    </w:p>
    <w:p>
      <w:pPr>
        <w:spacing w:after="120"/>
      </w:pPr>
      <w:r>
        <w:rPr>
          <w:rFonts w:ascii="Arial" w:cs="Arial" w:eastAsia="Arial" w:hAnsi="Arial"/>
          <w:color w:val="2C2C2C"/>
          <w:sz w:val="22"/>
          <w:szCs w:val="22"/>
        </w:rPr>
        <w:t xml:space="preserve">Power BI reads directly from the cleaned Excel file. The two engineered columns (Order Year and Order Month) eliminate the need for DAX calendar tables for basic time-intelligence, while keeping the model lightweight. All relationships are implicit, based on the flat single-table structure.</w:t>
      </w:r>
    </w:p>
    <w:p>
      <w:pPr>
        <w:spacing w:after="300"/>
      </w:pPr>
      <w:r>
        <w:t xml:space="preserve"/>
      </w:r>
    </w:p>
    <w:p>
      <w:pPr>
        <w:pStyle w:val="Heading1"/>
        <w:shd w:fill="1F4E79" w:val="clear"/>
        <w:spacing w:after="160" w:before="360"/>
        <w:ind w:left="200" w:right="200"/>
      </w:pPr>
      <w:r>
        <w:rPr>
          <w:rFonts w:ascii="Arial" w:cs="Arial" w:eastAsia="Arial" w:hAnsi="Arial"/>
          <w:b/>
          <w:bCs/>
          <w:color w:val="FFFFFF"/>
          <w:sz w:val="36"/>
          <w:szCs w:val="36"/>
        </w:rPr>
        <w:t xml:space="preserve">8. Key Insights &amp; Recommendations</w:t>
      </w:r>
    </w:p>
    <w:p>
      <w:pPr>
        <w:spacing w:after="80"/>
      </w:pPr>
      <w:r>
        <w:t xml:space="preserve"/>
      </w:r>
    </w:p>
    <w:p>
      <w:pPr>
        <w:pStyle w:val="Heading2"/>
        <w:pBdr>
          <w:bottom w:val="single" w:color="2E75B6" w:sz="4" w:space="1"/>
        </w:pBdr>
        <w:spacing w:after="100" w:before="280"/>
      </w:pPr>
      <w:r>
        <w:rPr>
          <w:rFonts w:ascii="Arial" w:cs="Arial" w:eastAsia="Arial" w:hAnsi="Arial"/>
          <w:b/>
          <w:bCs/>
          <w:color w:val="1F4E79"/>
          <w:sz w:val="28"/>
          <w:szCs w:val="28"/>
        </w:rPr>
        <w:t xml:space="preserve">8.1 Strategic Insights</w:t>
      </w:r>
    </w:p>
    <w:p>
      <w:pPr>
        <w:pStyle w:val="ListParagraph"/>
        <w:numPr>
          <w:ilvl w:val="0"/>
          <w:numId w:val="2"/>
        </w:numPr>
        <w:spacing w:after="80"/>
      </w:pPr>
      <w:r>
        <w:rPr>
          <w:rFonts w:ascii="Arial" w:cs="Arial" w:eastAsia="Arial" w:hAnsi="Arial"/>
          <w:color w:val="2C2C2C"/>
          <w:sz w:val="22"/>
          <w:szCs w:val="22"/>
        </w:rPr>
        <w:t xml:space="preserve">Technology drives profit — Despite not being the top revenue category, Technology delivers the highest profit margin (17.4%) and should be prioritized in growth strategies.</w:t>
      </w:r>
    </w:p>
    <w:p>
      <w:pPr>
        <w:pStyle w:val="ListParagraph"/>
        <w:numPr>
          <w:ilvl w:val="0"/>
          <w:numId w:val="2"/>
        </w:numPr>
        <w:spacing w:after="80"/>
      </w:pPr>
      <w:r>
        <w:rPr>
          <w:rFonts w:ascii="Arial" w:cs="Arial" w:eastAsia="Arial" w:hAnsi="Arial"/>
          <w:color w:val="2C2C2C"/>
          <w:sz w:val="22"/>
          <w:szCs w:val="22"/>
        </w:rPr>
        <w:t xml:space="preserve">Furniture margin crisis — A 2.5% margin on $742K in revenue is unsustainable. The Tables sub-category alone lost $17,725. Pricing, discounting, and supplier costs for Furniture need immediate review.</w:t>
      </w:r>
    </w:p>
    <w:p>
      <w:pPr>
        <w:pStyle w:val="ListParagraph"/>
        <w:numPr>
          <w:ilvl w:val="0"/>
          <w:numId w:val="2"/>
        </w:numPr>
        <w:spacing w:after="80"/>
      </w:pPr>
      <w:r>
        <w:rPr>
          <w:rFonts w:ascii="Arial" w:cs="Arial" w:eastAsia="Arial" w:hAnsi="Arial"/>
          <w:color w:val="2C2C2C"/>
          <w:sz w:val="22"/>
          <w:szCs w:val="22"/>
        </w:rPr>
        <w:t xml:space="preserve">Excessive discounting — The maximum observed discount is 80%, which directly drives the negative profit figures seen in Tables, Bookcases, and Binders. Discount guardrails should be established.</w:t>
      </w:r>
    </w:p>
    <w:p>
      <w:pPr>
        <w:pStyle w:val="ListParagraph"/>
        <w:numPr>
          <w:ilvl w:val="0"/>
          <w:numId w:val="2"/>
        </w:numPr>
        <w:spacing w:after="80"/>
      </w:pPr>
      <w:r>
        <w:rPr>
          <w:rFonts w:ascii="Arial" w:cs="Arial" w:eastAsia="Arial" w:hAnsi="Arial"/>
          <w:color w:val="2C2C2C"/>
          <w:sz w:val="22"/>
          <w:szCs w:val="22"/>
        </w:rPr>
        <w:t xml:space="preserve">West region outperforms — The West region consistently shows higher margins. Best practices from this region (product mix, pricing strategy) should be studied and replicated elsewhere.</w:t>
      </w:r>
    </w:p>
    <w:p>
      <w:pPr>
        <w:pStyle w:val="ListParagraph"/>
        <w:numPr>
          <w:ilvl w:val="0"/>
          <w:numId w:val="2"/>
        </w:numPr>
        <w:spacing w:after="80"/>
      </w:pPr>
      <w:r>
        <w:rPr>
          <w:rFonts w:ascii="Arial" w:cs="Arial" w:eastAsia="Arial" w:hAnsi="Arial"/>
          <w:color w:val="2C2C2C"/>
          <w:sz w:val="22"/>
          <w:szCs w:val="22"/>
        </w:rPr>
        <w:t xml:space="preserve">Central region underperforms — At 7.9% margin, the Central region is the weakest performer. A deeper regional analysis is recommended to identify root causes.</w:t>
      </w:r>
    </w:p>
    <w:p>
      <w:pPr>
        <w:pStyle w:val="ListParagraph"/>
        <w:numPr>
          <w:ilvl w:val="0"/>
          <w:numId w:val="2"/>
        </w:numPr>
        <w:spacing w:after="80"/>
      </w:pPr>
      <w:r>
        <w:rPr>
          <w:rFonts w:ascii="Arial" w:cs="Arial" w:eastAsia="Arial" w:hAnsi="Arial"/>
          <w:color w:val="2C2C2C"/>
          <w:sz w:val="22"/>
          <w:szCs w:val="22"/>
        </w:rPr>
        <w:t xml:space="preserve">Consumer segment is the growth engine — With $1.16M in sales, the Consumer segment is 1.6x larger than Corporate. Retention and upsell programs targeting this segment would yield the highest returns.</w:t>
      </w:r>
    </w:p>
    <w:p>
      <w:pPr>
        <w:spacing w:after="100"/>
      </w:pPr>
      <w:r>
        <w:t xml:space="preserve"/>
      </w:r>
    </w:p>
    <w:p>
      <w:pPr>
        <w:pStyle w:val="Heading2"/>
        <w:pBdr>
          <w:bottom w:val="single" w:color="2E75B6" w:sz="4" w:space="1"/>
        </w:pBdr>
        <w:spacing w:after="100" w:before="280"/>
      </w:pPr>
      <w:r>
        <w:rPr>
          <w:rFonts w:ascii="Arial" w:cs="Arial" w:eastAsia="Arial" w:hAnsi="Arial"/>
          <w:b/>
          <w:bCs/>
          <w:color w:val="1F4E79"/>
          <w:sz w:val="28"/>
          <w:szCs w:val="28"/>
        </w:rPr>
        <w:t xml:space="preserve">8.2 Recommendations</w:t>
      </w:r>
    </w:p>
    <w:p>
      <w:pPr>
        <w:pStyle w:val="ListParagraph"/>
        <w:numPr>
          <w:ilvl w:val="0"/>
          <w:numId w:val="2"/>
        </w:numPr>
        <w:spacing w:after="80"/>
      </w:pPr>
      <w:r>
        <w:rPr>
          <w:rFonts w:ascii="Arial" w:cs="Arial" w:eastAsia="Arial" w:hAnsi="Arial"/>
          <w:color w:val="2C2C2C"/>
          <w:sz w:val="22"/>
          <w:szCs w:val="22"/>
        </w:rPr>
        <w:t xml:space="preserve">Implement discount capping at 30–40% maximum across all categories to protect margins.</w:t>
      </w:r>
    </w:p>
    <w:p>
      <w:pPr>
        <w:pStyle w:val="ListParagraph"/>
        <w:numPr>
          <w:ilvl w:val="0"/>
          <w:numId w:val="2"/>
        </w:numPr>
        <w:spacing w:after="80"/>
      </w:pPr>
      <w:r>
        <w:rPr>
          <w:rFonts w:ascii="Arial" w:cs="Arial" w:eastAsia="Arial" w:hAnsi="Arial"/>
          <w:color w:val="2C2C2C"/>
          <w:sz w:val="22"/>
          <w:szCs w:val="22"/>
        </w:rPr>
        <w:t xml:space="preserve">Conduct an SKU-level profitability review for Tables and Bookcases to identify candidates for discontinuation or repricing.</w:t>
      </w:r>
    </w:p>
    <w:p>
      <w:pPr>
        <w:pStyle w:val="ListParagraph"/>
        <w:numPr>
          <w:ilvl w:val="0"/>
          <w:numId w:val="2"/>
        </w:numPr>
        <w:spacing w:after="80"/>
      </w:pPr>
      <w:r>
        <w:rPr>
          <w:rFonts w:ascii="Arial" w:cs="Arial" w:eastAsia="Arial" w:hAnsi="Arial"/>
          <w:color w:val="2C2C2C"/>
          <w:sz w:val="22"/>
          <w:szCs w:val="22"/>
        </w:rPr>
        <w:t xml:space="preserve">Use the Order Month column in Power BI to identify seasonal demand peaks and plan inventory accordingly.</w:t>
      </w:r>
    </w:p>
    <w:p>
      <w:pPr>
        <w:pStyle w:val="ListParagraph"/>
        <w:numPr>
          <w:ilvl w:val="0"/>
          <w:numId w:val="2"/>
        </w:numPr>
        <w:spacing w:after="80"/>
      </w:pPr>
      <w:r>
        <w:rPr>
          <w:rFonts w:ascii="Arial" w:cs="Arial" w:eastAsia="Arial" w:hAnsi="Arial"/>
          <w:color w:val="2C2C2C"/>
          <w:sz w:val="22"/>
          <w:szCs w:val="22"/>
        </w:rPr>
        <w:t xml:space="preserve">Extend the dashboard with a customer lifetime value (CLV) metric to guide marketing spend allocation across segments.</w:t>
      </w:r>
    </w:p>
    <w:p>
      <w:pPr>
        <w:pStyle w:val="ListParagraph"/>
        <w:numPr>
          <w:ilvl w:val="0"/>
          <w:numId w:val="2"/>
        </w:numPr>
        <w:spacing w:after="80"/>
      </w:pPr>
      <w:r>
        <w:rPr>
          <w:rFonts w:ascii="Arial" w:cs="Arial" w:eastAsia="Arial" w:hAnsi="Arial"/>
          <w:color w:val="2C2C2C"/>
          <w:sz w:val="22"/>
          <w:szCs w:val="22"/>
        </w:rPr>
        <w:t xml:space="preserve">Consider adding a returns/refunds column in future data collections to get a cleaner picture of true profitability.</w:t>
      </w:r>
    </w:p>
    <w:p>
      <w:pPr>
        <w:spacing w:after="300"/>
      </w:pPr>
      <w:r>
        <w:t xml:space="preserve"/>
      </w:r>
    </w:p>
    <w:p>
      <w:r>
        <w:br w:type="page"/>
      </w:r>
    </w:p>
    <w:p>
      <w:pPr>
        <w:pStyle w:val="Heading1"/>
        <w:shd w:fill="1F4E79" w:val="clear"/>
        <w:spacing w:after="160" w:before="360"/>
        <w:ind w:left="200" w:right="200"/>
      </w:pPr>
      <w:r>
        <w:rPr>
          <w:rFonts w:ascii="Arial" w:cs="Arial" w:eastAsia="Arial" w:hAnsi="Arial"/>
          <w:b/>
          <w:bCs/>
          <w:color w:val="FFFFFF"/>
          <w:sz w:val="36"/>
          <w:szCs w:val="36"/>
        </w:rPr>
        <w:t xml:space="preserve">9. Project Summary</w:t>
      </w:r>
    </w:p>
    <w:p>
      <w:pPr>
        <w:spacing w:after="80"/>
      </w:pPr>
      <w:r>
        <w:t xml:space="preserve"/>
      </w:r>
    </w:p>
    <w:p>
      <w:pPr>
        <w:spacing w:after="120"/>
      </w:pPr>
      <w:r>
        <w:rPr>
          <w:rFonts w:ascii="Arial" w:cs="Arial" w:eastAsia="Arial" w:hAnsi="Arial"/>
          <w:color w:val="2C2C2C"/>
          <w:sz w:val="22"/>
          <w:szCs w:val="22"/>
        </w:rPr>
        <w:t xml:space="preserve">The following table summarizes all deliverables produced during this project:</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Deliverable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Tool</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color w:val="2C2C2C"/>
                <w:sz w:val="20"/>
                <w:szCs w:val="20"/>
              </w:rPr>
              <w:t xml:space="preserve">SuperStore.ipynb</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center"/>
            </w:pPr>
            <w:r>
              <w:rPr>
                <w:rFonts w:ascii="Arial" w:cs="Arial" w:eastAsia="Arial" w:hAnsi="Arial"/>
                <w:color w:val="2C2C2C"/>
                <w:sz w:val="20"/>
                <w:szCs w:val="20"/>
              </w:rPr>
              <w:t xml:space="preserve">Python / Jupyter</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center"/>
            </w:pPr>
            <w:r>
              <w:rPr>
                <w:rFonts w:ascii="Arial" w:cs="Arial" w:eastAsia="Arial" w:hAnsi="Arial"/>
                <w:color w:val="2C2C2C"/>
                <w:sz w:val="20"/>
                <w:szCs w:val="20"/>
              </w:rPr>
              <w:t xml:space="preserve">End-to-end preprocessing notebook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SuperStores_cleaned.xlsx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Python / pandas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Cleaned, enriched dataset (9,994 rows, 23 cols)</w:t>
            </w:r>
          </w:p>
        </w:tc>
      </w:tr>
      <w:tr>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color w:val="2C2C2C"/>
                <w:sz w:val="20"/>
                <w:szCs w:val="20"/>
              </w:rPr>
              <w:t xml:space="preserve">SuperStores_Dashboard.pbix</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center"/>
            </w:pPr>
            <w:r>
              <w:rPr>
                <w:rFonts w:ascii="Arial" w:cs="Arial" w:eastAsia="Arial" w:hAnsi="Arial"/>
                <w:color w:val="2C2C2C"/>
                <w:sz w:val="20"/>
                <w:szCs w:val="20"/>
              </w:rPr>
              <w:t xml:space="preserve">Microsoft Power BI</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center"/>
            </w:pPr>
            <w:r>
              <w:rPr>
                <w:rFonts w:ascii="Arial" w:cs="Arial" w:eastAsia="Arial" w:hAnsi="Arial"/>
                <w:color w:val="2C2C2C"/>
                <w:sz w:val="20"/>
                <w:szCs w:val="20"/>
              </w:rPr>
              <w:t xml:space="preserve">Interactive sales &amp; profit dashboard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Analysis Report (this document)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Documentation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Full write-up of methodology and findings</w:t>
            </w:r>
          </w:p>
        </w:tc>
      </w:tr>
    </w:tbl>
    <w:p>
      <w:pPr>
        <w:spacing w:after="200"/>
      </w:pPr>
      <w:r>
        <w:t xml:space="preserve"/>
      </w:r>
    </w:p>
    <w:p>
      <w:pPr>
        <w:spacing w:after="120"/>
      </w:pPr>
      <w:r>
        <w:rPr>
          <w:rFonts w:ascii="Arial" w:cs="Arial" w:eastAsia="Arial" w:hAnsi="Arial"/>
          <w:color w:val="2C2C2C"/>
          <w:sz w:val="22"/>
          <w:szCs w:val="22"/>
        </w:rPr>
        <w:t xml:space="preserve">This project demonstrates a complete data analytics workflow — from raw data ingestion and cleaning in Python, through feature engineering, to an interactive Power BI dashboard. The insights derived from the SuperStore dataset provide actionable intelligence for improving pricing strategy, regional performance, and product portfolio management.</w:t>
      </w:r>
    </w:p>
    <w:p>
      <w:pPr>
        <w:spacing w:after="400"/>
      </w:pPr>
      <w:r>
        <w:t xml:space="preserve"/>
      </w:r>
    </w:p>
    <w:p>
      <w:pPr>
        <w:pBdr>
          <w:top w:val="single" w:color="2E75B6" w:sz="4" w:space="1"/>
        </w:pBdr>
        <w:spacing w:before="120"/>
        <w:jc w:val="center"/>
      </w:pPr>
      <w:r>
        <w:rPr>
          <w:rFonts w:ascii="Arial" w:cs="Arial" w:eastAsia="Arial" w:hAnsi="Arial"/>
          <w:i/>
          <w:iCs/>
          <w:color w:val="888888"/>
          <w:sz w:val="20"/>
          <w:szCs w:val="20"/>
        </w:rPr>
        <w:t xml:space="preserve">— End of Report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i/>
        <w:iCs/>
        <w:color w:val="888888"/>
        <w:sz w:val="18"/>
        <w:szCs w:val="18"/>
      </w:rPr>
      <w:t xml:space="preserve">SuperStore Sales Analysis Report  |  2017–2020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2026-05-11T19:50:28.457Z</dcterms:created>
  <dcterms:modified xsi:type="dcterms:W3CDTF">2026-05-11T19:50:28.457Z</dcterms:modified>
</cp:coreProperties>
</file>

<file path=docProps/custom.xml><?xml version="1.0" encoding="utf-8"?>
<Properties xmlns="http://schemas.openxmlformats.org/officeDocument/2006/custom-properties" xmlns:vt="http://schemas.openxmlformats.org/officeDocument/2006/docPropsVTypes"/>
</file>