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35" w:rsidRPr="005805D6" w:rsidRDefault="00051735" w:rsidP="00051735">
      <w:pPr>
        <w:widowControl w:val="0"/>
        <w:autoSpaceDE w:val="0"/>
        <w:autoSpaceDN w:val="0"/>
        <w:adjustRightInd w:val="0"/>
        <w:spacing w:line="240" w:lineRule="atLeast"/>
        <w:rPr>
          <w:rFonts w:ascii="Times New Roman" w:hAnsi="Times New Roman" w:cs="Times New Roman"/>
          <w:b/>
          <w:color w:val="202124"/>
          <w:sz w:val="24"/>
          <w:szCs w:val="24"/>
        </w:rPr>
      </w:pPr>
      <w:r w:rsidRPr="005805D6">
        <w:rPr>
          <w:rFonts w:ascii="Times New Roman" w:hAnsi="Times New Roman" w:cs="Times New Roman"/>
          <w:b/>
          <w:color w:val="202124"/>
          <w:sz w:val="24"/>
          <w:szCs w:val="24"/>
        </w:rPr>
        <w:t>Nama : Adhani Mulianti</w:t>
      </w:r>
    </w:p>
    <w:p w:rsidR="00051735" w:rsidRPr="005805D6" w:rsidRDefault="00051735" w:rsidP="00051735">
      <w:pPr>
        <w:widowControl w:val="0"/>
        <w:autoSpaceDE w:val="0"/>
        <w:autoSpaceDN w:val="0"/>
        <w:adjustRightInd w:val="0"/>
        <w:spacing w:line="240" w:lineRule="atLeast"/>
        <w:rPr>
          <w:rFonts w:ascii="Times New Roman" w:hAnsi="Times New Roman" w:cs="Times New Roman"/>
          <w:b/>
          <w:color w:val="202124"/>
          <w:sz w:val="24"/>
          <w:szCs w:val="24"/>
        </w:rPr>
      </w:pPr>
      <w:r w:rsidRPr="005805D6">
        <w:rPr>
          <w:rFonts w:ascii="Times New Roman" w:hAnsi="Times New Roman" w:cs="Times New Roman"/>
          <w:b/>
          <w:color w:val="202124"/>
          <w:sz w:val="24"/>
          <w:szCs w:val="24"/>
        </w:rPr>
        <w:t>NIM : 3411201085</w:t>
      </w:r>
    </w:p>
    <w:p w:rsidR="00051735" w:rsidRPr="005805D6" w:rsidRDefault="00051735" w:rsidP="00051735">
      <w:pPr>
        <w:widowControl w:val="0"/>
        <w:autoSpaceDE w:val="0"/>
        <w:autoSpaceDN w:val="0"/>
        <w:adjustRightInd w:val="0"/>
        <w:spacing w:line="240" w:lineRule="atLeast"/>
        <w:rPr>
          <w:rFonts w:ascii="Times New Roman" w:hAnsi="Times New Roman" w:cs="Times New Roman"/>
          <w:b/>
          <w:color w:val="202124"/>
          <w:sz w:val="24"/>
          <w:szCs w:val="24"/>
        </w:rPr>
      </w:pPr>
      <w:r w:rsidRPr="005805D6">
        <w:rPr>
          <w:rFonts w:ascii="Times New Roman" w:hAnsi="Times New Roman" w:cs="Times New Roman"/>
          <w:b/>
          <w:color w:val="202124"/>
          <w:sz w:val="24"/>
          <w:szCs w:val="24"/>
        </w:rPr>
        <w:t>Kelas : C</w:t>
      </w:r>
      <w:bookmarkStart w:id="0" w:name="_GoBack"/>
      <w:bookmarkEnd w:id="0"/>
    </w:p>
    <w:p w:rsidR="00D9231D" w:rsidRPr="005805D6" w:rsidRDefault="00051735" w:rsidP="00D9231D">
      <w:pPr>
        <w:widowControl w:val="0"/>
        <w:autoSpaceDE w:val="0"/>
        <w:autoSpaceDN w:val="0"/>
        <w:adjustRightInd w:val="0"/>
        <w:spacing w:line="240" w:lineRule="atLeast"/>
        <w:jc w:val="center"/>
        <w:rPr>
          <w:rFonts w:ascii="Times New Roman" w:hAnsi="Times New Roman" w:cs="Times New Roman"/>
          <w:b/>
          <w:sz w:val="32"/>
          <w:szCs w:val="32"/>
        </w:rPr>
      </w:pPr>
      <w:r w:rsidRPr="005805D6">
        <w:rPr>
          <w:rFonts w:ascii="Times New Roman" w:hAnsi="Times New Roman" w:cs="Times New Roman"/>
          <w:b/>
          <w:sz w:val="32"/>
          <w:szCs w:val="32"/>
        </w:rPr>
        <w:t>Achievements in the Life Sciences</w:t>
      </w:r>
    </w:p>
    <w:p w:rsidR="00051735" w:rsidRPr="005805D6" w:rsidRDefault="00051735" w:rsidP="00051735">
      <w:pPr>
        <w:pStyle w:val="ListParagraph"/>
        <w:widowControl w:val="0"/>
        <w:numPr>
          <w:ilvl w:val="0"/>
          <w:numId w:val="3"/>
        </w:numPr>
        <w:autoSpaceDE w:val="0"/>
        <w:autoSpaceDN w:val="0"/>
        <w:adjustRightInd w:val="0"/>
        <w:spacing w:line="240" w:lineRule="atLeast"/>
        <w:rPr>
          <w:rFonts w:ascii="Times New Roman" w:hAnsi="Times New Roman" w:cs="Times New Roman"/>
          <w:b/>
        </w:rPr>
      </w:pPr>
      <w:r w:rsidRPr="005805D6">
        <w:rPr>
          <w:rFonts w:ascii="Times New Roman" w:eastAsia="Times New Roman" w:hAnsi="Times New Roman" w:cs="Times New Roman"/>
          <w:b/>
          <w:color w:val="202124"/>
          <w:lang w:eastAsia="id-ID"/>
        </w:rPr>
        <w:t>Kloning Molekuler dan Pemodelan Homologi Novel Tyrosylprotein Sulfotransferase dari Moluska Laut</w:t>
      </w:r>
    </w:p>
    <w:p w:rsidR="00051735" w:rsidRPr="005805D6" w:rsidRDefault="00051735" w:rsidP="00EB4A09">
      <w:pPr>
        <w:pStyle w:val="ListParagraph"/>
        <w:widowControl w:val="0"/>
        <w:autoSpaceDE w:val="0"/>
        <w:autoSpaceDN w:val="0"/>
        <w:adjustRightInd w:val="0"/>
        <w:spacing w:line="240" w:lineRule="atLeast"/>
        <w:rPr>
          <w:rFonts w:ascii="Times New Roman" w:hAnsi="Times New Roman" w:cs="Times New Roman"/>
          <w:b/>
        </w:rPr>
      </w:pPr>
      <w:r w:rsidRPr="005805D6">
        <w:rPr>
          <w:rFonts w:ascii="Times New Roman" w:hAnsi="Times New Roman" w:cs="Times New Roman"/>
          <w:color w:val="202124"/>
        </w:rPr>
        <w:t xml:space="preserve">Tyrosylprotein sulfotransferase TPST Modifikasi pasca-translasi Moluska laut Littorina sitkana Pemodelan homologi. Gen tyrosylprotein sulfotransferase yang ditemukan pada mamalia telah banyak ditemukan pada moluska laut Littorina sitkana. Konservasi yang tinggi dari gen ini menunjukkan pentingnya fungsional TPST dalam metabolisme dunia kehidupan. </w:t>
      </w:r>
      <w:r w:rsidRPr="005805D6">
        <w:rPr>
          <w:rFonts w:ascii="Times New Roman" w:hAnsi="Times New Roman" w:cs="Times New Roman"/>
          <w:color w:val="202124"/>
        </w:rPr>
        <w:fldChar w:fldCharType="begin" w:fldLock="1"/>
      </w:r>
      <w:r w:rsidR="00EB4A09" w:rsidRPr="005805D6">
        <w:rPr>
          <w:rFonts w:ascii="Times New Roman" w:hAnsi="Times New Roman" w:cs="Times New Roman"/>
          <w:color w:val="202124"/>
        </w:rPr>
        <w:instrText>ADDIN CSL_CITATION {"citationItems":[{"id":"ITEM-1","itemData":{"DOI":"10.1016/j.als.2016.06.001","ISSN":"20781520","abstract":"The gene of tyrosylprotein sulfotransferase, which was discovered in mammals, has been widely found in marine mollusk Littorina sitkana. High conservation of this gene indicates the functional importance of TPST in the metabolism of the living world. The cDNA encoding TPST in the mollusk was cloned and sequenced, and the enzyme was assigned on the basis of amino acid sequence similarity as tyrosylprotein sulfotransferase-2 (TPST-2). The putative homology model for the catalytic domain of TPST from L. sitkana was constructed according to crystal structure of the catalytic domain of the human TPST-2. The putative model of dimer structure showed that the active site involved two monomers and the dimer contains two active centers.","author":[{"dropping-particle":"","family":"Avtushenko","given":"Maria S.","non-dropping-particle":"","parse-names":false,"suffix":""},{"dropping-particle":"","family":"Kovalchuk","given":"Svetlana N.","non-dropping-particle":"","parse-names":false,"suffix":""},{"dropping-particle":"","family":"Likhatskaya","given":"Galina N.","non-dropping-particle":"","parse-names":false,"suffix":""},{"dropping-particle":"","family":"Zvyagintseva","given":"Tatyana N.","non-dropping-particle":"","parse-names":false,"suffix":""},{"dropping-particle":"","family":"Haertlé","given":"Thomas","non-dropping-particle":"","parse-names":false,"suffix":""}],"container-title":"Achievements in the Life Sciences","id":"ITEM-1","issue":"1","issued":{"date-parts":[["2016"]]},"page":"118-124","publisher":"Far Eastern Federal University","title":"Molecular Cloning and Homology Modeling of Novel Tyrosylprotein Sulfotransferase of Marine Mollusk","type":"article-journal","volume":"10"},"uris":["http://www.mendeley.com/documents/?uuid=975bcebf-154d-4c73-a5f6-573a55347528"]}],"mendeley":{"formattedCitation":"(Avtushenko &lt;i&gt;et al.&lt;/i&gt;, 2016)","plainTextFormattedCitation":"(Avtushenko et al., 2016)","previouslyFormattedCitation":"(Avtushenko &lt;i&gt;et al.&lt;/i&gt;, 2016)"},"properties":{"noteIndex":0},"schema":"https://github.com/citation-style-language/schema/raw/master/csl-citation.json"}</w:instrText>
      </w:r>
      <w:r w:rsidRPr="005805D6">
        <w:rPr>
          <w:rFonts w:ascii="Times New Roman" w:hAnsi="Times New Roman" w:cs="Times New Roman"/>
          <w:color w:val="202124"/>
        </w:rPr>
        <w:fldChar w:fldCharType="separate"/>
      </w:r>
      <w:r w:rsidRPr="005805D6">
        <w:rPr>
          <w:rFonts w:ascii="Times New Roman" w:hAnsi="Times New Roman" w:cs="Times New Roman"/>
          <w:noProof/>
          <w:color w:val="202124"/>
        </w:rPr>
        <w:t xml:space="preserve">(Avtushenko </w:t>
      </w:r>
      <w:r w:rsidRPr="005805D6">
        <w:rPr>
          <w:rFonts w:ascii="Times New Roman" w:hAnsi="Times New Roman" w:cs="Times New Roman"/>
          <w:i/>
          <w:noProof/>
          <w:color w:val="202124"/>
        </w:rPr>
        <w:t>et al.</w:t>
      </w:r>
      <w:r w:rsidRPr="005805D6">
        <w:rPr>
          <w:rFonts w:ascii="Times New Roman" w:hAnsi="Times New Roman" w:cs="Times New Roman"/>
          <w:noProof/>
          <w:color w:val="202124"/>
        </w:rPr>
        <w:t>, 2016)</w:t>
      </w:r>
      <w:r w:rsidRPr="005805D6">
        <w:rPr>
          <w:rFonts w:ascii="Times New Roman" w:hAnsi="Times New Roman" w:cs="Times New Roman"/>
          <w:color w:val="202124"/>
        </w:rPr>
        <w:fldChar w:fldCharType="end"/>
      </w:r>
    </w:p>
    <w:p w:rsidR="005805D6" w:rsidRDefault="005805D6" w:rsidP="005805D6">
      <w:pPr>
        <w:pStyle w:val="ListParagraph"/>
        <w:numPr>
          <w:ilvl w:val="0"/>
          <w:numId w:val="3"/>
        </w:numPr>
        <w:rPr>
          <w:rFonts w:ascii="Times New Roman" w:hAnsi="Times New Roman" w:cs="Times New Roman"/>
          <w:b/>
          <w:color w:val="202124"/>
        </w:rPr>
      </w:pPr>
      <w:r w:rsidRPr="005805D6">
        <w:rPr>
          <w:rFonts w:ascii="Times New Roman" w:hAnsi="Times New Roman" w:cs="Times New Roman"/>
          <w:b/>
          <w:color w:val="202124"/>
        </w:rPr>
        <w:t>Kontaminasi Arsenik dan Kadmium dalam Air, Sedimen, dan Ikan Akibat Budidaya Padi: Bukti Pencemaran Sungai di Sri Lanka</w:t>
      </w:r>
      <w:r>
        <w:rPr>
          <w:rFonts w:ascii="Times New Roman" w:hAnsi="Times New Roman" w:cs="Times New Roman"/>
          <w:b/>
          <w:color w:val="202124"/>
        </w:rPr>
        <w:t xml:space="preserve"> </w:t>
      </w:r>
      <w:r w:rsidRPr="005805D6">
        <w:rPr>
          <w:rFonts w:ascii="Times New Roman" w:hAnsi="Times New Roman" w:cs="Times New Roman"/>
          <w:b/>
          <w:color w:val="202124"/>
        </w:rPr>
        <w:t>PA</w:t>
      </w:r>
    </w:p>
    <w:p w:rsidR="00051735" w:rsidRPr="005805D6" w:rsidRDefault="00EB4A09" w:rsidP="005805D6">
      <w:pPr>
        <w:pStyle w:val="ListParagraph"/>
        <w:rPr>
          <w:rFonts w:ascii="Times New Roman" w:hAnsi="Times New Roman" w:cs="Times New Roman"/>
          <w:b/>
          <w:color w:val="202124"/>
        </w:rPr>
      </w:pPr>
      <w:r w:rsidRPr="005805D6">
        <w:rPr>
          <w:rFonts w:ascii="Times New Roman" w:hAnsi="Times New Roman" w:cs="Times New Roman"/>
          <w:color w:val="202124"/>
          <w:sz w:val="20"/>
          <w:szCs w:val="20"/>
        </w:rPr>
        <w:t>Sedimen dan Ikan adalah Konsekuensi Budidaya Padi: Bukti Polusi Sungai di Sri Lanka</w:t>
      </w:r>
      <w:r w:rsidRPr="005805D6">
        <w:rPr>
          <w:rFonts w:ascii="Times New Roman" w:hAnsi="Times New Roman" w:cs="Times New Roman"/>
          <w:b/>
          <w:color w:val="202124"/>
          <w:sz w:val="20"/>
          <w:szCs w:val="20"/>
        </w:rPr>
        <w:t xml:space="preserve">, </w:t>
      </w:r>
      <w:r w:rsidRPr="005805D6">
        <w:rPr>
          <w:rFonts w:ascii="Times New Roman" w:hAnsi="Times New Roman" w:cs="Times New Roman"/>
          <w:color w:val="202124"/>
          <w:sz w:val="20"/>
          <w:szCs w:val="20"/>
        </w:rPr>
        <w:t xml:space="preserve">arsenik dan kadmium konsentrasi air menunjukkan pola bimodal yang bertepatan dengan curah hujan bimodal di zona kering dan pola budidaya padi di daerah tersebut. </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{"citationItems":[{"id":"ITEM-1","itemData":{"DOI":"10.1016/j.als.2016.11.002","ISSN":"20781520","abstract":"The upper Malwathu Oya is a seasonal river. The main livelihood of people living in the immediate vicinity of the river is paddy cultivation, and chronic kidney disease is reported among them. Farmers utilize different types of agricultural chemicals in their fields expecting bumper harvests. Several agricultural chemicals have been reported to contain toxic trace elements in Sri Lanka. Therefore, arsenic and cadmium might end up in the river water. The presence of these trace elements in the river water and sediments can result in their bioaccumulation in fish tissues. The main purpose of this study was to investigate the presence of two trace elements in water and sediments, as well as in fish tissues (gills, kidney, liver and muscle) of three food fish species, Etroplus suratensis, Anabas testudineus and Channa striata during cultivating and non-cultivating seasons of the year. Further, the level of bioaccumulation of two trace elements in fish tissues in relation to the contamination level of water and sediments was assessed. Data were gathered for 43months. Arsenic and cadmium concentration in water showed a significant (P&lt;0.05) seasonal variation. Generally, the two trace elements in the river water were highest during the cultivating seasons than in other seasons. In all species, both trace elements in the gills highly depended on the concentration in the water. In all species, two trace elements in water and sediment did not significantly affect the levels in muscle tissue. Therefore, the trace element levels in the edible parts of these three fish were well below the maximum permissible levels of international institutions.","author":[{"dropping-particle":"","family":"Perera","given":"PA Chintaka T.","non-dropping-particle":"","parse-names":false,"suffix":""},{"dropping-particle":"V.","family":"Sundarabarathy","given":"Thenmoli","non-dropping-particle":"","parse-names":false,"suffix":""},{"dropping-particle":"","family":"Sivananthawerl","given":"Thavananthan","non-dropping-particle":"","parse-names":false,"suffix":""},{"dropping-particle":"","family":"Kodithuwakku","given":"Suranga P.","non-dropping-particle":"","parse-names":false,"suffix":""},{"dropping-particle":"","family":"Edirisinghe","given":"Udeni","non-dropping-particle":"","parse-names":false,"suffix":""}],"container-title":"Achievements in the Life Sciences","id":"ITEM-1","issue":"2","issued":{"date-parts":[["2016"]]},"page":"144-160","publisher":"Far Eastern Federal University","title":"Arsenic and Cadmium Contamination in Water, Sediments and Fish is a Consequence of Paddy Cultivation: Evidence of River Pollution in Sri Lanka","type":"article-journal","volume":"10"},"uris":["http://www.mendeley.com/documents/?uuid=87420ccb-d2d5-404f-9f39-f051518d364a"]}],"mendeley":{"formattedCitation":"(Perera &lt;i&gt;et al.&lt;/i&gt;, 2016)","plainTextFormattedCitation":"(Perera et al., 2016)","previouslyFormattedCitation":"(Perera &lt;i&gt;et al.&lt;/i&gt;,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 xml:space="preserve">(Perera </w:t>
      </w:r>
      <w:r w:rsidRPr="005805D6">
        <w:rPr>
          <w:rFonts w:ascii="Times New Roman" w:hAnsi="Times New Roman" w:cs="Times New Roman"/>
          <w:i/>
          <w:noProof/>
          <w:color w:val="202124"/>
          <w:sz w:val="20"/>
          <w:szCs w:val="20"/>
        </w:rPr>
        <w:t>et al.</w:t>
      </w:r>
      <w:r w:rsidRPr="005805D6">
        <w:rPr>
          <w:rFonts w:ascii="Times New Roman" w:hAnsi="Times New Roman" w:cs="Times New Roman"/>
          <w:noProof/>
          <w:color w:val="202124"/>
          <w:sz w:val="20"/>
          <w:szCs w:val="20"/>
        </w:rPr>
        <w:t>, 2016)</w:t>
      </w:r>
      <w:r w:rsidRPr="005805D6">
        <w:rPr>
          <w:rFonts w:ascii="Times New Roman" w:hAnsi="Times New Roman" w:cs="Times New Roman"/>
          <w:color w:val="202124"/>
          <w:sz w:val="20"/>
          <w:szCs w:val="20"/>
        </w:rPr>
        <w:fldChar w:fldCharType="end"/>
      </w:r>
    </w:p>
    <w:p w:rsidR="00EB4A09" w:rsidRPr="005805D6" w:rsidRDefault="00EB4A09" w:rsidP="00EB4A09">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b/>
          <w:color w:val="202124"/>
        </w:rPr>
        <w:t>Kekuatan Genggaman dan Dampaknya pada Fungsi Kognitif pada Pekerja Dapur yang Sehat</w:t>
      </w:r>
    </w:p>
    <w:p w:rsidR="00EB4A09" w:rsidRPr="005805D6" w:rsidRDefault="00EB4A09" w:rsidP="00EB4A09">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 xml:space="preserve">Kekuatan otot itu (diukur dengan kekuatan cengkeraman tangan) dikaitkan dengan peningkatan waktu reaksi. Kekuatan pegangan yang meningkat akan dikaitkan dengan pemeliharaan fungsi kognitif.  Beberapa penelitian lainnya harus mengevaluasi hubungan dua arah yang mendasari antara kekuatan genggaman dan kemampuan kognitif. </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{"citationItems":[{"id":"ITEM-1","itemData":{"DOI":"10.1016/j.als.2016.11.008","ISSN":"20781520","abstract":"BACKGROUND\nHand grip strength is often considered may predict cognitive functioning and has been established as associates of cognitive performance with individual differences in some particular cross-sectional studies. However, little is known about hand grip strength and cognitive performance in the elderly individuals, and it is not known whether changes in hand grip strength may be associated with preservation/decline in cognitive functioning. \n\nOBJECTIVES\nWe have studied the impact of hand grip strength on cognition function in healthy kitchen workers. \n\nMETHODS\nParticipants (n=90, age range: 25–40years) randomly assigned in to two groups according to their nature of work: Group I-Control group (n=47) - workers recruited for simple work such as dusting, cleaning dining tables and floor. Group II-Study group (n=43) - workers recruited for firm work such as cooking large quantity of food, kneading dough, rolling chapattis, cut and sauté the vegetables and dish washing. For the analyses, we used at dominant and non- dominant hand; hand grip strength (HGS), reaction time task, sensory disability test (SDT) and cognitive function test (CFT) among both the groups. \n\nRESULT\nWe observed that visual reaction time (VRT) and auditory reaction time (ART) were significantly improved in dominant hand of study group, when compare to control group; however it was comparable in non-dominant hand among both the groups. In addition to; among all control and study group female workers there was significant positive correlation between VRT &amp; ART and significant negative correlation between at dominant hand HGS &amp; VRT as well as between at dominant hand HGS &amp; ART. We also observed that dominant hand HGS was a significant predictor of VRT and ART and however there was no any significant variation in body mass index (BMI), sensory disability test (SDT) and cognitive function test (CFT) among both groups. \n\nCONCLUSION\nWe found that muscle strength (as measured by hand grip strength) was associated with improved reaction time. Hence by using a simple muscle strength test; is one way of obtaining useful information for the development of nerve-muscle coordination. Increased handgrip strength would be associated with preservation of cognitive function.","author":[{"dropping-particle":"","family":"Choudhary","given":"Arbind Kumar","non-dropping-particle":"","parse-names":false,"suffix":""},{"dropping-particle":"","family":"Jiwane","given":"Rekha","non-dropping-particle":"","parse-names":false,"suffix":""},{"dropping-particle":"","family":"Alam","given":"Tanwir","non-dropping-particle":"","parse-names":false,"suffix":""},{"dropping-particle":"","family":"Kishanrao","given":"Sadawarte Sahebrao","non-dropping-particle":"","parse-names":false,"suffix":""}],"container-title":"Achievements in the Life Sciences","id":"ITEM-1","issue":"2","issued":{"date-parts":[["2016"]]},"page":"168-174","publisher":"Far Eastern Federal University","title":"Grip Strength and Impact on Cognitive Function in Healthy Kitchen Workers","type":"article-journal","volume":"10"},"uris":["http://www.mendeley.com/documents/?uuid=e28137af-4157-4d69-8abe-5e4648e80237"]}],"mendeley":{"formattedCitation":"(Choudhary &lt;i&gt;et al.&lt;/i&gt;, 2016)","plainTextFormattedCitation":"(Choudhary et al., 2016)","previouslyFormattedCitation":"(Choudhary &lt;i&gt;et al.&lt;/i&gt;,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 xml:space="preserve">(Choudhary </w:t>
      </w:r>
      <w:r w:rsidRPr="005805D6">
        <w:rPr>
          <w:rFonts w:ascii="Times New Roman" w:hAnsi="Times New Roman" w:cs="Times New Roman"/>
          <w:i/>
          <w:noProof/>
          <w:color w:val="202124"/>
          <w:sz w:val="20"/>
          <w:szCs w:val="20"/>
        </w:rPr>
        <w:t>et al.</w:t>
      </w:r>
      <w:r w:rsidRPr="005805D6">
        <w:rPr>
          <w:rFonts w:ascii="Times New Roman" w:hAnsi="Times New Roman" w:cs="Times New Roman"/>
          <w:noProof/>
          <w:color w:val="202124"/>
          <w:sz w:val="20"/>
          <w:szCs w:val="20"/>
        </w:rPr>
        <w:t>, 2016)</w:t>
      </w:r>
      <w:r w:rsidRPr="005805D6">
        <w:rPr>
          <w:rFonts w:ascii="Times New Roman" w:hAnsi="Times New Roman" w:cs="Times New Roman"/>
          <w:color w:val="202124"/>
          <w:sz w:val="20"/>
          <w:szCs w:val="20"/>
        </w:rPr>
        <w:fldChar w:fldCharType="end"/>
      </w:r>
    </w:p>
    <w:p w:rsidR="00EB4A09" w:rsidRPr="005805D6" w:rsidRDefault="00EB4A09" w:rsidP="00EB4A09">
      <w:pPr>
        <w:pStyle w:val="ListParagraph"/>
        <w:widowControl w:val="0"/>
        <w:numPr>
          <w:ilvl w:val="0"/>
          <w:numId w:val="3"/>
        </w:numPr>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b/>
          <w:color w:val="202124"/>
        </w:rPr>
        <w:t>Perancah Berbasis Kitosan dan Aplikasinya dalam Penyembuhan Luka</w:t>
      </w:r>
    </w:p>
    <w:p w:rsidR="00EB4A09" w:rsidRPr="005805D6" w:rsidRDefault="00EB4A09" w:rsidP="00EB4A09">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Khasiat antimikroba, antiinflamasi dan biomedis dari kitosan,Kitosan telah terbukti menjadi biomaterial potensial untuk digunakan dalam penyembuhan luka karena sifat antimikroba dan antiinflamasinya. Penggunaan bahan penting berbasis kitosan ini bermanfaat di bidang ilmu biomedis dan farmasi.</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{"citationItems":[{"id":"ITEM-1","itemData":{"DOI":"10.1016/j.als.2016.04.001","ISSN":"20781520","abstract":"Over the last decade, much interest has been developed in biopolymer based materials due to their biocompatible, biodegradable, non-toxic and non-allergenic nature. Chitosan is a unique biopolymer that exhibits outstanding properties, besides biocompatibility and biodegradability. Most of these peculiar properties arise from the presence of primary amines along the chitosan backbone. Many works have been done to obtain chitosan based scaffolds, including surface modifications, the fabrication of chitosan based blends, chitosan based composite scaffolds, and drug-loaded scaffolds. This study provides an overview of the key features of inherent properties of chitosan, their modification, and its use in biomedical engineering particularly toward anti-inflammatory and wound healing.","author":[{"dropping-particle":"","family":"Ahmed","given":"Shakeel","non-dropping-particle":"","parse-names":false,"suffix":""},{"dropping-particle":"","family":"Ikram","given":"Saiqa","non-dropping-particle":"","parse-names":false,"suffix":""}],"container-title":"Achievements in the Life Sciences","id":"ITEM-1","issue":"1","issued":{"date-parts":[["2016"]]},"page":"27-37","publisher":"Far Eastern Federal University","title":"Chitosan Based Scaffolds and Their Applications in Wound Healing","type":"article-journal","volume":"10"},"uris":["http://www.mendeley.com/documents/?uuid=d811d836-d058-4a5f-83ef-1f90ed34aefb"]}],"mendeley":{"formattedCitation":"(Ahmed and Ikram, 2016)","plainTextFormattedCitation":"(Ahmed and Ikram, 2016)","previouslyFormattedCitation":"(Ahmed and Ikram,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(Ahmed and Ikram, 2016)</w:t>
      </w:r>
      <w:r w:rsidRPr="005805D6">
        <w:rPr>
          <w:rFonts w:ascii="Times New Roman" w:hAnsi="Times New Roman" w:cs="Times New Roman"/>
          <w:color w:val="202124"/>
          <w:sz w:val="20"/>
          <w:szCs w:val="20"/>
        </w:rPr>
        <w:fldChar w:fldCharType="end"/>
      </w:r>
    </w:p>
    <w:p w:rsidR="00EB4A09" w:rsidRPr="005805D6" w:rsidRDefault="00EB4A09" w:rsidP="00EB4A09">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b/>
          <w:color w:val="202124"/>
        </w:rPr>
        <w:t>MicroRNA Ekstraseluler / Sirkulasi: Mekanisme Pelepasan, Fungsi dan Tantangan</w:t>
      </w:r>
    </w:p>
    <w:p w:rsidR="00EB4A09" w:rsidRPr="005805D6" w:rsidRDefault="00EB4A09" w:rsidP="00EB4A09">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MicroRNA (miRNA) dimulai secara endogen, RNA non-coding kecil dan biasanya mengatur ekspresi mRNA pada tingkat pasca transkripsi baik melalui represi translasi atau degradasi mRNA.</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{"citationItems":[{"id":"ITEM-1","itemData":{"DOI":"10.1016/j.als.2016.11.007","ISSN":"20781520","abstract":"MicroRNAs (miRNAs) are endogenously initiated, small non-coding RNAs and typically regulate the expression of mRNAs in post transcriptional level either via translational repression or mRNA degradation. Aberrant expression of miRNAs is observed in diverse disease and altered physiological states. Recently, it has been revealed that miRNAs are not only present in cells but also in extracellular milieu especially in different bio-fluids including blood plasma, follicular fluid and even in cell culture media. Such extracellular miRNAs (ECmiRNAs) are remarkably stable in the extracellular harsh environment with the presence of high RNAse activity. Although the precise mechanisms of release of cellular miRNAs to extracellular environment remain largely unknown, recent studies suggest that the expression of these ECmiRNAs can be associated with patho-physiological condition of an organism. Moreover, these ECmiRNAs may deliver to the recipient cells via certain pathways where they can regulate translational activity of target genes. This review will discuss the nature and stability of ECmiRNAs along with their release mechanisms. Furthermore, based on recent evidences, it also summarizes the possible function of these ECmiRNAs in distant cell-to-cell communication and the difficulties we may face during ECmiRNA research.","author":[{"dropping-particle":"","family":"Sohel","given":"Mahmodul Hasan","non-dropping-particle":"","parse-names":false,"suffix":""}],"container-title":"Achievements in the Life Sciences","id":"ITEM-1","issue":"2","issued":{"date-parts":[["2016"]]},"page":"175-186","publisher":"Far Eastern Federal University","title":"Extracellular/Circulating MicroRNAs: Release Mechanisms, Functions and Challenges","type":"article-journal","volume":"10"},"uris":["http://www.mendeley.com/documents/?uuid=e8e84fba-cb33-4e45-aafe-823d3ef7d313"]}],"mendeley":{"formattedCitation":"(Sohel, 2016)","plainTextFormattedCitation":"(Sohel, 2016)","previouslyFormattedCitation":"(Sohel,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(Sohel, 2016)</w:t>
      </w:r>
      <w:r w:rsidRPr="005805D6">
        <w:rPr>
          <w:rFonts w:ascii="Times New Roman" w:hAnsi="Times New Roman" w:cs="Times New Roman"/>
          <w:color w:val="202124"/>
          <w:sz w:val="20"/>
          <w:szCs w:val="20"/>
        </w:rPr>
        <w:fldChar w:fldCharType="end"/>
      </w:r>
    </w:p>
    <w:p w:rsidR="00EB4A09" w:rsidRPr="005805D6" w:rsidRDefault="00EB4A09" w:rsidP="00EB4A09">
      <w:pPr>
        <w:pStyle w:val="ListParagraph"/>
        <w:widowControl w:val="0"/>
        <w:numPr>
          <w:ilvl w:val="0"/>
          <w:numId w:val="3"/>
        </w:numPr>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b/>
          <w:color w:val="202124"/>
        </w:rPr>
        <w:t>Asal Mula Penyakit Kronis Bisa di Patologi Kapiler</w:t>
      </w:r>
    </w:p>
    <w:p w:rsidR="00EB4A09" w:rsidRPr="005805D6" w:rsidRDefault="00EB4A09" w:rsidP="00EB4A09">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Etiologi dan patofisiologi penyakit dalam kronis Artikel ini menantang bahwa dua uji klinis telah menemukan asal mula penyakit prostat kronis. Jadi artikel ini menunjukkan bahwa penyebab utama untuk penyakit internal kronis yang berbeda, seperti BPH dan CP / CPPS adalah sama dan diposisikan pada tingkat mikrovaskuler.</w:t>
      </w:r>
      <w:r w:rsidRPr="005805D6">
        <w:rPr>
          <w:rFonts w:ascii="Times New Roman" w:hAnsi="Times New Roman" w:cs="Times New Roman"/>
          <w:color w:val="202124"/>
          <w:sz w:val="20"/>
          <w:szCs w:val="20"/>
        </w:rPr>
        <w:fldChar w:fldCharType="begin" w:fldLock="1"/>
      </w:r>
      <w:r w:rsidR="00D9231D" w:rsidRPr="005805D6">
        <w:rPr>
          <w:rFonts w:ascii="Times New Roman" w:hAnsi="Times New Roman" w:cs="Times New Roman"/>
          <w:color w:val="202124"/>
          <w:sz w:val="20"/>
          <w:szCs w:val="20"/>
        </w:rPr>
        <w:instrText>ADDIN CSL_CITATION {"citationItems":[{"id":"ITEM-1","itemData":{"DOI":"10.1016/j.als.2016.11.005","ISSN":"20781520","abstract":"AIM\\nEtiology and pathophysiology of chronic internal disease was unknown until last days. This article challenges that two clinical trials have discovered the origin of chronic prostate diseases. \\n\\nMETHODS\\nThe hypothesis of the chronic internal diseases cause due to pathological activity of capillaries with emerging micro-focus of hypothermia, a continuous trigger for disease development in any affected organ, was declared in the US patent “Therapeutic Device and Method”, i.e. thermobalancing therapy (TT) and therapeutic device. Two clinical trials before and 6months after TT for chronic prostatitis/chronic pelvic pain syndrome (CP/CPPS) and benign prostatic hyperplasia (BPH) with the device, namely Dr. Allen's therapeutic device (DATD) confirmed the effectiveness of TT. This device was used as mono-therapy for 124 patients with BPH and 45 men with CP/CPPS. \\n\\nRESULTS\\nCompared to controls, the TT groups showed significant improvements from baseline to endpoint. TT in men with BPH decreased urinary symptoms and PV, increased Qmax and improved quality of life index (QoL). At the same time, another clinical trial on TT in men with CP/CPPS has demonstrated decrease of pain score and PV mL, improvement of QoL and increase of Qmax mL/sec. \\n\\nCONCLUSIONS\\nThe long-term application of the source of emitted body heat with DATD, i.e. TT, to the projection of affected prostate removes “micro-focus” of hypothermia at the capillary level that improves blood circulation in the organ and its function. Thus this article shows that the underlying cause for different chronic internal diseases, such as BPH and CP/CPPS is the same and is positioned at the microvascular level. More studies with thermobalancing therapy needed.","author":[{"dropping-particle":"","family":"Allen","given":"Simon","non-dropping-particle":"","parse-names":false,"suffix":""}],"container-title":"Achievements in the Life Allen, S. (2016). The Origin of Chronic Diseases Can Be in Capillary Pathology: An Evidence From Clinical Trials on Thermobalancing Treatment of Prostate Reveals. Achievements in the Life Sciences, 10(2), 197–202. https://doi.org/","id":"ITEM-1","issue":"2","issued":{"date-parts":[["2016"]]},"page":"197-202","publisher":"Elsevier B.V.","title":"The Origin of Chronic Diseases Can Be in Capillary Pathology: An Evidence From Clinical Trials on Thermobalancing Treatment of Prostate Reveals","type":"article-journal","volume":"10"},"uris":["http://www.mendeley.com/documents/?uuid=ecd87218-30f1-44d2-8855-99a6bb901f37"]}],"mendeley":{"formattedCitation":"(Allen, 2016)","plainTextFormattedCitation":"(Allen, 2016)","previouslyFormattedCitation":"(Allen,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(Allen, 2016)</w:t>
      </w:r>
      <w:r w:rsidRPr="005805D6">
        <w:rPr>
          <w:rFonts w:ascii="Times New Roman" w:hAnsi="Times New Roman" w:cs="Times New Roman"/>
          <w:color w:val="202124"/>
          <w:sz w:val="20"/>
          <w:szCs w:val="20"/>
        </w:rPr>
        <w:fldChar w:fldCharType="end"/>
      </w:r>
    </w:p>
    <w:p w:rsidR="00D9231D" w:rsidRPr="005805D6" w:rsidRDefault="00D9231D" w:rsidP="00D9231D">
      <w:pPr>
        <w:pStyle w:val="ListParagraph"/>
        <w:widowControl w:val="0"/>
        <w:numPr>
          <w:ilvl w:val="0"/>
          <w:numId w:val="3"/>
        </w:numPr>
        <w:autoSpaceDE w:val="0"/>
        <w:autoSpaceDN w:val="0"/>
        <w:adjustRightInd w:val="0"/>
        <w:spacing w:line="240" w:lineRule="atLeast"/>
        <w:rPr>
          <w:rFonts w:ascii="Times New Roman" w:hAnsi="Times New Roman" w:cs="Times New Roman"/>
          <w:color w:val="202124"/>
          <w:sz w:val="24"/>
          <w:szCs w:val="24"/>
        </w:rPr>
      </w:pPr>
      <w:r w:rsidRPr="005805D6">
        <w:rPr>
          <w:rFonts w:ascii="Times New Roman" w:hAnsi="Times New Roman" w:cs="Times New Roman"/>
          <w:b/>
          <w:color w:val="202124"/>
        </w:rPr>
        <w:t>Asidosis Ruminal Sub-akut (SARA) dan Konsekuensinya pada Sapi Perah</w:t>
      </w:r>
    </w:p>
    <w:p w:rsidR="00EB4A09" w:rsidRPr="005805D6" w:rsidRDefault="00D9231D" w:rsidP="00D9231D">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Asidosis rumen subakut (SARA) salah satu penyakit metabolik. Sapi yang berisiko terserang SARA yaitu sapi pada awal laktasi, sapi primipara dan sapi yang merumput atau diberi pakan rumput berserat rendah yang cepat difermentasi. SARA memiliki konsekuensi yang beragam dan kompleks, penurunan asupan pakan, fluktuasi asupan pakan, penurunan pencernaan makanan, penurunan produksi susu, penurunan persentase lemak susu, kerusakan saluran cerna, dan ketimpangan.</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{"citationItems":[{"id":"ITEM-1","itemData":{"DOI":"10.1016/j.als.2016.11.006","ISSN":"20781520","abstract":"Dairy producer increase milk production by over feeding grain diets that are high in starch and low in fiber to increase intake of energy and met dietary requirements of the high yielding dairy cows. However, these diets increase the risk of subacute ruminal acidosis (SARA). Thus, maximizing milk production without incurring Sub-acute ruminal acidosis is a challenging most dairy producers. The main aims of this paper were to review available article on general aspects of Sub-acute ruminal acidosis and its consequence in dairy cattle by focusing on past and recent article and helping to update the current knowledge for early recognition and limit the associated negative impact in dairy industry. Sub-acute ruminal acidosis is a well-recognized and economically important digestive disorder found particularly in well-managed dairy cattle. It is a consequence of feeding high grain diets to dairy cows and characterized by daily episodes of low ruminal which generally occurs when ruminal pH stays in the range of 5.2 and 6 for a prolonged period resulting in depresses fiber digestion and possibly milk production. There is no typical clinical sign of illness in SARA affected cows. However, SARA is said to be associated with inflammations of different organs and tissues in dairy cows. Rumenocentesis remains the most reliable means of diagnosing SARA. The cow at risk to develop SARA includes cows in the early lactation, Primiparous cows and Cows grazing or fed with rapidly fermentable low fiber grass. SARA has long-term health and economic consequences, which include feed intake depression, fluctuations in feed intake, reduced diet digestibility, reduced milk yield, reduced milk fat percent, gastrointestinal damage, liver abscesses, and lameness. Apart from compromises to dairy cow health and economics, SARA is of concern for animal welfare reasons, since lameness and laminitis impact significantly on cow comfort and general well-being. Thus, it represents a significant concern for dairy industry and the cattle should be regularly monitored to facilitate early recognition of the condition and limit the associated economic losses.","author":[{"dropping-particle":"","family":"Abdela","given":"Nejash","non-dropping-particle":"","parse-names":false,"suffix":""}],"container-title":"Achievements in the Life Sciences","id":"ITEM-1","issue":"2","issued":{"date-parts":[["2016"]]},"page":"187-196","publisher":"Far Eastern Federal University","title":"Sub-acute Ruminal Acidosis (SARA) and its Consequence in Dairy Cattle: A Review of Past and Recent Research at Global Prospective","type":"article-journal","volume":"10"},"uris":["http://www.mendeley.com/documents/?uuid=9466a19c-e0ed-4f0e-8261-016e4df4f236"]}],"mendeley":{"formattedCitation":"(Abdela, 2016)","plainTextFormattedCitation":"(Abdela, 2016)","previouslyFormattedCitation":"(Abdela,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(Abdela, 2016)</w:t>
      </w:r>
      <w:r w:rsidRPr="005805D6">
        <w:rPr>
          <w:rFonts w:ascii="Times New Roman" w:hAnsi="Times New Roman" w:cs="Times New Roman"/>
          <w:color w:val="202124"/>
          <w:sz w:val="20"/>
          <w:szCs w:val="20"/>
        </w:rPr>
        <w:fldChar w:fldCharType="end"/>
      </w:r>
    </w:p>
    <w:p w:rsidR="00D9231D" w:rsidRPr="005805D6" w:rsidRDefault="00D9231D" w:rsidP="00D9231D">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b/>
          <w:color w:val="202124"/>
        </w:rPr>
        <w:t>Kajian tentang Fenomena Kopi Menumpahkan di Rezim Impuls Rendah</w:t>
      </w:r>
    </w:p>
    <w:p w:rsidR="00D9231D" w:rsidRPr="005805D6" w:rsidRDefault="00D9231D" w:rsidP="00D9231D">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Meneliti tumpahan dimaksimalkan dalam rezim impuls rendah. Resonansi adalah kuncinya. Dengan memperkirakan sistem cangkir kopi ke osilator harmonik paksa.</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{"citationItems":[{"id":"ITEM-1","itemData":{"DOI":"10.1016/j.als.2016.05.009","ISSN":"20781520","abstract":"When a half-full Bordeaux glass is oscillated sideways at 4Hz, calm waves of wine gently ripple upon the surface. However, when a cylindrical mug is subject to the same motion, it does not take long for the liquid to splash aggressively against the cup and ultimately spill. This is a manifestation of the same principles that also make us spill coffee when we walk. In this study, we first investigate the physical properties of the fluid-structure interaction of the coffee cup; in particular, the frequency spectrum of each oscillating component is examined methodically. It is revealed that the cup's oscillation is not monochromatic: harmonic modes exist, and their proportions are significant. As a result, although the base frequency of the cup is considerably displaced from the resonance region, maximum spillage is initiated by the second harmonic mode of driving force that the cup exerts on its contents. Thus, we spill coffee. As an application of these experimental findings, a number of methods to reduce liquid spillage are investigated. Most notably, an alternative method to hold the cup is suggested; in essence, by altering the mechanical structure of the cup-holding posture, we can effectively suppress the higher frequency components of the driving force and thus stabilize the liquid oscillation. In an attempt to rationalize all we have investigated above, a mechanical model is proposed. Due to practicalities, rather than to construct a dynamical system using Newton's equation of motion, we choose to utilize the Euler-Lagrangian equations. Extensive simulation studies reveal that our model, crude in its form, successfully embodies the essential facets of reality. This liberates us to make two predictions that were beyond our experimental limits: the change in magnitude of the driving force and the temporal stabilization process.","author":[{"dropping-particle":"","family":"Han","given":"Jiwon","non-dropping-particle":"","parse-names":false,"suffix":""}],"container-title":"Achievements in the Life Sciences","id":"ITEM-1","issue":"1","issued":{"date-parts":[["2016"]]},"page":"87-101","publisher":"Hosting by Elsevier B.V. on behalf of Far Eastern Federal University.","title":"A Study on the Coffee Spilling Phenomena in the Low Impulse Regime","type":"article-journal","volume":"10"},"uris":["http://www.mendeley.com/documents/?uuid=b35b04c2-3881-41b2-a30d-45853a203312"]}],"mendeley":{"formattedCitation":"(Han, 2016)","plainTextFormattedCitation":"(Han, 2016)","previouslyFormattedCitation":"(Han,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(Han, 2016)</w:t>
      </w:r>
      <w:r w:rsidRPr="005805D6">
        <w:rPr>
          <w:rFonts w:ascii="Times New Roman" w:hAnsi="Times New Roman" w:cs="Times New Roman"/>
          <w:color w:val="202124"/>
          <w:sz w:val="20"/>
          <w:szCs w:val="20"/>
        </w:rPr>
        <w:fldChar w:fldCharType="end"/>
      </w:r>
    </w:p>
    <w:p w:rsidR="00D9231D" w:rsidRPr="005805D6" w:rsidRDefault="00D9231D" w:rsidP="00D9231D">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b/>
          <w:color w:val="202124"/>
        </w:rPr>
        <w:t xml:space="preserve">Struktur Polisakarida Ekstraseluler (EPS) yang Dihasilkan oleh Rhizobia dan Fungsinya dalam Simbiosis Legum-Bakteri </w:t>
      </w:r>
    </w:p>
    <w:p w:rsidR="00EB4A09" w:rsidRPr="005805D6" w:rsidRDefault="00D9231D" w:rsidP="00D9231D">
      <w:pPr>
        <w:pStyle w:val="ListParagraph"/>
        <w:widowControl w:val="0"/>
        <w:autoSpaceDE w:val="0"/>
        <w:autoSpaceDN w:val="0"/>
        <w:adjustRightInd w:val="0"/>
        <w:spacing w:line="240" w:lineRule="atLeast"/>
        <w:rPr>
          <w:rFonts w:ascii="Times New Roman" w:hAnsi="Times New Roman" w:cs="Times New Roman"/>
          <w:color w:val="202124"/>
          <w:sz w:val="20"/>
          <w:szCs w:val="20"/>
        </w:rPr>
      </w:pPr>
      <w:r w:rsidRPr="005805D6">
        <w:rPr>
          <w:rFonts w:ascii="Times New Roman" w:hAnsi="Times New Roman" w:cs="Times New Roman"/>
          <w:color w:val="202124"/>
          <w:sz w:val="20"/>
          <w:szCs w:val="20"/>
        </w:rPr>
        <w:t>Polisakarida ekstraseluler (EPS) adalah polimer kompleks spesifik spesies dari unit karbohidrat berbeda yang disekresikan oleh bakteri sel. Produksi EPS oleh rhizobia dianggap memiliki implikasi fisiologis penting dan konstiten.</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{"citationItems":[{"id":"ITEM-1","itemData":{"DOI":"10.1016/j.als.2016.11.003","ISSN":"20781520","abstract":"The symbiotic diazotrophs comprise with a very diverse group of Gram negative soil bacteria, collectively called as rhizobia found in nodule of legume plant. Rhizobia adopt themselves in different environment including soil, rhizosphere and grown within legume roots, where they fix nitrogen. The establishment of symbiosis is a very complicated process involving a coordinated exchange of signal between legume plants and the symbionts. The nodule development requires synthesis of signal molecules such as Nod factors that are important for induction of nodule development. There are different types of surface polysaccharides such as lipopolysaccharides, capsular polysaccharides, neutral and acidic polysaccharides found in rhizobia. The production of symbiotically active polysaccharides may allow rhizobial strains to adapt themselves to changing environmental conditions and interact efficiently with legume plants. Despite extensive research, the actual molecular function of the surface polysaccharides of rhizobia in symbiosis remains unclear. This review emphasized on the structural composition of extracellular polysaccharide of different rhizobia isolated from different legume plants. The compositions of extracellular polysaccharides are different in different rhizobia. The various compositions of extracellular polysaccharides produced by the symbionts are considered as the signaling molecules essential for determining host plant specificity. The present status of the biological functions of the exo-polysaccharide in symbiosis such as host specificity, successful invasion, formation of infection thread and induction of nodule formation in legume plants is also summarized here.","author":[{"dropping-particle":"","family":"Ghosh","given":"Pallab Kumar","non-dropping-particle":"","parse-names":false,"suffix":""},{"dropping-particle":"","family":"Maiti","given":"Tushar Kanti","non-dropping-particle":"","parse-names":false,"suffix":""}],"container-title":"Achievements in the Life Sciences","id":"ITEM-1","issue":"2","issued":{"date-parts":[["2016"]]},"page":"136-143","publisher":"Elsevier B.V.","title":"Structure of Extracellular Polysaccharides (EPS) Produced by Rhizobia and their Functions in Legume–Bacteria Symbiosis: — A Review","type":"article-journal","volume":"10"},"uris":["http://www.mendeley.com/documents/?uuid=ca0ce6ac-aac3-424f-9cbd-2a24d204322f"]}],"mendeley":{"formattedCitation":"(Ghosh and Maiti, 2016)","plainTextFormattedCitation":"(Ghosh and Maiti, 2016)","previouslyFormattedCitation":"(Ghosh and Maiti,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(Ghosh and Maiti, 2016)</w:t>
      </w:r>
      <w:r w:rsidRPr="005805D6">
        <w:rPr>
          <w:rFonts w:ascii="Times New Roman" w:hAnsi="Times New Roman" w:cs="Times New Roman"/>
          <w:color w:val="202124"/>
          <w:sz w:val="20"/>
          <w:szCs w:val="20"/>
        </w:rPr>
        <w:fldChar w:fldCharType="end"/>
      </w:r>
    </w:p>
    <w:p w:rsidR="00D9231D" w:rsidRPr="005805D6" w:rsidRDefault="00D9231D" w:rsidP="00D9231D">
      <w:pPr>
        <w:pStyle w:val="ListParagraph"/>
        <w:widowControl w:val="0"/>
        <w:numPr>
          <w:ilvl w:val="0"/>
          <w:numId w:val="3"/>
        </w:numPr>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b/>
          <w:color w:val="202124"/>
        </w:rPr>
        <w:t>Minyak Nabati sebagai Agen Kliring</w:t>
      </w:r>
    </w:p>
    <w:p w:rsidR="00D9231D" w:rsidRPr="005805D6" w:rsidRDefault="00D9231D" w:rsidP="00D9231D">
      <w:pPr>
        <w:pStyle w:val="ListParagraph"/>
        <w:widowControl w:val="0"/>
        <w:autoSpaceDE w:val="0"/>
        <w:autoSpaceDN w:val="0"/>
        <w:adjustRightInd w:val="0"/>
        <w:spacing w:line="240" w:lineRule="atLeast"/>
        <w:rPr>
          <w:rFonts w:ascii="Times New Roman" w:hAnsi="Times New Roman" w:cs="Times New Roman"/>
          <w:b/>
          <w:color w:val="202124"/>
        </w:rPr>
      </w:pPr>
      <w:r w:rsidRPr="005805D6">
        <w:rPr>
          <w:rFonts w:ascii="Times New Roman" w:hAnsi="Times New Roman" w:cs="Times New Roman"/>
          <w:color w:val="202124"/>
          <w:sz w:val="20"/>
          <w:szCs w:val="20"/>
        </w:rPr>
        <w:t>Menunjukkan bahwa minyak inti sawit, minyak kelapa dan minyak kacang tanah berhasil membersihkan bagian kayu yang diproses minyak nabati seperti yang dilakukan oleh xylene dan minyak cengkeh. minyak nabati yang digunakan dalam penelitian ini jauh lebih murah daripada clearant konvensional.</w:t>
      </w:r>
      <w:r w:rsidRPr="005805D6">
        <w:rPr>
          <w:rFonts w:ascii="Times New Roman" w:hAnsi="Times New Roman" w:cs="Times New Roman"/>
          <w:color w:val="202124"/>
          <w:sz w:val="20"/>
          <w:szCs w:val="20"/>
        </w:rPr>
        <w:fldChar w:fldCharType="begin" w:fldLock="1"/>
      </w:r>
      <w:r w:rsidRPr="005805D6">
        <w:rPr>
          <w:rFonts w:ascii="Times New Roman" w:hAnsi="Times New Roman" w:cs="Times New Roman"/>
          <w:color w:val="202124"/>
          <w:sz w:val="20"/>
          <w:szCs w:val="20"/>
        </w:rPr>
        <w:instrText>ADDIN CSL_CITATION {"citationItems":[{"id":"ITEM-1","itemData":{"DOI":"10.1016/j.als.2016.05.001","ISSN":"20781520","abstract":"Three types of vegetable oils namely, groundnut oil, coconut oil and palm kernel oil were investigated in this study for their clearing ability in wood histology. The vegetable oils were compared with the conventional clearants like xylene and clove oil. Using a Riechet microtome sliding machine, sections of wood that were about 20 μm were prepared and cleared in each of the oils. Under a light microscope, the results showed that sections cleared in the vegetable oils did not show any sign of distortion as details of wood features were distinct and clear after processing in the vegetable oils. The study concluded that the vegetable oils could be used as substitutes for xylene and clove oil. The respective photo micrographs are hereby presented showing their efficacy after slide preparation. On the accounts of health hazards and cost of conventional clearing agents, the study also recommended groundnut oil, coconut oil and palm kernel oil as alternative clearants in wood histological processes.","author":[{"dropping-particle":"","family":"Adeniyi","given":"I.M.","non-dropping-particle":"","parse-names":false,"suffix":""},{"dropping-particle":"","family":"Adejoba","given":"O.R.","non-dropping-particle":"","parse-names":false,"suffix":""},{"dropping-particle":"","family":"Akinlabi","given":"F.M.","non-dropping-particle":"","parse-names":false,"suffix":""},{"dropping-particle":"","family":"Alao","given":"O.J.","non-dropping-particle":"","parse-names":false,"suffix":""}],"container-title":"Achievements in the Life Sciences","id":"ITEM-1","issue":"1","issued":{"date-parts":[["2016"]]},"page":"1-4","publisher":"Far Eastern Federal University","title":"Vegetable Oils as Clearing Agents","type":"article-journal","volume":"10"},"uris":["http://www.mendeley.com/documents/?uuid=dee103f8-bace-4445-841a-ff55588d861c"]}],"mendeley":{"formattedCitation":"(Adeniyi &lt;i&gt;et al.&lt;/i&gt;, 2016)","plainTextFormattedCitation":"(Adeniyi et al., 2016)","previouslyFormattedCitation":"(Adeniyi &lt;i&gt;et al.&lt;/i&gt;, 2016)"},"properties":{"noteIndex":0},"schema":"https://github.com/citation-style-language/schema/raw/master/csl-citation.json"}</w:instrText>
      </w:r>
      <w:r w:rsidRPr="005805D6">
        <w:rPr>
          <w:rFonts w:ascii="Times New Roman" w:hAnsi="Times New Roman" w:cs="Times New Roman"/>
          <w:color w:val="202124"/>
          <w:sz w:val="20"/>
          <w:szCs w:val="20"/>
        </w:rPr>
        <w:fldChar w:fldCharType="separate"/>
      </w:r>
      <w:r w:rsidRPr="005805D6">
        <w:rPr>
          <w:rFonts w:ascii="Times New Roman" w:hAnsi="Times New Roman" w:cs="Times New Roman"/>
          <w:noProof/>
          <w:color w:val="202124"/>
          <w:sz w:val="20"/>
          <w:szCs w:val="20"/>
        </w:rPr>
        <w:t xml:space="preserve">(Adeniyi </w:t>
      </w:r>
      <w:r w:rsidRPr="005805D6">
        <w:rPr>
          <w:rFonts w:ascii="Times New Roman" w:hAnsi="Times New Roman" w:cs="Times New Roman"/>
          <w:i/>
          <w:noProof/>
          <w:color w:val="202124"/>
          <w:sz w:val="20"/>
          <w:szCs w:val="20"/>
        </w:rPr>
        <w:t>et al.</w:t>
      </w:r>
      <w:r w:rsidRPr="005805D6">
        <w:rPr>
          <w:rFonts w:ascii="Times New Roman" w:hAnsi="Times New Roman" w:cs="Times New Roman"/>
          <w:noProof/>
          <w:color w:val="202124"/>
          <w:sz w:val="20"/>
          <w:szCs w:val="20"/>
        </w:rPr>
        <w:t>, 2016)</w:t>
      </w:r>
      <w:r w:rsidRPr="005805D6">
        <w:rPr>
          <w:rFonts w:ascii="Times New Roman" w:hAnsi="Times New Roman" w:cs="Times New Roman"/>
          <w:color w:val="202124"/>
          <w:sz w:val="20"/>
          <w:szCs w:val="20"/>
        </w:rPr>
        <w:fldChar w:fldCharType="end"/>
      </w:r>
    </w:p>
    <w:p w:rsidR="00051735" w:rsidRPr="005805D6" w:rsidRDefault="00D9231D" w:rsidP="00051735">
      <w:pPr>
        <w:pStyle w:val="ListParagraph"/>
        <w:rPr>
          <w:rFonts w:ascii="Times New Roman" w:hAnsi="Times New Roman" w:cs="Times New Roman"/>
          <w:b/>
          <w:color w:val="202124"/>
          <w:sz w:val="32"/>
          <w:szCs w:val="32"/>
        </w:rPr>
      </w:pPr>
      <w:r w:rsidRPr="005805D6">
        <w:rPr>
          <w:rFonts w:ascii="Times New Roman" w:hAnsi="Times New Roman" w:cs="Times New Roman"/>
          <w:b/>
          <w:color w:val="202124"/>
          <w:sz w:val="32"/>
          <w:szCs w:val="32"/>
        </w:rPr>
        <w:lastRenderedPageBreak/>
        <w:t>Daftar Pustaka</w:t>
      </w:r>
    </w:p>
    <w:p w:rsidR="00D9231D" w:rsidRPr="005805D6" w:rsidRDefault="00D9231D" w:rsidP="00051735">
      <w:pPr>
        <w:pStyle w:val="ListParagraph"/>
        <w:rPr>
          <w:rFonts w:ascii="Times New Roman" w:hAnsi="Times New Roman" w:cs="Times New Roman"/>
          <w:b/>
          <w:color w:val="2021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color w:val="202124"/>
          <w:sz w:val="24"/>
          <w:szCs w:val="24"/>
        </w:rPr>
        <w:fldChar w:fldCharType="begin" w:fldLock="1"/>
      </w:r>
      <w:r w:rsidRPr="005805D6">
        <w:rPr>
          <w:rFonts w:ascii="Times New Roman" w:hAnsi="Times New Roman" w:cs="Times New Roman"/>
          <w:color w:val="202124"/>
          <w:sz w:val="24"/>
          <w:szCs w:val="24"/>
        </w:rPr>
        <w:instrText xml:space="preserve">ADDIN Mendeley Bibliography CSL_BIBLIOGRAPHY </w:instrText>
      </w:r>
      <w:r w:rsidRPr="005805D6">
        <w:rPr>
          <w:rFonts w:ascii="Times New Roman" w:hAnsi="Times New Roman" w:cs="Times New Roman"/>
          <w:color w:val="202124"/>
          <w:sz w:val="24"/>
          <w:szCs w:val="24"/>
        </w:rPr>
        <w:fldChar w:fldCharType="separate"/>
      </w:r>
      <w:r w:rsidRPr="005805D6">
        <w:rPr>
          <w:rFonts w:ascii="Times New Roman" w:hAnsi="Times New Roman" w:cs="Times New Roman"/>
          <w:noProof/>
          <w:sz w:val="24"/>
          <w:szCs w:val="24"/>
        </w:rPr>
        <w:t xml:space="preserve">Abdela, N. (2016) ‘Sub-acute Ruminal Acidosis (SARA) and its Consequence in Dairy Cattle: A Review of Past and Recent Research at Global Prospective’,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10(2), pp. 187–196. doi: 10.1016/j.als.2016.11.006.</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Adeniyi, I. M. </w:t>
      </w:r>
      <w:r w:rsidRPr="005805D6">
        <w:rPr>
          <w:rFonts w:ascii="Times New Roman" w:hAnsi="Times New Roman" w:cs="Times New Roman"/>
          <w:i/>
          <w:iCs/>
          <w:noProof/>
          <w:sz w:val="24"/>
          <w:szCs w:val="24"/>
        </w:rPr>
        <w:t>et al.</w:t>
      </w:r>
      <w:r w:rsidRPr="005805D6">
        <w:rPr>
          <w:rFonts w:ascii="Times New Roman" w:hAnsi="Times New Roman" w:cs="Times New Roman"/>
          <w:noProof/>
          <w:sz w:val="24"/>
          <w:szCs w:val="24"/>
        </w:rPr>
        <w:t xml:space="preserve"> (2016) ‘Vegetable Oils as Clearing Agents’,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10(1), pp. 1–4. doi: 10.1016/j.als.2016.05.001.</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Ahmed, S. and Ikram, S. (2016) ‘Chitosan Based Scaffolds and Their Applications in Wound Healing’,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10(1), pp. 27–37. doi: 10.1016/j.als.2016.04.001.</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Allen, S. (2016) ‘The Origin of Chronic Diseases Can Be in Capillary Pathology: An Evidence From Clinical Trials on Thermobalancing Treatment of Prostate Reveals’, </w:t>
      </w:r>
      <w:r w:rsidRPr="005805D6">
        <w:rPr>
          <w:rFonts w:ascii="Times New Roman" w:hAnsi="Times New Roman" w:cs="Times New Roman"/>
          <w:i/>
          <w:iCs/>
          <w:noProof/>
          <w:sz w:val="24"/>
          <w:szCs w:val="24"/>
        </w:rPr>
        <w:t>Achievements in the Life Allen, S. (2016). The Origin of Chronic Diseases Can Be in Capillary Pathology: An Evidence From Clinical Trials on Thermobalancing Treatment of Prostate Reveals. Achievements in the Life Sciences, 10(2), 197–202. https://doi.org/</w:t>
      </w:r>
      <w:r w:rsidRPr="005805D6">
        <w:rPr>
          <w:rFonts w:ascii="Times New Roman" w:hAnsi="Times New Roman" w:cs="Times New Roman"/>
          <w:noProof/>
          <w:sz w:val="24"/>
          <w:szCs w:val="24"/>
        </w:rPr>
        <w:t>, 10(2), pp. 197–202. doi: 10.1016/j.als.2016.11.005.</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Avtushenko, M. S. </w:t>
      </w:r>
      <w:r w:rsidRPr="005805D6">
        <w:rPr>
          <w:rFonts w:ascii="Times New Roman" w:hAnsi="Times New Roman" w:cs="Times New Roman"/>
          <w:i/>
          <w:iCs/>
          <w:noProof/>
          <w:sz w:val="24"/>
          <w:szCs w:val="24"/>
        </w:rPr>
        <w:t>et al.</w:t>
      </w:r>
      <w:r w:rsidRPr="005805D6">
        <w:rPr>
          <w:rFonts w:ascii="Times New Roman" w:hAnsi="Times New Roman" w:cs="Times New Roman"/>
          <w:noProof/>
          <w:sz w:val="24"/>
          <w:szCs w:val="24"/>
        </w:rPr>
        <w:t xml:space="preserve"> (2016) ‘Molecular Cloning and Homology Modeling of Novel Tyrosylprotein Sulfotransferase of Marine Mollusk’,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10(1), pp. 118–124. doi: 10.1016/j.als.2016.06.001.</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Choudhary, A. K. </w:t>
      </w:r>
      <w:r w:rsidRPr="005805D6">
        <w:rPr>
          <w:rFonts w:ascii="Times New Roman" w:hAnsi="Times New Roman" w:cs="Times New Roman"/>
          <w:i/>
          <w:iCs/>
          <w:noProof/>
          <w:sz w:val="24"/>
          <w:szCs w:val="24"/>
        </w:rPr>
        <w:t>et al.</w:t>
      </w:r>
      <w:r w:rsidRPr="005805D6">
        <w:rPr>
          <w:rFonts w:ascii="Times New Roman" w:hAnsi="Times New Roman" w:cs="Times New Roman"/>
          <w:noProof/>
          <w:sz w:val="24"/>
          <w:szCs w:val="24"/>
        </w:rPr>
        <w:t xml:space="preserve"> (2016) ‘Grip Strength and Impact on Cognitive Function in Healthy Kitchen Workers’,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10(2), pp. 168–174. doi: 10.1016/j.als.2016.11.008.</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Ghosh, P. K. and Maiti, T. K. (2016) ‘Structure of Extracellular Polysaccharides (EPS) Produced by Rhizobia and their Functions in Legume–Bacteria Symbiosis: — A Review’,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10(2), pp. 136–143. doi: 10.1016/j.als.2016.11.003.</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Han, J. (2016) ‘A Study on the Coffee Spilling Phenomena in the Low Impulse Regime’,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10(1), pp. 87–101. doi: 10.1016/j.als.2016.05.009.</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Perera, P. C. T. </w:t>
      </w:r>
      <w:r w:rsidRPr="005805D6">
        <w:rPr>
          <w:rFonts w:ascii="Times New Roman" w:hAnsi="Times New Roman" w:cs="Times New Roman"/>
          <w:i/>
          <w:iCs/>
          <w:noProof/>
          <w:sz w:val="24"/>
          <w:szCs w:val="24"/>
        </w:rPr>
        <w:t>et al.</w:t>
      </w:r>
      <w:r w:rsidRPr="005805D6">
        <w:rPr>
          <w:rFonts w:ascii="Times New Roman" w:hAnsi="Times New Roman" w:cs="Times New Roman"/>
          <w:noProof/>
          <w:sz w:val="24"/>
          <w:szCs w:val="24"/>
        </w:rPr>
        <w:t xml:space="preserve"> (2016) ‘Arsenic and Cadmium Contamination in Water, Sediments and Fish is a Consequence of Paddy Cultivation: Evidence of River Pollution in Sri Lanka’,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10(2), pp. 144–160. doi: 10.1016/j.als.2016.11.002.</w:t>
      </w: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p>
    <w:p w:rsidR="00D9231D" w:rsidRPr="005805D6" w:rsidRDefault="00D9231D" w:rsidP="00D9231D">
      <w:pPr>
        <w:widowControl w:val="0"/>
        <w:autoSpaceDE w:val="0"/>
        <w:autoSpaceDN w:val="0"/>
        <w:adjustRightInd w:val="0"/>
        <w:rPr>
          <w:rFonts w:ascii="Times New Roman" w:hAnsi="Times New Roman" w:cs="Times New Roman"/>
          <w:noProof/>
          <w:sz w:val="24"/>
          <w:szCs w:val="24"/>
        </w:rPr>
      </w:pPr>
      <w:r w:rsidRPr="005805D6">
        <w:rPr>
          <w:rFonts w:ascii="Times New Roman" w:hAnsi="Times New Roman" w:cs="Times New Roman"/>
          <w:noProof/>
          <w:sz w:val="24"/>
          <w:szCs w:val="24"/>
        </w:rPr>
        <w:t xml:space="preserve">Sohel, M. H. (2016) ‘Extracellular/Circulating MicroRNAs: Release Mechanisms, Functions and Challenges’, </w:t>
      </w:r>
      <w:r w:rsidRPr="005805D6">
        <w:rPr>
          <w:rFonts w:ascii="Times New Roman" w:hAnsi="Times New Roman" w:cs="Times New Roman"/>
          <w:i/>
          <w:iCs/>
          <w:noProof/>
          <w:sz w:val="24"/>
          <w:szCs w:val="24"/>
        </w:rPr>
        <w:t>Achievements in the Life Sciences</w:t>
      </w:r>
      <w:r w:rsidRPr="005805D6">
        <w:rPr>
          <w:rFonts w:ascii="Times New Roman" w:hAnsi="Times New Roman" w:cs="Times New Roman"/>
          <w:noProof/>
          <w:sz w:val="24"/>
          <w:szCs w:val="24"/>
        </w:rPr>
        <w:t>, 10(2), pp. 175–186. doi: 10.1016/j.als.2016.11.007.</w:t>
      </w:r>
    </w:p>
    <w:p w:rsidR="00D9231D" w:rsidRPr="005805D6" w:rsidRDefault="00D9231D" w:rsidP="00051735">
      <w:pPr>
        <w:pStyle w:val="ListParagraph"/>
        <w:rPr>
          <w:rFonts w:ascii="Times New Roman" w:hAnsi="Times New Roman" w:cs="Times New Roman"/>
          <w:color w:val="202124"/>
          <w:sz w:val="20"/>
          <w:szCs w:val="20"/>
        </w:rPr>
      </w:pPr>
      <w:r w:rsidRPr="005805D6">
        <w:rPr>
          <w:rFonts w:ascii="Times New Roman" w:hAnsi="Times New Roman" w:cs="Times New Roman"/>
          <w:color w:val="202124"/>
          <w:sz w:val="24"/>
          <w:szCs w:val="24"/>
        </w:rPr>
        <w:fldChar w:fldCharType="end"/>
      </w:r>
    </w:p>
    <w:p w:rsidR="00051735" w:rsidRDefault="00051735" w:rsidP="00051735"/>
    <w:sectPr w:rsidR="0005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C547F"/>
    <w:multiLevelType w:val="hybridMultilevel"/>
    <w:tmpl w:val="65469BB2"/>
    <w:lvl w:ilvl="0" w:tplc="6DD29E60">
      <w:start w:val="1"/>
      <w:numFmt w:val="decimal"/>
      <w:lvlText w:val="%1."/>
      <w:lvlJc w:val="left"/>
      <w:pPr>
        <w:ind w:left="720" w:hanging="360"/>
      </w:pPr>
      <w:rPr>
        <w:rFonts w:ascii="Times New Roman" w:eastAsiaTheme="minorHAnsi"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2BC6D12"/>
    <w:multiLevelType w:val="hybridMultilevel"/>
    <w:tmpl w:val="2FB0E2B2"/>
    <w:lvl w:ilvl="0" w:tplc="72C0A812">
      <w:start w:val="1"/>
      <w:numFmt w:val="decimal"/>
      <w:lvlText w:val="%1."/>
      <w:lvlJc w:val="left"/>
      <w:pPr>
        <w:ind w:left="720" w:hanging="360"/>
      </w:pPr>
      <w:rPr>
        <w:rFonts w:ascii="Times New Roman" w:eastAsiaTheme="minorHAnsi" w:hAnsi="Times New Roman" w:cs="Times New Roman"/>
        <w:b/>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FE250C7"/>
    <w:multiLevelType w:val="hybridMultilevel"/>
    <w:tmpl w:val="65469BB2"/>
    <w:lvl w:ilvl="0" w:tplc="6DD29E60">
      <w:start w:val="1"/>
      <w:numFmt w:val="decimal"/>
      <w:lvlText w:val="%1."/>
      <w:lvlJc w:val="left"/>
      <w:pPr>
        <w:ind w:left="720" w:hanging="360"/>
      </w:pPr>
      <w:rPr>
        <w:rFonts w:ascii="Times New Roman" w:eastAsiaTheme="minorHAnsi"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604"/>
    <w:rsid w:val="000446E3"/>
    <w:rsid w:val="00051735"/>
    <w:rsid w:val="002A34DE"/>
    <w:rsid w:val="002B717D"/>
    <w:rsid w:val="002D2993"/>
    <w:rsid w:val="004A196B"/>
    <w:rsid w:val="005805D6"/>
    <w:rsid w:val="00634321"/>
    <w:rsid w:val="00643574"/>
    <w:rsid w:val="00656818"/>
    <w:rsid w:val="006701B5"/>
    <w:rsid w:val="0076007A"/>
    <w:rsid w:val="00817FA9"/>
    <w:rsid w:val="00894A3D"/>
    <w:rsid w:val="00966186"/>
    <w:rsid w:val="00BA36ED"/>
    <w:rsid w:val="00BB42DB"/>
    <w:rsid w:val="00C63604"/>
    <w:rsid w:val="00D9231D"/>
    <w:rsid w:val="00EB4A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35"/>
    <w:pPr>
      <w:ind w:left="720"/>
      <w:contextualSpacing/>
    </w:pPr>
  </w:style>
  <w:style w:type="paragraph" w:styleId="HTMLPreformatted">
    <w:name w:val="HTML Preformatted"/>
    <w:basedOn w:val="Normal"/>
    <w:link w:val="HTMLPreformattedChar"/>
    <w:uiPriority w:val="99"/>
    <w:semiHidden/>
    <w:unhideWhenUsed/>
    <w:rsid w:val="0005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51735"/>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35"/>
    <w:pPr>
      <w:ind w:left="720"/>
      <w:contextualSpacing/>
    </w:pPr>
  </w:style>
  <w:style w:type="paragraph" w:styleId="HTMLPreformatted">
    <w:name w:val="HTML Preformatted"/>
    <w:basedOn w:val="Normal"/>
    <w:link w:val="HTMLPreformattedChar"/>
    <w:uiPriority w:val="99"/>
    <w:semiHidden/>
    <w:unhideWhenUsed/>
    <w:rsid w:val="0005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51735"/>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548229">
      <w:bodyDiv w:val="1"/>
      <w:marLeft w:val="0"/>
      <w:marRight w:val="0"/>
      <w:marTop w:val="0"/>
      <w:marBottom w:val="0"/>
      <w:divBdr>
        <w:top w:val="none" w:sz="0" w:space="0" w:color="auto"/>
        <w:left w:val="none" w:sz="0" w:space="0" w:color="auto"/>
        <w:bottom w:val="none" w:sz="0" w:space="0" w:color="auto"/>
        <w:right w:val="none" w:sz="0" w:space="0" w:color="auto"/>
      </w:divBdr>
    </w:div>
    <w:div w:id="1365060254">
      <w:bodyDiv w:val="1"/>
      <w:marLeft w:val="0"/>
      <w:marRight w:val="0"/>
      <w:marTop w:val="0"/>
      <w:marBottom w:val="0"/>
      <w:divBdr>
        <w:top w:val="none" w:sz="0" w:space="0" w:color="auto"/>
        <w:left w:val="none" w:sz="0" w:space="0" w:color="auto"/>
        <w:bottom w:val="none" w:sz="0" w:space="0" w:color="auto"/>
        <w:right w:val="none" w:sz="0" w:space="0" w:color="auto"/>
      </w:divBdr>
    </w:div>
    <w:div w:id="18776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D0EB-DA2F-45F8-AFA4-04EC0B76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4988</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ADHANI MULIANTI</dc:creator>
  <cp:keywords/>
  <dc:description/>
  <cp:lastModifiedBy>ADHANI MULIANTI</cp:lastModifiedBy>
  <cp:revision>3</cp:revision>
  <dcterms:created xsi:type="dcterms:W3CDTF">2020-12-08T01:22:00Z</dcterms:created>
  <dcterms:modified xsi:type="dcterms:W3CDTF">2020-12-08T02:12:00Z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20cb87de-95df-3384-b45a-36fe6f3ed554</vt:lpwstr>
  </property>
  <property fmtid="{D5CDD505-2E9C-101B-9397-08002B2CF9AE}" pid="24" name="Mendeley Citation Style_1">
    <vt:lpwstr>http://www.zotero.org/styles/harvard-cite-them-right</vt:lpwstr>
  </property>
</Properties>
</file>