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B5D" w:rsidRPr="004A66C8" w:rsidRDefault="009D3B5D" w:rsidP="009D3B5D">
      <w:pPr>
        <w:widowControl w:val="0"/>
        <w:autoSpaceDE w:val="0"/>
        <w:autoSpaceDN w:val="0"/>
        <w:adjustRightInd w:val="0"/>
        <w:spacing w:line="240" w:lineRule="atLeast"/>
        <w:rPr>
          <w:rFonts w:ascii="Times New Roman" w:hAnsi="Times New Roman" w:cs="Times New Roman"/>
          <w:b/>
          <w:color w:val="202124"/>
          <w:sz w:val="24"/>
          <w:szCs w:val="24"/>
        </w:rPr>
      </w:pPr>
      <w:r w:rsidRPr="004A66C8">
        <w:rPr>
          <w:rFonts w:ascii="Times New Roman" w:hAnsi="Times New Roman" w:cs="Times New Roman"/>
          <w:b/>
          <w:color w:val="202124"/>
          <w:sz w:val="24"/>
          <w:szCs w:val="24"/>
        </w:rPr>
        <w:t>Nama : Adhani Mulianti</w:t>
      </w:r>
    </w:p>
    <w:p w:rsidR="009D3B5D" w:rsidRPr="004A66C8" w:rsidRDefault="009D3B5D" w:rsidP="009D3B5D">
      <w:pPr>
        <w:widowControl w:val="0"/>
        <w:autoSpaceDE w:val="0"/>
        <w:autoSpaceDN w:val="0"/>
        <w:adjustRightInd w:val="0"/>
        <w:spacing w:line="240" w:lineRule="atLeast"/>
        <w:rPr>
          <w:rFonts w:ascii="Times New Roman" w:hAnsi="Times New Roman" w:cs="Times New Roman"/>
          <w:b/>
          <w:color w:val="202124"/>
          <w:sz w:val="24"/>
          <w:szCs w:val="24"/>
        </w:rPr>
      </w:pPr>
      <w:r w:rsidRPr="004A66C8">
        <w:rPr>
          <w:rFonts w:ascii="Times New Roman" w:hAnsi="Times New Roman" w:cs="Times New Roman"/>
          <w:b/>
          <w:color w:val="202124"/>
          <w:sz w:val="24"/>
          <w:szCs w:val="24"/>
        </w:rPr>
        <w:t>NIM : 3411201085</w:t>
      </w:r>
    </w:p>
    <w:p w:rsidR="009D3B5D" w:rsidRPr="004A66C8" w:rsidRDefault="009D3B5D" w:rsidP="009D3B5D">
      <w:pPr>
        <w:widowControl w:val="0"/>
        <w:autoSpaceDE w:val="0"/>
        <w:autoSpaceDN w:val="0"/>
        <w:adjustRightInd w:val="0"/>
        <w:spacing w:line="240" w:lineRule="atLeast"/>
        <w:rPr>
          <w:rFonts w:ascii="Times New Roman" w:hAnsi="Times New Roman" w:cs="Times New Roman"/>
          <w:b/>
          <w:color w:val="202124"/>
          <w:sz w:val="24"/>
          <w:szCs w:val="24"/>
        </w:rPr>
      </w:pPr>
      <w:r w:rsidRPr="004A66C8">
        <w:rPr>
          <w:rFonts w:ascii="Times New Roman" w:hAnsi="Times New Roman" w:cs="Times New Roman"/>
          <w:b/>
          <w:color w:val="202124"/>
          <w:sz w:val="24"/>
          <w:szCs w:val="24"/>
        </w:rPr>
        <w:t>Kelas : C</w:t>
      </w:r>
    </w:p>
    <w:p w:rsidR="009D3B5D" w:rsidRPr="004A66C8" w:rsidRDefault="009D3B5D" w:rsidP="009D3B5D">
      <w:pPr>
        <w:widowControl w:val="0"/>
        <w:autoSpaceDE w:val="0"/>
        <w:autoSpaceDN w:val="0"/>
        <w:adjustRightInd w:val="0"/>
        <w:spacing w:line="240" w:lineRule="atLeast"/>
        <w:rPr>
          <w:rFonts w:ascii="Times New Roman" w:hAnsi="Times New Roman" w:cs="Times New Roman"/>
          <w:b/>
          <w:color w:val="202124"/>
          <w:sz w:val="24"/>
          <w:szCs w:val="24"/>
        </w:rPr>
      </w:pPr>
    </w:p>
    <w:p w:rsidR="009D3B5D" w:rsidRPr="004A66C8" w:rsidRDefault="009D3B5D" w:rsidP="009D3B5D">
      <w:pPr>
        <w:pStyle w:val="ListParagraph"/>
        <w:widowControl w:val="0"/>
        <w:numPr>
          <w:ilvl w:val="0"/>
          <w:numId w:val="3"/>
        </w:numPr>
        <w:autoSpaceDE w:val="0"/>
        <w:autoSpaceDN w:val="0"/>
        <w:adjustRightInd w:val="0"/>
        <w:spacing w:line="240" w:lineRule="atLeast"/>
        <w:rPr>
          <w:rFonts w:ascii="Times New Roman" w:hAnsi="Times New Roman" w:cs="Times New Roman"/>
          <w:b/>
          <w:color w:val="202124"/>
          <w:sz w:val="20"/>
          <w:szCs w:val="20"/>
        </w:rPr>
      </w:pPr>
      <w:r w:rsidRPr="004A66C8">
        <w:rPr>
          <w:rFonts w:ascii="Times New Roman" w:eastAsia="Times New Roman" w:hAnsi="Times New Roman" w:cs="Times New Roman"/>
          <w:b/>
          <w:color w:val="202124"/>
          <w:sz w:val="20"/>
          <w:szCs w:val="20"/>
          <w:lang w:eastAsia="id-ID"/>
        </w:rPr>
        <w:t>Minyak Nabati sebagai Agen Kliring</w:t>
      </w:r>
    </w:p>
    <w:p w:rsidR="009D3B5D" w:rsidRPr="004A66C8" w:rsidRDefault="009D3B5D" w:rsidP="009D3B5D">
      <w:pPr>
        <w:pStyle w:val="ListParagraph"/>
        <w:widowControl w:val="0"/>
        <w:autoSpaceDE w:val="0"/>
        <w:autoSpaceDN w:val="0"/>
        <w:adjustRightInd w:val="0"/>
        <w:spacing w:line="240" w:lineRule="atLeast"/>
        <w:rPr>
          <w:rFonts w:ascii="Times New Roman" w:hAnsi="Times New Roman" w:cs="Times New Roman"/>
          <w:color w:val="202124"/>
          <w:sz w:val="20"/>
          <w:szCs w:val="20"/>
        </w:rPr>
      </w:pPr>
      <w:r w:rsidRPr="004A66C8">
        <w:rPr>
          <w:rFonts w:ascii="Times New Roman" w:hAnsi="Times New Roman" w:cs="Times New Roman"/>
          <w:color w:val="202124"/>
          <w:sz w:val="20"/>
          <w:szCs w:val="20"/>
        </w:rPr>
        <w:t>Tiga jenis minyak nabati yaitu minyak kacang tanah, minyak kelapa dan minyak inti sawit diselidiki dalam penelitian ini untuk kemampuan pembersihannya dalam histologi kayu</w:t>
      </w:r>
      <w:r w:rsidRPr="004A66C8">
        <w:rPr>
          <w:rFonts w:ascii="Times New Roman" w:hAnsi="Times New Roman" w:cs="Times New Roman"/>
          <w:color w:val="202124"/>
          <w:sz w:val="20"/>
          <w:szCs w:val="20"/>
        </w:rPr>
        <w:t xml:space="preserve">. </w:t>
      </w:r>
      <w:r w:rsidRPr="004A66C8">
        <w:rPr>
          <w:rFonts w:ascii="Times New Roman" w:hAnsi="Times New Roman" w:cs="Times New Roman"/>
          <w:color w:val="202124"/>
          <w:sz w:val="20"/>
          <w:szCs w:val="20"/>
        </w:rPr>
        <w:t>Pada pertimbangan bahaya kesehatan dan biaya agen kliring konvensional, studi ini juga merekomendasikan minyak kacang tanah, minyak kelapa dan minyak inti sawit sebagai bahan pembersih alternatif dalam proses histologis kayu.</w:t>
      </w:r>
      <w:r w:rsidRPr="004A66C8">
        <w:rPr>
          <w:rFonts w:ascii="Times New Roman" w:hAnsi="Times New Roman" w:cs="Times New Roman"/>
          <w:color w:val="202124"/>
          <w:sz w:val="20"/>
          <w:szCs w:val="20"/>
        </w:rPr>
        <w:fldChar w:fldCharType="begin" w:fldLock="1"/>
      </w:r>
      <w:r w:rsidR="001555AF" w:rsidRPr="004A66C8">
        <w:rPr>
          <w:rFonts w:ascii="Times New Roman" w:hAnsi="Times New Roman" w:cs="Times New Roman"/>
          <w:color w:val="202124"/>
          <w:sz w:val="20"/>
          <w:szCs w:val="20"/>
        </w:rPr>
        <w:instrText>ADDIN CSL_CITATION {"citationItems":[{"id":"ITEM-1","itemData":{"DOI":"10.1016/j.als.2016.05.001","ISSN":"20781520","abstract":"Three types of vegetable oils namely, groundnut oil, coconut oil and palm kernel oil were investigated in this study for their clearing ability in wood histology. The vegetable oils were compared with the conventional clearants like xylene and clove oil. Using a Riechet microtome sliding machine, sections of wood that were about 20 μm were prepared and cleared in each of the oils. Under a light microscope, the results showed that sections cleared in the vegetable oils did not show any sign of distortion as details of wood features were distinct and clear after processing in the vegetable oils. The study concluded that the vegetable oils could be used as substitutes for xylene and clove oil. The respective photo micrographs are hereby presented showing their efficacy after slide preparation. On the accounts of health hazards and cost of conventional clearing agents, the study also recommended groundnut oil, coconut oil and palm kernel oil as alternative clearants in wood histological processes.","author":[{"dropping-particle":"","family":"Adeniyi","given":"I.M.","non-dropping-particle":"","parse-names":false,"suffix":""},{"dropping-particle":"","family":"Adejoba","given":"O.R.","non-dropping-particle":"","parse-names":false,"suffix":""},{"dropping-particle":"","family":"Akinlabi","given":"F.M.","non-dropping-particle":"","parse-names":false,"suffix":""},{"dropping-particle":"","family":"Alao","given":"O.J.","non-dropping-particle":"","parse-names":false,"suffix":""}],"container-title":"Achievements in the Life Sciences","id":"ITEM-1","issue":"1","issued":{"date-parts":[["2016"]]},"page":"1-4","publisher":"Far Eastern Federal University","title":"Vegetable Oils as Clearing Agents","type":"article-journal","volume":"10"},"uris":["http://www.mendeley.com/documents/?uuid=dee103f8-bace-4445-841a-ff55588d861c"]}],"mendeley":{"formattedCitation":"(Adeniyi &lt;i&gt;et al.&lt;/i&gt;, 2016)","plainTextFormattedCitation":"(Adeniyi et al., 2016)","previouslyFormattedCitation":"(Adeniyi &lt;i&gt;et al.&lt;/i&gt;, 2016)"},"properties":{"noteIndex":0},"schema":"https://github.com/citation-style-language/schema/raw/master/csl-citation.json"}</w:instrText>
      </w:r>
      <w:r w:rsidRPr="004A66C8">
        <w:rPr>
          <w:rFonts w:ascii="Times New Roman" w:hAnsi="Times New Roman" w:cs="Times New Roman"/>
          <w:color w:val="202124"/>
          <w:sz w:val="20"/>
          <w:szCs w:val="20"/>
        </w:rPr>
        <w:fldChar w:fldCharType="separate"/>
      </w:r>
      <w:r w:rsidRPr="004A66C8">
        <w:rPr>
          <w:rFonts w:ascii="Times New Roman" w:hAnsi="Times New Roman" w:cs="Times New Roman"/>
          <w:noProof/>
          <w:color w:val="202124"/>
          <w:sz w:val="20"/>
          <w:szCs w:val="20"/>
        </w:rPr>
        <w:t xml:space="preserve">(Adeniyi </w:t>
      </w:r>
      <w:r w:rsidRPr="004A66C8">
        <w:rPr>
          <w:rFonts w:ascii="Times New Roman" w:hAnsi="Times New Roman" w:cs="Times New Roman"/>
          <w:i/>
          <w:noProof/>
          <w:color w:val="202124"/>
          <w:sz w:val="20"/>
          <w:szCs w:val="20"/>
        </w:rPr>
        <w:t>et al.</w:t>
      </w:r>
      <w:r w:rsidRPr="004A66C8">
        <w:rPr>
          <w:rFonts w:ascii="Times New Roman" w:hAnsi="Times New Roman" w:cs="Times New Roman"/>
          <w:noProof/>
          <w:color w:val="202124"/>
          <w:sz w:val="20"/>
          <w:szCs w:val="20"/>
        </w:rPr>
        <w:t>, 2016)</w:t>
      </w:r>
      <w:r w:rsidRPr="004A66C8">
        <w:rPr>
          <w:rFonts w:ascii="Times New Roman" w:hAnsi="Times New Roman" w:cs="Times New Roman"/>
          <w:color w:val="202124"/>
          <w:sz w:val="20"/>
          <w:szCs w:val="20"/>
        </w:rPr>
        <w:fldChar w:fldCharType="end"/>
      </w:r>
    </w:p>
    <w:p w:rsidR="009D3B5D" w:rsidRPr="004A66C8" w:rsidRDefault="001555AF" w:rsidP="001555AF">
      <w:pPr>
        <w:pStyle w:val="ListParagraph"/>
        <w:widowControl w:val="0"/>
        <w:numPr>
          <w:ilvl w:val="0"/>
          <w:numId w:val="3"/>
        </w:numPr>
        <w:autoSpaceDE w:val="0"/>
        <w:autoSpaceDN w:val="0"/>
        <w:adjustRightInd w:val="0"/>
        <w:spacing w:line="240" w:lineRule="atLeast"/>
        <w:rPr>
          <w:rFonts w:ascii="Times New Roman" w:hAnsi="Times New Roman" w:cs="Times New Roman"/>
          <w:b/>
          <w:color w:val="202124"/>
          <w:sz w:val="20"/>
          <w:szCs w:val="20"/>
        </w:rPr>
      </w:pPr>
      <w:r w:rsidRPr="004A66C8">
        <w:rPr>
          <w:rFonts w:ascii="Times New Roman" w:hAnsi="Times New Roman" w:cs="Times New Roman"/>
          <w:b/>
          <w:color w:val="202124"/>
          <w:sz w:val="20"/>
          <w:szCs w:val="20"/>
        </w:rPr>
        <w:t>MicroRNA Ekstraseluler / Sirkulasi: Mekanisme Pelepasan, Fungsi dan Tantangan Mahmodul</w:t>
      </w:r>
    </w:p>
    <w:p w:rsidR="001555AF" w:rsidRPr="004A66C8" w:rsidRDefault="001555AF" w:rsidP="001555AF">
      <w:pPr>
        <w:pStyle w:val="ListParagraph"/>
        <w:widowControl w:val="0"/>
        <w:autoSpaceDE w:val="0"/>
        <w:autoSpaceDN w:val="0"/>
        <w:adjustRightInd w:val="0"/>
        <w:spacing w:line="240" w:lineRule="atLeast"/>
        <w:rPr>
          <w:rFonts w:ascii="Times New Roman" w:hAnsi="Times New Roman" w:cs="Times New Roman"/>
          <w:color w:val="202124"/>
          <w:sz w:val="20"/>
          <w:szCs w:val="20"/>
        </w:rPr>
      </w:pPr>
      <w:r w:rsidRPr="004A66C8">
        <w:rPr>
          <w:rFonts w:ascii="Times New Roman" w:hAnsi="Times New Roman" w:cs="Times New Roman"/>
          <w:color w:val="202124"/>
          <w:sz w:val="20"/>
          <w:szCs w:val="20"/>
        </w:rPr>
        <w:t xml:space="preserve">MicroRNA (miRNA) dimulai secara endogen, RNA non-coding kecil dan biasanya mengatur ekspresi mRNA pada tingkat pasca transkripsi baik melalui represi translasi atau degradasi mRNA. Ekspresi miRNA yang menyimpang diamati pada beragam penyakit dan perubahan keadaan fisiologis. Selain itu, ECmiRNA ini dapat dikirim ke sel penerima melalui jalur tertentu di mana mereka dapat mengatur aktivitas translasi dari gen target. </w:t>
      </w:r>
      <w:r w:rsidRPr="004A66C8">
        <w:rPr>
          <w:rFonts w:ascii="Times New Roman" w:hAnsi="Times New Roman" w:cs="Times New Roman"/>
          <w:color w:val="202124"/>
          <w:sz w:val="20"/>
          <w:szCs w:val="20"/>
        </w:rPr>
        <w:fldChar w:fldCharType="begin" w:fldLock="1"/>
      </w:r>
      <w:r w:rsidRPr="004A66C8">
        <w:rPr>
          <w:rFonts w:ascii="Times New Roman" w:hAnsi="Times New Roman" w:cs="Times New Roman"/>
          <w:color w:val="202124"/>
          <w:sz w:val="20"/>
          <w:szCs w:val="20"/>
        </w:rPr>
        <w:instrText>ADDIN CSL_CITATION {"citationItems":[{"id":"ITEM-1","itemData":{"DOI":"10.1016/j.als.2016.11.007","ISSN":"20781520","abstract":"MicroRNAs (miRNAs) are endogenously initiated, small non-coding RNAs and typically regulate the expression of mRNAs in post transcriptional level either via translational repression or mRNA degradation. Aberrant expression of miRNAs is observed in diverse disease and altered physiological states. Recently, it has been revealed that miRNAs are not only present in cells but also in extracellular milieu especially in different bio-fluids including blood plasma, follicular fluid and even in cell culture media. Such extracellular miRNAs (ECmiRNAs) are remarkably stable in the extracellular harsh environment with the presence of high RNAse activity. Although the precise mechanisms of release of cellular miRNAs to extracellular environment remain largely unknown, recent studies suggest that the expression of these ECmiRNAs can be associated with patho-physiological condition of an organism. Moreover, these ECmiRNAs may deliver to the recipient cells via certain pathways where they can regulate translational activity of target genes. This review will discuss the nature and stability of ECmiRNAs along with their release mechanisms. Furthermore, based on recent evidences, it also summarizes the possible function of these ECmiRNAs in distant cell-to-cell communication and the difficulties we may face during ECmiRNA research.","author":[{"dropping-particle":"","family":"Sohel","given":"Mahmodul Hasan","non-dropping-particle":"","parse-names":false,"suffix":""}],"container-title":"Achievements in the Life Sciences","id":"ITEM-1","issue":"2","issued":{"date-parts":[["2016"]]},"page":"175-186","publisher":"Far Eastern Federal University","title":"Extracellular/Circulating MicroRNAs: Release Mechanisms, Functions and Challenges","type":"article-journal","volume":"10"},"uris":["http://www.mendeley.com/documents/?uuid=e8e84fba-cb33-4e45-aafe-823d3ef7d313"]}],"mendeley":{"formattedCitation":"(Sohel, 2016)","plainTextFormattedCitation":"(Sohel, 2016)","previouslyFormattedCitation":"(Sohel, 2016)"},"properties":{"noteIndex":0},"schema":"https://github.com/citation-style-language/schema/raw/master/csl-citation.json"}</w:instrText>
      </w:r>
      <w:r w:rsidRPr="004A66C8">
        <w:rPr>
          <w:rFonts w:ascii="Times New Roman" w:hAnsi="Times New Roman" w:cs="Times New Roman"/>
          <w:color w:val="202124"/>
          <w:sz w:val="20"/>
          <w:szCs w:val="20"/>
        </w:rPr>
        <w:fldChar w:fldCharType="separate"/>
      </w:r>
      <w:r w:rsidRPr="004A66C8">
        <w:rPr>
          <w:rFonts w:ascii="Times New Roman" w:hAnsi="Times New Roman" w:cs="Times New Roman"/>
          <w:noProof/>
          <w:color w:val="202124"/>
          <w:sz w:val="20"/>
          <w:szCs w:val="20"/>
        </w:rPr>
        <w:t>(Sohel, 2016)</w:t>
      </w:r>
      <w:r w:rsidRPr="004A66C8">
        <w:rPr>
          <w:rFonts w:ascii="Times New Roman" w:hAnsi="Times New Roman" w:cs="Times New Roman"/>
          <w:color w:val="202124"/>
          <w:sz w:val="20"/>
          <w:szCs w:val="20"/>
        </w:rPr>
        <w:fldChar w:fldCharType="end"/>
      </w:r>
    </w:p>
    <w:p w:rsidR="001555AF" w:rsidRPr="004A66C8" w:rsidRDefault="001555AF" w:rsidP="001555AF">
      <w:pPr>
        <w:pStyle w:val="ListParagraph"/>
        <w:widowControl w:val="0"/>
        <w:numPr>
          <w:ilvl w:val="0"/>
          <w:numId w:val="3"/>
        </w:numPr>
        <w:autoSpaceDE w:val="0"/>
        <w:autoSpaceDN w:val="0"/>
        <w:adjustRightInd w:val="0"/>
        <w:spacing w:line="240" w:lineRule="atLeast"/>
        <w:rPr>
          <w:rFonts w:ascii="Times New Roman" w:hAnsi="Times New Roman" w:cs="Times New Roman"/>
          <w:b/>
          <w:color w:val="202124"/>
          <w:sz w:val="20"/>
          <w:szCs w:val="20"/>
        </w:rPr>
      </w:pPr>
      <w:r w:rsidRPr="004A66C8">
        <w:rPr>
          <w:rFonts w:ascii="Times New Roman" w:hAnsi="Times New Roman" w:cs="Times New Roman"/>
          <w:b/>
          <w:color w:val="202124"/>
          <w:sz w:val="20"/>
          <w:szCs w:val="20"/>
        </w:rPr>
        <w:t>Kajian tentang Fenomena Tumpahan Kopi di Rezim Impuls Rendah</w:t>
      </w:r>
    </w:p>
    <w:p w:rsidR="001555AF" w:rsidRPr="004A66C8" w:rsidRDefault="001555AF" w:rsidP="001555AF">
      <w:pPr>
        <w:pStyle w:val="ListParagraph"/>
        <w:widowControl w:val="0"/>
        <w:autoSpaceDE w:val="0"/>
        <w:autoSpaceDN w:val="0"/>
        <w:adjustRightInd w:val="0"/>
        <w:spacing w:line="240" w:lineRule="atLeast"/>
        <w:rPr>
          <w:rFonts w:ascii="Times New Roman" w:hAnsi="Times New Roman" w:cs="Times New Roman"/>
          <w:color w:val="202124"/>
          <w:sz w:val="20"/>
          <w:szCs w:val="20"/>
        </w:rPr>
      </w:pPr>
      <w:r w:rsidRPr="004A66C8">
        <w:rPr>
          <w:rFonts w:ascii="Times New Roman" w:hAnsi="Times New Roman" w:cs="Times New Roman"/>
          <w:color w:val="202124"/>
          <w:sz w:val="20"/>
          <w:szCs w:val="20"/>
        </w:rPr>
        <w:t>Dalam upaya untuk merasionalkan semua yang telah kita selidiki di atas, model mekanis diusulkan. Karena kepraktisan, daripada membangun sistem dinamis menggunakan persamaan gerak Newton, kami memilih untuk menggun</w:t>
      </w:r>
      <w:r w:rsidR="004A66C8" w:rsidRPr="004A66C8">
        <w:rPr>
          <w:rFonts w:ascii="Times New Roman" w:hAnsi="Times New Roman" w:cs="Times New Roman"/>
          <w:color w:val="202124"/>
          <w:sz w:val="20"/>
          <w:szCs w:val="20"/>
        </w:rPr>
        <w:t>akan persamaan Euler-Lagrangian</w:t>
      </w:r>
      <w:r w:rsidRPr="004A66C8">
        <w:rPr>
          <w:rFonts w:ascii="Times New Roman" w:hAnsi="Times New Roman" w:cs="Times New Roman"/>
          <w:color w:val="202124"/>
          <w:sz w:val="20"/>
          <w:szCs w:val="20"/>
        </w:rPr>
        <w:t>.</w:t>
      </w:r>
      <w:r w:rsidRPr="004A66C8">
        <w:rPr>
          <w:rFonts w:ascii="Times New Roman" w:hAnsi="Times New Roman" w:cs="Times New Roman"/>
          <w:color w:val="202124"/>
          <w:sz w:val="20"/>
          <w:szCs w:val="20"/>
        </w:rPr>
        <w:fldChar w:fldCharType="begin" w:fldLock="1"/>
      </w:r>
      <w:r w:rsidR="003444D5" w:rsidRPr="004A66C8">
        <w:rPr>
          <w:rFonts w:ascii="Times New Roman" w:hAnsi="Times New Roman" w:cs="Times New Roman"/>
          <w:color w:val="202124"/>
          <w:sz w:val="20"/>
          <w:szCs w:val="20"/>
        </w:rPr>
        <w:instrText>ADDIN CSL_CITATION {"citationItems":[{"id":"ITEM-1","itemData":{"DOI":"10.1016/j.als.2016.05.009","ISSN":"20781520","abstract":"When a half-full Bordeaux glass is oscillated sideways at 4Hz, calm waves of wine gently ripple upon the surface. However, when a cylindrical mug is subject to the same motion, it does not take long for the liquid to splash aggressively against the cup and ultimately spill. This is a manifestation of the same principles that also make us spill coffee when we walk. In this study, we first investigate the physical properties of the fluid-structure interaction of the coffee cup; in particular, the frequency spectrum of each oscillating component is examined methodically. It is revealed that the cup's oscillation is not monochromatic: harmonic modes exist, and their proportions are significant. As a result, although the base frequency of the cup is considerably displaced from the resonance region, maximum spillage is initiated by the second harmonic mode of driving force that the cup exerts on its contents. Thus, we spill coffee. As an application of these experimental findings, a number of methods to reduce liquid spillage are investigated. Most notably, an alternative method to hold the cup is suggested; in essence, by altering the mechanical structure of the cup-holding posture, we can effectively suppress the higher frequency components of the driving force and thus stabilize the liquid oscillation. In an attempt to rationalize all we have investigated above, a mechanical model is proposed. Due to practicalities, rather than to construct a dynamical system using Newton's equation of motion, we choose to utilize the Euler-Lagrangian equations. Extensive simulation studies reveal that our model, crude in its form, successfully embodies the essential facets of reality. This liberates us to make two predictions that were beyond our experimental limits: the change in magnitude of the driving force and the temporal stabilization process.","author":[{"dropping-particle":"","family":"Han","given":"Jiwon","non-dropping-particle":"","parse-names":false,"suffix":""}],"container-title":"Achievements in the Life Sciences","id":"ITEM-1","issue":"1","issued":{"date-parts":[["2016"]]},"page":"87-101","publisher":"Hosting by Elsevier B.V. on behalf of Far Eastern Federal University.","title":"A Study on the Coffee Spilling Phenomena in the Low Impulse Regime","type":"article-journal","volume":"10"},"uris":["http://www.mendeley.com/documents/?uuid=b35b04c2-3881-41b2-a30d-45853a203312"]}],"mendeley":{"formattedCitation":"(Han, 2016)","plainTextFormattedCitation":"(Han, 2016)","previouslyFormattedCitation":"(Han, 2016)"},"properties":{"noteIndex":0},"schema":"https://github.com/citation-style-language/schema/raw/master/csl-citation.json"}</w:instrText>
      </w:r>
      <w:r w:rsidRPr="004A66C8">
        <w:rPr>
          <w:rFonts w:ascii="Times New Roman" w:hAnsi="Times New Roman" w:cs="Times New Roman"/>
          <w:color w:val="202124"/>
          <w:sz w:val="20"/>
          <w:szCs w:val="20"/>
        </w:rPr>
        <w:fldChar w:fldCharType="separate"/>
      </w:r>
      <w:r w:rsidRPr="004A66C8">
        <w:rPr>
          <w:rFonts w:ascii="Times New Roman" w:hAnsi="Times New Roman" w:cs="Times New Roman"/>
          <w:noProof/>
          <w:color w:val="202124"/>
          <w:sz w:val="20"/>
          <w:szCs w:val="20"/>
        </w:rPr>
        <w:t>(Han, 2016)</w:t>
      </w:r>
      <w:r w:rsidRPr="004A66C8">
        <w:rPr>
          <w:rFonts w:ascii="Times New Roman" w:hAnsi="Times New Roman" w:cs="Times New Roman"/>
          <w:color w:val="202124"/>
          <w:sz w:val="20"/>
          <w:szCs w:val="20"/>
        </w:rPr>
        <w:fldChar w:fldCharType="end"/>
      </w:r>
    </w:p>
    <w:p w:rsidR="001555AF" w:rsidRPr="004A66C8" w:rsidRDefault="001555AF" w:rsidP="001555AF">
      <w:pPr>
        <w:pStyle w:val="ListParagraph"/>
        <w:widowControl w:val="0"/>
        <w:numPr>
          <w:ilvl w:val="0"/>
          <w:numId w:val="3"/>
        </w:numPr>
        <w:autoSpaceDE w:val="0"/>
        <w:autoSpaceDN w:val="0"/>
        <w:adjustRightInd w:val="0"/>
        <w:spacing w:line="240" w:lineRule="atLeast"/>
        <w:rPr>
          <w:rFonts w:ascii="Times New Roman" w:hAnsi="Times New Roman" w:cs="Times New Roman"/>
          <w:b/>
          <w:color w:val="202124"/>
          <w:sz w:val="20"/>
          <w:szCs w:val="20"/>
        </w:rPr>
      </w:pPr>
      <w:r w:rsidRPr="004A66C8">
        <w:rPr>
          <w:rFonts w:ascii="Times New Roman" w:hAnsi="Times New Roman" w:cs="Times New Roman"/>
          <w:b/>
          <w:color w:val="202124"/>
          <w:sz w:val="20"/>
          <w:szCs w:val="20"/>
        </w:rPr>
        <w:t>Kekuatan Genggaman dan Dampaknya pada Fungsi Kognitif pada Pekerja Dapur yang Sehat</w:t>
      </w:r>
    </w:p>
    <w:p w:rsidR="001555AF" w:rsidRPr="004A66C8" w:rsidRDefault="001555AF" w:rsidP="001555AF">
      <w:pPr>
        <w:pStyle w:val="ListParagraph"/>
        <w:widowControl w:val="0"/>
        <w:autoSpaceDE w:val="0"/>
        <w:autoSpaceDN w:val="0"/>
        <w:adjustRightInd w:val="0"/>
        <w:spacing w:line="240" w:lineRule="atLeast"/>
        <w:rPr>
          <w:rFonts w:ascii="Times New Roman" w:hAnsi="Times New Roman" w:cs="Times New Roman"/>
          <w:color w:val="202124"/>
          <w:sz w:val="20"/>
          <w:szCs w:val="20"/>
        </w:rPr>
      </w:pPr>
      <w:r w:rsidRPr="004A66C8">
        <w:rPr>
          <w:rFonts w:ascii="Times New Roman" w:hAnsi="Times New Roman" w:cs="Times New Roman"/>
          <w:color w:val="202124"/>
          <w:sz w:val="20"/>
          <w:szCs w:val="20"/>
        </w:rPr>
        <w:t xml:space="preserve">Dalam studi cross sectional ini, kami dapat menyimpulkan bahwa hasil kami sesuai dengan hipotesis. </w:t>
      </w:r>
      <w:r w:rsidRPr="004A66C8">
        <w:rPr>
          <w:rFonts w:ascii="Times New Roman" w:hAnsi="Times New Roman" w:cs="Times New Roman"/>
          <w:color w:val="202124"/>
          <w:sz w:val="20"/>
          <w:szCs w:val="20"/>
        </w:rPr>
        <w:t xml:space="preserve">Kekuatan otot itu </w:t>
      </w:r>
      <w:r w:rsidRPr="004A66C8">
        <w:rPr>
          <w:rFonts w:ascii="Times New Roman" w:hAnsi="Times New Roman" w:cs="Times New Roman"/>
          <w:color w:val="202124"/>
          <w:sz w:val="20"/>
          <w:szCs w:val="20"/>
        </w:rPr>
        <w:t xml:space="preserve">(diukur dengan kekuatan cengkeraman tangan) dikaitkan dengan peningkatan waktu reaksi. Kekuatan pegangan yang meningkat akan dikaitkan dengan pemeliharaan fungsi kognitif. </w:t>
      </w:r>
      <w:r w:rsidRPr="004A66C8">
        <w:rPr>
          <w:rFonts w:ascii="Times New Roman" w:hAnsi="Times New Roman" w:cs="Times New Roman"/>
          <w:color w:val="202124"/>
          <w:sz w:val="20"/>
          <w:szCs w:val="20"/>
        </w:rPr>
        <w:fldChar w:fldCharType="begin" w:fldLock="1"/>
      </w:r>
      <w:r w:rsidRPr="004A66C8">
        <w:rPr>
          <w:rFonts w:ascii="Times New Roman" w:hAnsi="Times New Roman" w:cs="Times New Roman"/>
          <w:color w:val="202124"/>
          <w:sz w:val="20"/>
          <w:szCs w:val="20"/>
        </w:rPr>
        <w:instrText>ADDIN CSL_CITATION {"citationItems":[{"id":"ITEM-1","itemData":{"DOI":"10.1016/j.als.2016.11.008","ISSN":"20781520","abstract":"BACKGROUND\nHand grip strength is often considered may predict cognitive functioning and has been established as associates of cognitive performance with individual differences in some particular cross-sectional studies. However, little is known about hand grip strength and cognitive performance in the elderly individuals, and it is not known whether changes in hand grip strength may be associated with preservation/decline in cognitive functioning. \n\nOBJECTIVES\nWe have studied the impact of hand grip strength on cognition function in healthy kitchen workers. \n\nMETHODS\nParticipants (n=90, age range: 25–40years) randomly assigned in to two groups according to their nature of work: Group I-Control group (n=47) - workers recruited for simple work such as dusting, cleaning dining tables and floor. Group II-Study group (n=43) - workers recruited for firm work such as cooking large quantity of food, kneading dough, rolling chapattis, cut and sauté the vegetables and dish washing. For the analyses, we used at dominant and non- dominant hand; hand grip strength (HGS), reaction time task, sensory disability test (SDT) and cognitive function test (CFT) among both the groups. \n\nRESULT\nWe observed that visual reaction time (VRT) and auditory reaction time (ART) were significantly improved in dominant hand of study group, when compare to control group; however it was comparable in non-dominant hand among both the groups. In addition to; among all control and study group female workers there was significant positive correlation between VRT &amp; ART and significant negative correlation between at dominant hand HGS &amp; VRT as well as between at dominant hand HGS &amp; ART. We also observed that dominant hand HGS was a significant predictor of VRT and ART and however there was no any significant variation in body mass index (BMI), sensory disability test (SDT) and cognitive function test (CFT) among both groups. \n\nCONCLUSION\nWe found that muscle strength (as measured by hand grip strength) was associated with improved reaction time. Hence by using a simple muscle strength test; is one way of obtaining useful information for the development of nerve-muscle coordination. Increased handgrip strength would be associated with preservation of cognitive function.","author":[{"dropping-particle":"","family":"Choudhary","given":"Arbind Kumar","non-dropping-particle":"","parse-names":false,"suffix":""},{"dropping-particle":"","family":"Jiwane","given":"Rekha","non-dropping-particle":"","parse-names":false,"suffix":""},{"dropping-particle":"","family":"Alam","given":"Tanwir","non-dropping-particle":"","parse-names":false,"suffix":""},{"dropping-particle":"","family":"Kishanrao","given":"Sadawarte Sahebrao","non-dropping-particle":"","parse-names":false,"suffix":""}],"container-title":"Achievements in the Life Sciences","id":"ITEM-1","issue":"2","issued":{"date-parts":[["2016"]]},"page":"168-174","publisher":"Far Eastern Federal University","title":"Grip Strength and Impact on Cognitive Function in Healthy Kitchen Workers","type":"article-journal","volume":"10"},"uris":["http://www.mendeley.com/documents/?uuid=e28137af-4157-4d69-8abe-5e4648e80237"]}],"mendeley":{"formattedCitation":"(Choudhary &lt;i&gt;et al.&lt;/i&gt;, 2016)","plainTextFormattedCitation":"(Choudhary et al., 2016)","previouslyFormattedCitation":"(Choudhary &lt;i&gt;et al.&lt;/i&gt;, 2016)"},"properties":{"noteIndex":0},"schema":"https://github.com/citation-style-language/schema/raw/master/csl-citation.json"}</w:instrText>
      </w:r>
      <w:r w:rsidRPr="004A66C8">
        <w:rPr>
          <w:rFonts w:ascii="Times New Roman" w:hAnsi="Times New Roman" w:cs="Times New Roman"/>
          <w:color w:val="202124"/>
          <w:sz w:val="20"/>
          <w:szCs w:val="20"/>
        </w:rPr>
        <w:fldChar w:fldCharType="separate"/>
      </w:r>
      <w:r w:rsidRPr="004A66C8">
        <w:rPr>
          <w:rFonts w:ascii="Times New Roman" w:hAnsi="Times New Roman" w:cs="Times New Roman"/>
          <w:noProof/>
          <w:color w:val="202124"/>
          <w:sz w:val="20"/>
          <w:szCs w:val="20"/>
        </w:rPr>
        <w:t xml:space="preserve">(Choudhary </w:t>
      </w:r>
      <w:r w:rsidRPr="004A66C8">
        <w:rPr>
          <w:rFonts w:ascii="Times New Roman" w:hAnsi="Times New Roman" w:cs="Times New Roman"/>
          <w:i/>
          <w:noProof/>
          <w:color w:val="202124"/>
          <w:sz w:val="20"/>
          <w:szCs w:val="20"/>
        </w:rPr>
        <w:t>et al.</w:t>
      </w:r>
      <w:r w:rsidRPr="004A66C8">
        <w:rPr>
          <w:rFonts w:ascii="Times New Roman" w:hAnsi="Times New Roman" w:cs="Times New Roman"/>
          <w:noProof/>
          <w:color w:val="202124"/>
          <w:sz w:val="20"/>
          <w:szCs w:val="20"/>
        </w:rPr>
        <w:t>, 2016)</w:t>
      </w:r>
      <w:r w:rsidRPr="004A66C8">
        <w:rPr>
          <w:rFonts w:ascii="Times New Roman" w:hAnsi="Times New Roman" w:cs="Times New Roman"/>
          <w:color w:val="202124"/>
          <w:sz w:val="20"/>
          <w:szCs w:val="20"/>
        </w:rPr>
        <w:fldChar w:fldCharType="end"/>
      </w:r>
    </w:p>
    <w:p w:rsidR="001555AF" w:rsidRPr="004A66C8" w:rsidRDefault="001555AF" w:rsidP="001555AF">
      <w:pPr>
        <w:pStyle w:val="ListParagraph"/>
        <w:widowControl w:val="0"/>
        <w:numPr>
          <w:ilvl w:val="0"/>
          <w:numId w:val="3"/>
        </w:numPr>
        <w:autoSpaceDE w:val="0"/>
        <w:autoSpaceDN w:val="0"/>
        <w:adjustRightInd w:val="0"/>
        <w:spacing w:line="240" w:lineRule="atLeast"/>
        <w:rPr>
          <w:rFonts w:ascii="Times New Roman" w:hAnsi="Times New Roman" w:cs="Times New Roman"/>
          <w:b/>
          <w:color w:val="202124"/>
          <w:sz w:val="20"/>
          <w:szCs w:val="20"/>
        </w:rPr>
      </w:pPr>
      <w:r w:rsidRPr="004A66C8">
        <w:rPr>
          <w:rFonts w:ascii="Times New Roman" w:hAnsi="Times New Roman" w:cs="Times New Roman"/>
          <w:b/>
          <w:color w:val="202124"/>
          <w:sz w:val="20"/>
          <w:szCs w:val="20"/>
        </w:rPr>
        <w:t>Kontaminasi Arsenik dan Kadmium dalam Air, Sedimen, dan Ikan Akibat Budidaya Padi: Bukti Pencemaran Sungai di Sri Lanka</w:t>
      </w:r>
      <w:r w:rsidRPr="004A66C8">
        <w:rPr>
          <w:rFonts w:ascii="Times New Roman" w:hAnsi="Times New Roman" w:cs="Times New Roman"/>
          <w:b/>
          <w:color w:val="202124"/>
          <w:sz w:val="20"/>
          <w:szCs w:val="20"/>
        </w:rPr>
        <w:t xml:space="preserve"> </w:t>
      </w:r>
      <w:r w:rsidRPr="004A66C8">
        <w:rPr>
          <w:rFonts w:ascii="Times New Roman" w:hAnsi="Times New Roman" w:cs="Times New Roman"/>
          <w:b/>
          <w:color w:val="202124"/>
          <w:sz w:val="20"/>
          <w:szCs w:val="20"/>
        </w:rPr>
        <w:t>PA</w:t>
      </w:r>
    </w:p>
    <w:p w:rsidR="001555AF" w:rsidRPr="004A66C8" w:rsidRDefault="001555AF" w:rsidP="003444D5">
      <w:pPr>
        <w:pStyle w:val="ListParagraph"/>
        <w:widowControl w:val="0"/>
        <w:autoSpaceDE w:val="0"/>
        <w:autoSpaceDN w:val="0"/>
        <w:adjustRightInd w:val="0"/>
        <w:spacing w:line="240" w:lineRule="atLeast"/>
        <w:rPr>
          <w:rFonts w:ascii="Times New Roman" w:hAnsi="Times New Roman" w:cs="Times New Roman"/>
          <w:color w:val="202124"/>
          <w:sz w:val="20"/>
          <w:szCs w:val="20"/>
        </w:rPr>
      </w:pPr>
      <w:r w:rsidRPr="004A66C8">
        <w:rPr>
          <w:rFonts w:ascii="Times New Roman" w:hAnsi="Times New Roman" w:cs="Times New Roman"/>
          <w:color w:val="202124"/>
          <w:sz w:val="20"/>
          <w:szCs w:val="20"/>
        </w:rPr>
        <w:t xml:space="preserve">Hulu Malwathu Oya adalah sungai musiman. Tujuan utama dari penelitian ini adalah untuk mengetahui keberadaan dua elemen jejak dalam air dan sedimen, serta jaringan ikan (insang, ginjal, hati dan otot) dari tiga spesies ikan pakan, Etroplus suratensis, Anabas testudineus dan Channa. striata selama musim budidaya dan non-budidaya sepanjang tahun. </w:t>
      </w:r>
      <w:r w:rsidR="003444D5" w:rsidRPr="004A66C8">
        <w:rPr>
          <w:rFonts w:ascii="Times New Roman" w:hAnsi="Times New Roman" w:cs="Times New Roman"/>
          <w:color w:val="202124"/>
          <w:sz w:val="20"/>
          <w:szCs w:val="20"/>
        </w:rPr>
        <w:fldChar w:fldCharType="begin" w:fldLock="1"/>
      </w:r>
      <w:r w:rsidR="003444D5" w:rsidRPr="004A66C8">
        <w:rPr>
          <w:rFonts w:ascii="Times New Roman" w:hAnsi="Times New Roman" w:cs="Times New Roman"/>
          <w:color w:val="202124"/>
          <w:sz w:val="20"/>
          <w:szCs w:val="20"/>
        </w:rPr>
        <w:instrText>ADDIN CSL_CITATION {"citationItems":[{"id":"ITEM-1","itemData":{"DOI":"10.1016/j.als.2016.11.002","ISSN":"20781520","abstract":"The upper Malwathu Oya is a seasonal river. The main livelihood of people living in the immediate vicinity of the river is paddy cultivation, and chronic kidney disease is reported among them. Farmers utilize different types of agricultural chemicals in their fields expecting bumper harvests. Several agricultural chemicals have been reported to contain toxic trace elements in Sri Lanka. Therefore, arsenic and cadmium might end up in the river water. The presence of these trace elements in the river water and sediments can result in their bioaccumulation in fish tissues. The main purpose of this study was to investigate the presence of two trace elements in water and sediments, as well as in fish tissues (gills, kidney, liver and muscle) of three food fish species, Etroplus suratensis, Anabas testudineus and Channa striata during cultivating and non-cultivating seasons of the year. Further, the level of bioaccumulation of two trace elements in fish tissues in relation to the contamination level of water and sediments was assessed. Data were gathered for 43months. Arsenic and cadmium concentration in water showed a significant (P&lt;0.05) seasonal variation. Generally, the two trace elements in the river water were highest during the cultivating seasons than in other seasons. In all species, both trace elements in the gills highly depended on the concentration in the water. In all species, two trace elements in water and sediment did not significantly affect the levels in muscle tissue. Therefore, the trace element levels in the edible parts of these three fish were well below the maximum permissible levels of international institutions.","author":[{"dropping-particle":"","family":"Perera","given":"PA Chintaka T.","non-dropping-particle":"","parse-names":false,"suffix":""},{"dropping-particle":"V.","family":"Sundarabarathy","given":"Thenmoli","non-dropping-particle":"","parse-names":false,"suffix":""},{"dropping-particle":"","family":"Sivananthawerl","given":"Thavananthan","non-dropping-particle":"","parse-names":false,"suffix":""},{"dropping-particle":"","family":"Kodithuwakku","given":"Suranga P.","non-dropping-particle":"","parse-names":false,"suffix":""},{"dropping-particle":"","family":"Edirisinghe","given":"Udeni","non-dropping-particle":"","parse-names":false,"suffix":""}],"container-title":"Achievements in the Life Sciences","id":"ITEM-1","issue":"2","issued":{"date-parts":[["2016"]]},"page":"144-160","publisher":"Far Eastern Federal University","title":"Arsenic and Cadmium Contamination in Water, Sediments and Fish is a Consequence of Paddy Cultivation: Evidence of River Pollution in Sri Lanka","type":"article-journal","volume":"10"},"uris":["http://www.mendeley.com/documents/?uuid=87420ccb-d2d5-404f-9f39-f051518d364a"]}],"mendeley":{"formattedCitation":"(Perera &lt;i&gt;et al.&lt;/i&gt;, 2016)","plainTextFormattedCitation":"(Perera et al., 2016)","previouslyFormattedCitation":"(Perera &lt;i&gt;et al.&lt;/i&gt;, 2016)"},"properties":{"noteIndex":0},"schema":"https://github.com/citation-style-language/schema/raw/master/csl-citation.json"}</w:instrText>
      </w:r>
      <w:r w:rsidR="003444D5" w:rsidRPr="004A66C8">
        <w:rPr>
          <w:rFonts w:ascii="Times New Roman" w:hAnsi="Times New Roman" w:cs="Times New Roman"/>
          <w:color w:val="202124"/>
          <w:sz w:val="20"/>
          <w:szCs w:val="20"/>
        </w:rPr>
        <w:fldChar w:fldCharType="separate"/>
      </w:r>
      <w:r w:rsidR="003444D5" w:rsidRPr="004A66C8">
        <w:rPr>
          <w:rFonts w:ascii="Times New Roman" w:hAnsi="Times New Roman" w:cs="Times New Roman"/>
          <w:noProof/>
          <w:color w:val="202124"/>
          <w:sz w:val="20"/>
          <w:szCs w:val="20"/>
        </w:rPr>
        <w:t xml:space="preserve">(Perera </w:t>
      </w:r>
      <w:r w:rsidR="003444D5" w:rsidRPr="004A66C8">
        <w:rPr>
          <w:rFonts w:ascii="Times New Roman" w:hAnsi="Times New Roman" w:cs="Times New Roman"/>
          <w:i/>
          <w:noProof/>
          <w:color w:val="202124"/>
          <w:sz w:val="20"/>
          <w:szCs w:val="20"/>
        </w:rPr>
        <w:t>et al.</w:t>
      </w:r>
      <w:r w:rsidR="003444D5" w:rsidRPr="004A66C8">
        <w:rPr>
          <w:rFonts w:ascii="Times New Roman" w:hAnsi="Times New Roman" w:cs="Times New Roman"/>
          <w:noProof/>
          <w:color w:val="202124"/>
          <w:sz w:val="20"/>
          <w:szCs w:val="20"/>
        </w:rPr>
        <w:t>, 2016)</w:t>
      </w:r>
      <w:r w:rsidR="003444D5" w:rsidRPr="004A66C8">
        <w:rPr>
          <w:rFonts w:ascii="Times New Roman" w:hAnsi="Times New Roman" w:cs="Times New Roman"/>
          <w:color w:val="202124"/>
          <w:sz w:val="20"/>
          <w:szCs w:val="20"/>
        </w:rPr>
        <w:fldChar w:fldCharType="end"/>
      </w:r>
    </w:p>
    <w:p w:rsidR="003444D5" w:rsidRPr="004A66C8" w:rsidRDefault="003444D5" w:rsidP="003444D5">
      <w:pPr>
        <w:pStyle w:val="ListParagraph"/>
        <w:widowControl w:val="0"/>
        <w:numPr>
          <w:ilvl w:val="0"/>
          <w:numId w:val="3"/>
        </w:numPr>
        <w:autoSpaceDE w:val="0"/>
        <w:autoSpaceDN w:val="0"/>
        <w:adjustRightInd w:val="0"/>
        <w:spacing w:line="240" w:lineRule="atLeast"/>
        <w:rPr>
          <w:rFonts w:ascii="Times New Roman" w:hAnsi="Times New Roman" w:cs="Times New Roman"/>
          <w:b/>
          <w:color w:val="202124"/>
          <w:sz w:val="20"/>
          <w:szCs w:val="20"/>
        </w:rPr>
      </w:pPr>
      <w:r w:rsidRPr="004A66C8">
        <w:rPr>
          <w:rFonts w:ascii="Times New Roman" w:hAnsi="Times New Roman" w:cs="Times New Roman"/>
          <w:b/>
          <w:color w:val="202124"/>
          <w:sz w:val="20"/>
          <w:szCs w:val="20"/>
        </w:rPr>
        <w:t>Struktur Polisakarida Ekstraseluler (EPS) yang Dihasilkan oleh Rhizobia dan Fungsinya dalam Simbiosis Legum-Bakteri</w:t>
      </w:r>
    </w:p>
    <w:p w:rsidR="003444D5" w:rsidRPr="004A66C8" w:rsidRDefault="003444D5" w:rsidP="003444D5">
      <w:pPr>
        <w:pStyle w:val="ListParagraph"/>
        <w:widowControl w:val="0"/>
        <w:autoSpaceDE w:val="0"/>
        <w:autoSpaceDN w:val="0"/>
        <w:adjustRightInd w:val="0"/>
        <w:spacing w:line="240" w:lineRule="atLeast"/>
        <w:rPr>
          <w:rFonts w:ascii="Times New Roman" w:hAnsi="Times New Roman" w:cs="Times New Roman"/>
          <w:color w:val="202124"/>
          <w:sz w:val="20"/>
          <w:szCs w:val="20"/>
        </w:rPr>
      </w:pPr>
      <w:r w:rsidRPr="004A66C8">
        <w:rPr>
          <w:rFonts w:ascii="Times New Roman" w:hAnsi="Times New Roman" w:cs="Times New Roman"/>
          <w:color w:val="202124"/>
          <w:sz w:val="20"/>
          <w:szCs w:val="20"/>
        </w:rPr>
        <w:t>Polisakarida ekstraseluler (EPS) adalah polimer kompleks spesifik spesies dari unit karbohidrat berbeda</w:t>
      </w:r>
      <w:r w:rsidRPr="004A66C8">
        <w:rPr>
          <w:rFonts w:ascii="Times New Roman" w:hAnsi="Times New Roman" w:cs="Times New Roman"/>
          <w:color w:val="202124"/>
          <w:sz w:val="20"/>
          <w:szCs w:val="20"/>
        </w:rPr>
        <w:t xml:space="preserve"> yang disekresikan oleh bakteri sel. </w:t>
      </w:r>
      <w:r w:rsidRPr="004A66C8">
        <w:rPr>
          <w:rFonts w:ascii="Times New Roman" w:hAnsi="Times New Roman" w:cs="Times New Roman"/>
          <w:color w:val="202124"/>
          <w:sz w:val="20"/>
          <w:szCs w:val="20"/>
        </w:rPr>
        <w:t>Produksi EPS oleh rhizobia dianggap memiliki implikasi fisiologis penting dan konstituen kritisnya tampaknya hanya untuk proses invasi yang mengarah ke jenis nodul yang tidak dapat ditentukan dan ditentukan.</w:t>
      </w:r>
      <w:r w:rsidRPr="004A66C8">
        <w:rPr>
          <w:rFonts w:ascii="Times New Roman" w:hAnsi="Times New Roman" w:cs="Times New Roman"/>
          <w:color w:val="202124"/>
          <w:sz w:val="20"/>
          <w:szCs w:val="20"/>
        </w:rPr>
        <w:fldChar w:fldCharType="begin" w:fldLock="1"/>
      </w:r>
      <w:r w:rsidRPr="004A66C8">
        <w:rPr>
          <w:rFonts w:ascii="Times New Roman" w:hAnsi="Times New Roman" w:cs="Times New Roman"/>
          <w:color w:val="202124"/>
          <w:sz w:val="20"/>
          <w:szCs w:val="20"/>
        </w:rPr>
        <w:instrText>ADDIN CSL_CITATION {"citationItems":[{"id":"ITEM-1","itemData":{"DOI":"10.1016/j.als.2016.11.003","ISSN":"20781520","abstract":"The symbiotic diazotrophs comprise with a very diverse group of Gram negative soil bacteria, collectively called as rhizobia found in nodule of legume plant. Rhizobia adopt themselves in different environment including soil, rhizosphere and grown within legume roots, where they fix nitrogen. The establishment of symbiosis is a very complicated process involving a coordinated exchange of signal between legume plants and the symbionts. The nodule development requires synthesis of signal molecules such as Nod factors that are important for induction of nodule development. There are different types of surface polysaccharides such as lipopolysaccharides, capsular polysaccharides, neutral and acidic polysaccharides found in rhizobia. The production of symbiotically active polysaccharides may allow rhizobial strains to adapt themselves to changing environmental conditions and interact efficiently with legume plants. Despite extensive research, the actual molecular function of the surface polysaccharides of rhizobia in symbiosis remains unclear. This review emphasized on the structural composition of extracellular polysaccharide of different rhizobia isolated from different legume plants. The compositions of extracellular polysaccharides are different in different rhizobia. The various compositions of extracellular polysaccharides produced by the symbionts are considered as the signaling molecules essential for determining host plant specificity. The present status of the biological functions of the exo-polysaccharide in symbiosis such as host specificity, successful invasion, formation of infection thread and induction of nodule formation in legume plants is also summarized here.","author":[{"dropping-particle":"","family":"Ghosh","given":"Pallab Kumar","non-dropping-particle":"","parse-names":false,"suffix":""},{"dropping-particle":"","family":"Maiti","given":"Tushar Kanti","non-dropping-particle":"","parse-names":false,"suffix":""}],"container-title":"Achievements in the Life Sciences","id":"ITEM-1","issue":"2","issued":{"date-parts":[["2016"]]},"page":"136-143","publisher":"Elsevier B.V.","title":"Structure of Extracellular Polysaccharides (EPS) Produced by Rhizobia and their Functions in Legume–Bacteria Symbiosis: — A Review","type":"article-journal","volume":"10"},"uris":["http://www.mendeley.com/documents/?uuid=ca0ce6ac-aac3-424f-9cbd-2a24d204322f"]}],"mendeley":{"formattedCitation":"(Ghosh and Maiti, 2016)","plainTextFormattedCitation":"(Ghosh and Maiti, 2016)","previouslyFormattedCitation":"(Ghosh and Maiti, 2016)"},"properties":{"noteIndex":0},"schema":"https://github.com/citation-style-language/schema/raw/master/csl-citation.json"}</w:instrText>
      </w:r>
      <w:r w:rsidRPr="004A66C8">
        <w:rPr>
          <w:rFonts w:ascii="Times New Roman" w:hAnsi="Times New Roman" w:cs="Times New Roman"/>
          <w:color w:val="202124"/>
          <w:sz w:val="20"/>
          <w:szCs w:val="20"/>
        </w:rPr>
        <w:fldChar w:fldCharType="separate"/>
      </w:r>
      <w:r w:rsidRPr="004A66C8">
        <w:rPr>
          <w:rFonts w:ascii="Times New Roman" w:hAnsi="Times New Roman" w:cs="Times New Roman"/>
          <w:noProof/>
          <w:color w:val="202124"/>
          <w:sz w:val="20"/>
          <w:szCs w:val="20"/>
        </w:rPr>
        <w:t>(Ghosh and Maiti, 2016)</w:t>
      </w:r>
      <w:r w:rsidRPr="004A66C8">
        <w:rPr>
          <w:rFonts w:ascii="Times New Roman" w:hAnsi="Times New Roman" w:cs="Times New Roman"/>
          <w:color w:val="202124"/>
          <w:sz w:val="20"/>
          <w:szCs w:val="20"/>
        </w:rPr>
        <w:fldChar w:fldCharType="end"/>
      </w:r>
    </w:p>
    <w:p w:rsidR="003444D5" w:rsidRPr="004A66C8" w:rsidRDefault="003444D5" w:rsidP="003444D5">
      <w:pPr>
        <w:pStyle w:val="ListParagraph"/>
        <w:widowControl w:val="0"/>
        <w:numPr>
          <w:ilvl w:val="0"/>
          <w:numId w:val="3"/>
        </w:numPr>
        <w:autoSpaceDE w:val="0"/>
        <w:autoSpaceDN w:val="0"/>
        <w:adjustRightInd w:val="0"/>
        <w:spacing w:line="240" w:lineRule="atLeast"/>
        <w:rPr>
          <w:rFonts w:ascii="Times New Roman" w:hAnsi="Times New Roman" w:cs="Times New Roman"/>
          <w:b/>
          <w:color w:val="202124"/>
          <w:sz w:val="20"/>
          <w:szCs w:val="20"/>
        </w:rPr>
      </w:pPr>
      <w:r w:rsidRPr="004A66C8">
        <w:rPr>
          <w:rFonts w:ascii="Times New Roman" w:hAnsi="Times New Roman" w:cs="Times New Roman"/>
          <w:b/>
          <w:color w:val="202124"/>
          <w:sz w:val="20"/>
          <w:szCs w:val="20"/>
        </w:rPr>
        <w:t>Asidosis Ruminal Sub-akut (SARA) dan Konsekuensinya pada Sapi Perah</w:t>
      </w:r>
    </w:p>
    <w:p w:rsidR="003444D5" w:rsidRPr="004A66C8" w:rsidRDefault="003444D5" w:rsidP="003444D5">
      <w:pPr>
        <w:pStyle w:val="ListParagraph"/>
        <w:widowControl w:val="0"/>
        <w:autoSpaceDE w:val="0"/>
        <w:autoSpaceDN w:val="0"/>
        <w:adjustRightInd w:val="0"/>
        <w:spacing w:line="240" w:lineRule="atLeast"/>
        <w:rPr>
          <w:rFonts w:ascii="Times New Roman" w:hAnsi="Times New Roman" w:cs="Times New Roman"/>
          <w:color w:val="202124"/>
          <w:sz w:val="20"/>
          <w:szCs w:val="20"/>
        </w:rPr>
      </w:pPr>
      <w:r w:rsidRPr="004A66C8">
        <w:rPr>
          <w:rFonts w:ascii="Times New Roman" w:hAnsi="Times New Roman" w:cs="Times New Roman"/>
          <w:color w:val="202124"/>
          <w:sz w:val="20"/>
          <w:szCs w:val="20"/>
        </w:rPr>
        <w:t>Asidosis rumen subakut (SARA) merupakan salah satu penyakit metabolik terpenting dalam industri susu modern yang</w:t>
      </w:r>
      <w:r w:rsidRPr="004A66C8">
        <w:rPr>
          <w:rFonts w:ascii="Times New Roman" w:hAnsi="Times New Roman" w:cs="Times New Roman"/>
          <w:color w:val="202124"/>
          <w:sz w:val="20"/>
          <w:szCs w:val="20"/>
        </w:rPr>
        <w:t xml:space="preserve"> </w:t>
      </w:r>
      <w:r w:rsidRPr="004A66C8">
        <w:rPr>
          <w:rFonts w:ascii="Times New Roman" w:hAnsi="Times New Roman" w:cs="Times New Roman"/>
          <w:color w:val="202124"/>
          <w:sz w:val="20"/>
          <w:szCs w:val="20"/>
        </w:rPr>
        <w:t xml:space="preserve">kinerja dan kesehatan bahkan sapi perah yang dikelola dengan baik dan berproduksi tinggi. </w:t>
      </w:r>
      <w:r w:rsidRPr="004A66C8">
        <w:rPr>
          <w:rFonts w:ascii="Times New Roman" w:hAnsi="Times New Roman" w:cs="Times New Roman"/>
          <w:color w:val="202124"/>
          <w:sz w:val="20"/>
          <w:szCs w:val="20"/>
        </w:rPr>
        <w:fldChar w:fldCharType="begin" w:fldLock="1"/>
      </w:r>
      <w:r w:rsidRPr="004A66C8">
        <w:rPr>
          <w:rFonts w:ascii="Times New Roman" w:hAnsi="Times New Roman" w:cs="Times New Roman"/>
          <w:color w:val="202124"/>
          <w:sz w:val="20"/>
          <w:szCs w:val="20"/>
        </w:rPr>
        <w:instrText>ADDIN CSL_CITATION {"citationItems":[{"id":"ITEM-1","itemData":{"DOI":"10.1016/j.als.2016.11.006","ISSN":"20781520","abstract":"Dairy producer increase milk production by over feeding grain diets that are high in starch and low in fiber to increase intake of energy and met dietary requirements of the high yielding dairy cows. However, these diets increase the risk of subacute ruminal acidosis (SARA). Thus, maximizing milk production without incurring Sub-acute ruminal acidosis is a challenging most dairy producers. The main aims of this paper were to review available article on general aspects of Sub-acute ruminal acidosis and its consequence in dairy cattle by focusing on past and recent article and helping to update the current knowledge for early recognition and limit the associated negative impact in dairy industry. Sub-acute ruminal acidosis is a well-recognized and economically important digestive disorder found particularly in well-managed dairy cattle. It is a consequence of feeding high grain diets to dairy cows and characterized by daily episodes of low ruminal which generally occurs when ruminal pH stays in the range of 5.2 and 6 for a prolonged period resulting in depresses fiber digestion and possibly milk production. There is no typical clinical sign of illness in SARA affected cows. However, SARA is said to be associated with inflammations of different organs and tissues in dairy cows. Rumenocentesis remains the most reliable means of diagnosing SARA. The cow at risk to develop SARA includes cows in the early lactation, Primiparous cows and Cows grazing or fed with rapidly fermentable low fiber grass. SARA has long-term health and economic consequences, which include feed intake depression, fluctuations in feed intake, reduced diet digestibility, reduced milk yield, reduced milk fat percent, gastrointestinal damage, liver abscesses, and lameness. Apart from compromises to dairy cow health and economics, SARA is of concern for animal welfare reasons, since lameness and laminitis impact significantly on cow comfort and general well-being. Thus, it represents a significant concern for dairy industry and the cattle should be regularly monitored to facilitate early recognition of the condition and limit the associated economic losses.","author":[{"dropping-particle":"","family":"Abdela","given":"Nejash","non-dropping-particle":"","parse-names":false,"suffix":""}],"container-title":"Achievements in the Life Sciences","id":"ITEM-1","issue":"2","issued":{"date-parts":[["2016"]]},"page":"187-196","publisher":"Far Eastern Federal University","title":"Sub-acute Ruminal Acidosis (SARA) and its Consequence in Dairy Cattle: A Review of Past and Recent Research at Global Prospective","type":"article-journal","volume":"10"},"uris":["http://www.mendeley.com/documents/?uuid=9466a19c-e0ed-4f0e-8261-016e4df4f236"]}],"mendeley":{"formattedCitation":"(Abdela, 2016)","plainTextFormattedCitation":"(Abdela, 2016)","previouslyFormattedCitation":"(Abdela, 2016)"},"properties":{"noteIndex":0},"schema":"https://github.com/citation-style-language/schema/raw/master/csl-citation.json"}</w:instrText>
      </w:r>
      <w:r w:rsidRPr="004A66C8">
        <w:rPr>
          <w:rFonts w:ascii="Times New Roman" w:hAnsi="Times New Roman" w:cs="Times New Roman"/>
          <w:color w:val="202124"/>
          <w:sz w:val="20"/>
          <w:szCs w:val="20"/>
        </w:rPr>
        <w:fldChar w:fldCharType="separate"/>
      </w:r>
      <w:r w:rsidRPr="004A66C8">
        <w:rPr>
          <w:rFonts w:ascii="Times New Roman" w:hAnsi="Times New Roman" w:cs="Times New Roman"/>
          <w:noProof/>
          <w:color w:val="202124"/>
          <w:sz w:val="20"/>
          <w:szCs w:val="20"/>
        </w:rPr>
        <w:t>(Abdela, 2016)</w:t>
      </w:r>
      <w:r w:rsidRPr="004A66C8">
        <w:rPr>
          <w:rFonts w:ascii="Times New Roman" w:hAnsi="Times New Roman" w:cs="Times New Roman"/>
          <w:color w:val="202124"/>
          <w:sz w:val="20"/>
          <w:szCs w:val="20"/>
        </w:rPr>
        <w:fldChar w:fldCharType="end"/>
      </w:r>
    </w:p>
    <w:p w:rsidR="003444D5" w:rsidRPr="004A66C8" w:rsidRDefault="003444D5" w:rsidP="003444D5">
      <w:pPr>
        <w:pStyle w:val="ListParagraph"/>
        <w:widowControl w:val="0"/>
        <w:numPr>
          <w:ilvl w:val="0"/>
          <w:numId w:val="3"/>
        </w:numPr>
        <w:autoSpaceDE w:val="0"/>
        <w:autoSpaceDN w:val="0"/>
        <w:adjustRightInd w:val="0"/>
        <w:spacing w:line="240" w:lineRule="atLeast"/>
        <w:rPr>
          <w:rFonts w:ascii="Times New Roman" w:hAnsi="Times New Roman" w:cs="Times New Roman"/>
          <w:b/>
          <w:color w:val="202124"/>
          <w:sz w:val="20"/>
          <w:szCs w:val="20"/>
        </w:rPr>
      </w:pPr>
      <w:r w:rsidRPr="004A66C8">
        <w:rPr>
          <w:rFonts w:ascii="Times New Roman" w:hAnsi="Times New Roman" w:cs="Times New Roman"/>
          <w:b/>
          <w:color w:val="202124"/>
          <w:sz w:val="20"/>
          <w:szCs w:val="20"/>
        </w:rPr>
        <w:t>Perancah Berbasis Kitosan dan Aplikasinya dalam Penyembuhan Luka</w:t>
      </w:r>
    </w:p>
    <w:p w:rsidR="003444D5" w:rsidRPr="004A66C8" w:rsidRDefault="003444D5" w:rsidP="003444D5">
      <w:pPr>
        <w:pStyle w:val="ListParagraph"/>
        <w:widowControl w:val="0"/>
        <w:autoSpaceDE w:val="0"/>
        <w:autoSpaceDN w:val="0"/>
        <w:adjustRightInd w:val="0"/>
        <w:spacing w:line="240" w:lineRule="atLeast"/>
        <w:rPr>
          <w:rFonts w:ascii="Times New Roman" w:hAnsi="Times New Roman" w:cs="Times New Roman"/>
          <w:color w:val="202124"/>
          <w:sz w:val="20"/>
          <w:szCs w:val="20"/>
        </w:rPr>
      </w:pPr>
      <w:r w:rsidRPr="004A66C8">
        <w:rPr>
          <w:rFonts w:ascii="Times New Roman" w:hAnsi="Times New Roman" w:cs="Times New Roman"/>
          <w:color w:val="202124"/>
          <w:sz w:val="20"/>
          <w:szCs w:val="20"/>
        </w:rPr>
        <w:t>A</w:t>
      </w:r>
      <w:r w:rsidRPr="004A66C8">
        <w:rPr>
          <w:rFonts w:ascii="Times New Roman" w:hAnsi="Times New Roman" w:cs="Times New Roman"/>
          <w:color w:val="202124"/>
          <w:sz w:val="20"/>
          <w:szCs w:val="20"/>
        </w:rPr>
        <w:t>plikasi antimikroba, antiinflamasi dan biomedis dari kitosan</w:t>
      </w:r>
      <w:r w:rsidRPr="004A66C8">
        <w:rPr>
          <w:rFonts w:ascii="Times New Roman" w:hAnsi="Times New Roman" w:cs="Times New Roman"/>
          <w:color w:val="202124"/>
          <w:sz w:val="20"/>
          <w:szCs w:val="20"/>
        </w:rPr>
        <w:t xml:space="preserve"> </w:t>
      </w:r>
      <w:r w:rsidRPr="004A66C8">
        <w:rPr>
          <w:rFonts w:ascii="Times New Roman" w:hAnsi="Times New Roman" w:cs="Times New Roman"/>
          <w:color w:val="202124"/>
          <w:sz w:val="20"/>
          <w:szCs w:val="20"/>
        </w:rPr>
        <w:t xml:space="preserve">bahan terutama pembalut luka telah ditutup. Kitosan telah terbukti menjadi biomaterial potensial untuk digunakan dalam penyembuhan luka karena sifat antimikroba dan antiinflamasinya. Balutan yang efektif harus memiliki karakteristik yang dioptimalkan untuk jenis luka tertentu </w:t>
      </w:r>
      <w:r w:rsidRPr="004A66C8">
        <w:rPr>
          <w:rFonts w:ascii="Times New Roman" w:hAnsi="Times New Roman" w:cs="Times New Roman"/>
          <w:color w:val="202124"/>
          <w:sz w:val="20"/>
          <w:szCs w:val="20"/>
        </w:rPr>
        <w:fldChar w:fldCharType="begin" w:fldLock="1"/>
      </w:r>
      <w:r w:rsidR="00D706BD" w:rsidRPr="004A66C8">
        <w:rPr>
          <w:rFonts w:ascii="Times New Roman" w:hAnsi="Times New Roman" w:cs="Times New Roman"/>
          <w:color w:val="202124"/>
          <w:sz w:val="20"/>
          <w:szCs w:val="20"/>
        </w:rPr>
        <w:instrText>ADDIN CSL_CITATION {"citationItems":[{"id":"ITEM-1","itemData":{"DOI":"10.1016/j.als.2016.04.001","ISSN":"20781520","abstract":"Over the last decade, much interest has been developed in biopolymer based materials due to their biocompatible, biodegradable, non-toxic and non-allergenic nature. Chitosan is a unique biopolymer that exhibits outstanding properties, besides biocompatibility and biodegradability. Most of these peculiar properties arise from the presence of primary amines along the chitosan backbone. Many works have been done to obtain chitosan based scaffolds, including surface modifications, the fabrication of chitosan based blends, chitosan based composite scaffolds, and drug-loaded scaffolds. This study provides an overview of the key features of inherent properties of chitosan, their modification, and its use in biomedical engineering particularly toward anti-inflammatory and wound healing.","author":[{"dropping-particle":"","family":"Ahmed","given":"Shakeel","non-dropping-particle":"","parse-names":false,"suffix":""},{"dropping-particle":"","family":"Ikram","given":"Saiqa","non-dropping-particle":"","parse-names":false,"suffix":""}],"container-title":"Achievements in the Life Sciences","id":"ITEM-1","issue":"1","issued":{"date-parts":[["2016"]]},"page":"27-37","publisher":"Far Eastern Federal University","title":"Chitosan Based Scaffolds and Their Applications in Wound Healing","type":"article-journal","volume":"10"},"uris":["http://www.mendeley.com/documents/?uuid=d811d836-d058-4a5f-83ef-1f90ed34aefb"]}],"mendeley":{"formattedCitation":"(Ahmed and Ikram, 2016)","plainTextFormattedCitation":"(Ahmed and Ikram, 2016)","previouslyFormattedCitation":"(Ahmed and Ikram, 2016)"},"properties":{"noteIndex":0},"schema":"https://github.com/citation-style-language/schema/raw/master/csl-citation.json"}</w:instrText>
      </w:r>
      <w:r w:rsidRPr="004A66C8">
        <w:rPr>
          <w:rFonts w:ascii="Times New Roman" w:hAnsi="Times New Roman" w:cs="Times New Roman"/>
          <w:color w:val="202124"/>
          <w:sz w:val="20"/>
          <w:szCs w:val="20"/>
        </w:rPr>
        <w:fldChar w:fldCharType="separate"/>
      </w:r>
      <w:r w:rsidRPr="004A66C8">
        <w:rPr>
          <w:rFonts w:ascii="Times New Roman" w:hAnsi="Times New Roman" w:cs="Times New Roman"/>
          <w:noProof/>
          <w:color w:val="202124"/>
          <w:sz w:val="20"/>
          <w:szCs w:val="20"/>
        </w:rPr>
        <w:t>(Ahmed and Ikram, 2016)</w:t>
      </w:r>
      <w:r w:rsidRPr="004A66C8">
        <w:rPr>
          <w:rFonts w:ascii="Times New Roman" w:hAnsi="Times New Roman" w:cs="Times New Roman"/>
          <w:color w:val="202124"/>
          <w:sz w:val="20"/>
          <w:szCs w:val="20"/>
        </w:rPr>
        <w:fldChar w:fldCharType="end"/>
      </w:r>
    </w:p>
    <w:p w:rsidR="00D706BD" w:rsidRPr="004A66C8" w:rsidRDefault="003444D5" w:rsidP="00D706BD">
      <w:pPr>
        <w:pStyle w:val="ListParagraph"/>
        <w:widowControl w:val="0"/>
        <w:numPr>
          <w:ilvl w:val="0"/>
          <w:numId w:val="3"/>
        </w:numPr>
        <w:autoSpaceDE w:val="0"/>
        <w:autoSpaceDN w:val="0"/>
        <w:adjustRightInd w:val="0"/>
        <w:spacing w:line="240" w:lineRule="atLeast"/>
        <w:rPr>
          <w:rFonts w:ascii="Times New Roman" w:hAnsi="Times New Roman" w:cs="Times New Roman"/>
          <w:b/>
          <w:color w:val="202124"/>
          <w:sz w:val="20"/>
          <w:szCs w:val="20"/>
        </w:rPr>
      </w:pPr>
      <w:r w:rsidRPr="004A66C8">
        <w:rPr>
          <w:rFonts w:ascii="Times New Roman" w:hAnsi="Times New Roman" w:cs="Times New Roman"/>
          <w:b/>
          <w:color w:val="202124"/>
          <w:sz w:val="20"/>
          <w:szCs w:val="20"/>
        </w:rPr>
        <w:t>Asal Mula Penyakit Kronis Bisa Dalam Patologi Kapiler</w:t>
      </w:r>
      <w:r w:rsidR="00D706BD" w:rsidRPr="004A66C8">
        <w:rPr>
          <w:rFonts w:ascii="Times New Roman" w:hAnsi="Times New Roman" w:cs="Times New Roman"/>
          <w:b/>
          <w:color w:val="202124"/>
          <w:sz w:val="20"/>
          <w:szCs w:val="20"/>
        </w:rPr>
        <w:t xml:space="preserve"> </w:t>
      </w:r>
    </w:p>
    <w:p w:rsidR="00D706BD" w:rsidRPr="004A66C8" w:rsidRDefault="00D706BD" w:rsidP="00D706BD">
      <w:pPr>
        <w:pStyle w:val="ListParagraph"/>
        <w:widowControl w:val="0"/>
        <w:autoSpaceDE w:val="0"/>
        <w:autoSpaceDN w:val="0"/>
        <w:adjustRightInd w:val="0"/>
        <w:spacing w:line="240" w:lineRule="atLeast"/>
        <w:rPr>
          <w:rFonts w:ascii="Times New Roman" w:hAnsi="Times New Roman" w:cs="Times New Roman"/>
          <w:color w:val="202124"/>
          <w:sz w:val="20"/>
          <w:szCs w:val="20"/>
        </w:rPr>
      </w:pPr>
      <w:r w:rsidRPr="004A66C8">
        <w:rPr>
          <w:rFonts w:ascii="Times New Roman" w:hAnsi="Times New Roman" w:cs="Times New Roman"/>
          <w:color w:val="202124"/>
          <w:sz w:val="20"/>
          <w:szCs w:val="20"/>
        </w:rPr>
        <w:t>Metode: Hipotesis penyebab penyakit dalam kronis karena aktivitas patologis kapiler dengan fokus mikro hipotermia yang muncul, pemicu berkelanjutan untuk perkembangan penyakit di organ yang terkena, dinyatakan dalam paten AS "Perangkat dan Metode Terapi", yaitu terapi thermobalancing (TT) dan alat terapeutik. penyebab utama untuk penyakit internal kronis yang berbeda, seperti BPH dan CP / CPPS adalah sama dan diposisi</w:t>
      </w:r>
      <w:r w:rsidR="004A66C8" w:rsidRPr="004A66C8">
        <w:rPr>
          <w:rFonts w:ascii="Times New Roman" w:hAnsi="Times New Roman" w:cs="Times New Roman"/>
          <w:color w:val="202124"/>
          <w:sz w:val="20"/>
          <w:szCs w:val="20"/>
        </w:rPr>
        <w:t>kan pada tingkat mikrovaskuler</w:t>
      </w:r>
      <w:r w:rsidRPr="004A66C8">
        <w:rPr>
          <w:rFonts w:ascii="Times New Roman" w:hAnsi="Times New Roman" w:cs="Times New Roman"/>
          <w:color w:val="202124"/>
          <w:sz w:val="20"/>
          <w:szCs w:val="20"/>
        </w:rPr>
        <w:t>.</w:t>
      </w:r>
      <w:r w:rsidRPr="004A66C8">
        <w:rPr>
          <w:rFonts w:ascii="Times New Roman" w:hAnsi="Times New Roman" w:cs="Times New Roman"/>
          <w:color w:val="202124"/>
          <w:sz w:val="20"/>
          <w:szCs w:val="20"/>
        </w:rPr>
        <w:fldChar w:fldCharType="begin" w:fldLock="1"/>
      </w:r>
      <w:r w:rsidR="004A66C8" w:rsidRPr="004A66C8">
        <w:rPr>
          <w:rFonts w:ascii="Times New Roman" w:hAnsi="Times New Roman" w:cs="Times New Roman"/>
          <w:color w:val="202124"/>
          <w:sz w:val="20"/>
          <w:szCs w:val="20"/>
        </w:rPr>
        <w:instrText>ADDIN CSL_CITATION {"citationItems":[{"id":"ITEM-1","itemData":{"DOI":"10.1016/j.als.2016.11.005","ISSN":"20781520","abstract":"AIM\\nEtiology and pathophysiology of chronic internal disease was unknown until last days. This article challenges that two clinical trials have discovered the origin of chronic prostate diseases. \\n\\nMETHODS\\nThe hypothesis of the chronic internal diseases cause due to pathological activity of capillaries with emerging micro-focus of hypothermia, a continuous trigger for disease development in any affected organ, was declared in the US patent “Therapeutic Device and Method”, i.e. thermobalancing therapy (TT) and therapeutic device. Two clinical trials before and 6months after TT for chronic prostatitis/chronic pelvic pain syndrome (CP/CPPS) and benign prostatic hyperplasia (BPH) with the device, namely Dr. Allen's therapeutic device (DATD) confirmed the effectiveness of TT. This device was used as mono-therapy for 124 patients with BPH and 45 men with CP/CPPS. \\n\\nRESULTS\\nCompared to controls, the TT groups showed significant improvements from baseline to endpoint. TT in men with BPH decreased urinary symptoms and PV, increased Qmax and improved quality of life index (QoL). At the same time, another clinical trial on TT in men with CP/CPPS has demonstrated decrease of pain score and PV mL, improvement of QoL and increase of Qmax mL/sec. \\n\\nCONCLUSIONS\\nThe long-term application of the source of emitted body heat with DATD, i.e. TT, to the projection of affected prostate removes “micro-focus” of hypothermia at the capillary level that improves blood circulation in the organ and its function. Thus this article shows that the underlying cause for different chronic internal diseases, such as BPH and CP/CPPS is the same and is positioned at the microvascular level. More studies with thermobalancing therapy needed.","author":[{"dropping-particle":"","family":"Allen","given":"Simon","non-dropping-particle":"","parse-names":false,"suffix":""}],"container-title":"Achievements in the Life Allen, S. (2016). The Origin of Chronic Diseases Can Be in Capillary Pathology: An Evidence From Clinical Trials on Thermobalancing Treatment of Prostate Reveals. Achievements in the Life Sciences, 10(2), 197–202. https://doi.org/","id":"ITEM-1","issue":"2","issued":{"date-parts":[["2016"]]},"page":"197-202","publisher":"Elsevier B.V.","title":"The Origin of Chronic Diseases Can Be in Capillary Pathology: An Evidence From Clinical Trials on Thermobalancing Treatment of Prostate Reveals","type":"article-journal","volume":"10"},"uris":["http://www.mendeley.com/documents/?uuid=ecd87218-30f1-44d2-8855-99a6bb901f37"]}],"mendeley":{"formattedCitation":"(Allen, 2016)","plainTextFormattedCitation":"(Allen, 2016)","previouslyFormattedCitation":"(Allen, 2016)"},"properties":{"noteIndex":0},"schema":"https://github.com/citation-style-language/schema/raw/master/csl-citation.json"}</w:instrText>
      </w:r>
      <w:r w:rsidRPr="004A66C8">
        <w:rPr>
          <w:rFonts w:ascii="Times New Roman" w:hAnsi="Times New Roman" w:cs="Times New Roman"/>
          <w:color w:val="202124"/>
          <w:sz w:val="20"/>
          <w:szCs w:val="20"/>
        </w:rPr>
        <w:fldChar w:fldCharType="separate"/>
      </w:r>
      <w:r w:rsidRPr="004A66C8">
        <w:rPr>
          <w:rFonts w:ascii="Times New Roman" w:hAnsi="Times New Roman" w:cs="Times New Roman"/>
          <w:noProof/>
          <w:color w:val="202124"/>
          <w:sz w:val="20"/>
          <w:szCs w:val="20"/>
        </w:rPr>
        <w:t>(Allen, 2016)</w:t>
      </w:r>
      <w:r w:rsidRPr="004A66C8">
        <w:rPr>
          <w:rFonts w:ascii="Times New Roman" w:hAnsi="Times New Roman" w:cs="Times New Roman"/>
          <w:color w:val="202124"/>
          <w:sz w:val="20"/>
          <w:szCs w:val="20"/>
        </w:rPr>
        <w:fldChar w:fldCharType="end"/>
      </w:r>
    </w:p>
    <w:p w:rsidR="004A66C8" w:rsidRPr="004A66C8" w:rsidRDefault="00D706BD" w:rsidP="004A66C8">
      <w:pPr>
        <w:pStyle w:val="ListParagraph"/>
        <w:widowControl w:val="0"/>
        <w:numPr>
          <w:ilvl w:val="0"/>
          <w:numId w:val="3"/>
        </w:numPr>
        <w:autoSpaceDE w:val="0"/>
        <w:autoSpaceDN w:val="0"/>
        <w:adjustRightInd w:val="0"/>
        <w:spacing w:line="240" w:lineRule="atLeast"/>
        <w:rPr>
          <w:rFonts w:ascii="Times New Roman" w:hAnsi="Times New Roman" w:cs="Times New Roman"/>
          <w:b/>
          <w:color w:val="202124"/>
          <w:sz w:val="20"/>
          <w:szCs w:val="20"/>
        </w:rPr>
      </w:pPr>
      <w:r w:rsidRPr="004A66C8">
        <w:rPr>
          <w:rFonts w:ascii="Times New Roman" w:hAnsi="Times New Roman" w:cs="Times New Roman"/>
          <w:b/>
          <w:color w:val="202124"/>
          <w:sz w:val="20"/>
          <w:szCs w:val="20"/>
        </w:rPr>
        <w:t>Kloning Molekuler dan Pemodelan Homologi Novel Tyrosylprotein Sulfotransferase dari Moluska Laut</w:t>
      </w:r>
    </w:p>
    <w:p w:rsidR="004A66C8" w:rsidRPr="004A66C8" w:rsidRDefault="004A66C8" w:rsidP="004A66C8">
      <w:pPr>
        <w:pStyle w:val="ListParagraph"/>
        <w:widowControl w:val="0"/>
        <w:autoSpaceDE w:val="0"/>
        <w:autoSpaceDN w:val="0"/>
        <w:adjustRightInd w:val="0"/>
        <w:spacing w:line="240" w:lineRule="atLeast"/>
        <w:rPr>
          <w:rFonts w:ascii="Times New Roman" w:hAnsi="Times New Roman" w:cs="Times New Roman"/>
          <w:color w:val="202124"/>
          <w:sz w:val="20"/>
          <w:szCs w:val="20"/>
        </w:rPr>
      </w:pPr>
      <w:r w:rsidRPr="004A66C8">
        <w:rPr>
          <w:rFonts w:ascii="Times New Roman" w:hAnsi="Times New Roman" w:cs="Times New Roman"/>
          <w:color w:val="202124"/>
          <w:sz w:val="20"/>
          <w:szCs w:val="20"/>
        </w:rPr>
        <w:t>Gen tyrosylprotein sulfotransferase yang ditemukan pada mamalia telah banyak ditemukan pada moluska laut Littorina sitkana. Konservasi yang tinggi dari gen ini menunjukkan pentingnya fungsional TPST dalam metabolisme dunia kehidupan</w:t>
      </w:r>
      <w:r w:rsidRPr="004A66C8">
        <w:rPr>
          <w:rFonts w:ascii="Times New Roman" w:hAnsi="Times New Roman" w:cs="Times New Roman"/>
          <w:color w:val="202124"/>
          <w:sz w:val="20"/>
          <w:szCs w:val="20"/>
        </w:rPr>
        <w:fldChar w:fldCharType="begin" w:fldLock="1"/>
      </w:r>
      <w:r>
        <w:rPr>
          <w:rFonts w:ascii="Times New Roman" w:hAnsi="Times New Roman" w:cs="Times New Roman"/>
          <w:color w:val="202124"/>
          <w:sz w:val="20"/>
          <w:szCs w:val="20"/>
        </w:rPr>
        <w:instrText>ADDIN CSL_CITATION {"citationItems":[{"id":"ITEM-1","itemData":{"DOI":"10.1016/j.als.2016.06.001","ISSN":"20781520","abstract":"The gene of tyrosylprotein sulfotransferase, which was discovered in mammals, has been widely found in marine mollusk Littorina sitkana. High conservation of this gene indicates the functional importance of TPST in the metabolism of the living world. The cDNA encoding TPST in the mollusk was cloned and sequenced, and the enzyme was assigned on the basis of amino acid sequence similarity as tyrosylprotein sulfotransferase-2 (TPST-2). The putative homology model for the catalytic domain of TPST from L. sitkana was constructed according to crystal structure of the catalytic domain of the human TPST-2. The putative model of dimer structure showed that the active site involved two monomers and the dimer contains two active centers.","author":[{"dropping-particle":"","family":"Avtushenko","given":"Maria S.","non-dropping-particle":"","parse-names":false,"suffix":""},{"dropping-particle":"","family":"Kovalchuk","given":"Svetlana N.","non-dropping-particle":"","parse-names":false,"suffix":""},{"dropping-particle":"","family":"Likhatskaya","given":"Galina N.","non-dropping-particle":"","parse-names":false,"suffix":""},{"dropping-particle":"","family":"Zvyagintseva","given":"Tatyana N.","non-dropping-particle":"","parse-names":false,"suffix":""},{"dropping-particle":"","family":"Haertlé","given":"Thomas","non-dropping-particle":"","parse-names":false,"suffix":""}],"container-title":"Achievements in the Life Sciences","id":"ITEM-1","issue":"1","issued":{"date-parts":[["2016"]]},"page":"118-124","publisher":"Far Eastern Federal University","title":"Molecular Cloning and Homology Modeling of Novel Tyrosylprotein Sulfotransferase of Marine Mollusk","type":"article-journal","volume":"10"},"uris":["http://www.mendeley.com/documents/?uuid=975bcebf-154d-4c73-a5f6-573a55347528"]}],"mendeley":{"formattedCitation":"(Avtushenko &lt;i&gt;et al.&lt;/i&gt;, 2016)","plainTextFormattedCitation":"(Avtushenko et al., 2016)","previouslyFormattedCitation":"(Avtushenko &lt;i&gt;et al.&lt;/i&gt;, 2016)"},"properties":{"noteIndex":0},"schema":"https://github.com/citation-style-language/schema/raw/master/csl-citation.json"}</w:instrText>
      </w:r>
      <w:r w:rsidRPr="004A66C8">
        <w:rPr>
          <w:rFonts w:ascii="Times New Roman" w:hAnsi="Times New Roman" w:cs="Times New Roman"/>
          <w:color w:val="202124"/>
          <w:sz w:val="20"/>
          <w:szCs w:val="20"/>
        </w:rPr>
        <w:fldChar w:fldCharType="separate"/>
      </w:r>
      <w:r w:rsidRPr="004A66C8">
        <w:rPr>
          <w:rFonts w:ascii="Times New Roman" w:hAnsi="Times New Roman" w:cs="Times New Roman"/>
          <w:noProof/>
          <w:color w:val="202124"/>
          <w:sz w:val="20"/>
          <w:szCs w:val="20"/>
        </w:rPr>
        <w:t xml:space="preserve">(Avtushenko </w:t>
      </w:r>
      <w:r w:rsidRPr="004A66C8">
        <w:rPr>
          <w:rFonts w:ascii="Times New Roman" w:hAnsi="Times New Roman" w:cs="Times New Roman"/>
          <w:i/>
          <w:noProof/>
          <w:color w:val="202124"/>
          <w:sz w:val="20"/>
          <w:szCs w:val="20"/>
        </w:rPr>
        <w:t>et al.</w:t>
      </w:r>
      <w:r w:rsidRPr="004A66C8">
        <w:rPr>
          <w:rFonts w:ascii="Times New Roman" w:hAnsi="Times New Roman" w:cs="Times New Roman"/>
          <w:noProof/>
          <w:color w:val="202124"/>
          <w:sz w:val="20"/>
          <w:szCs w:val="20"/>
        </w:rPr>
        <w:t>, 2016)</w:t>
      </w:r>
      <w:r w:rsidRPr="004A66C8">
        <w:rPr>
          <w:rFonts w:ascii="Times New Roman" w:hAnsi="Times New Roman" w:cs="Times New Roman"/>
          <w:color w:val="202124"/>
          <w:sz w:val="20"/>
          <w:szCs w:val="20"/>
        </w:rPr>
        <w:fldChar w:fldCharType="end"/>
      </w:r>
    </w:p>
    <w:p w:rsidR="00D706BD" w:rsidRDefault="004A66C8" w:rsidP="00D706BD">
      <w:pPr>
        <w:pStyle w:val="ListParagraph"/>
        <w:widowControl w:val="0"/>
        <w:autoSpaceDE w:val="0"/>
        <w:autoSpaceDN w:val="0"/>
        <w:adjustRightInd w:val="0"/>
        <w:spacing w:line="240" w:lineRule="atLeast"/>
        <w:rPr>
          <w:rFonts w:ascii="Times New Roman" w:hAnsi="Times New Roman" w:cs="Times New Roman"/>
          <w:b/>
          <w:color w:val="202124"/>
          <w:sz w:val="20"/>
          <w:szCs w:val="20"/>
        </w:rPr>
      </w:pPr>
      <w:r w:rsidRPr="004A66C8">
        <w:rPr>
          <w:rFonts w:ascii="Times New Roman" w:hAnsi="Times New Roman" w:cs="Times New Roman"/>
          <w:b/>
          <w:color w:val="202124"/>
          <w:sz w:val="20"/>
          <w:szCs w:val="20"/>
        </w:rPr>
        <w:lastRenderedPageBreak/>
        <w:t>Daftar Pustaka</w:t>
      </w:r>
    </w:p>
    <w:p w:rsidR="004A66C8" w:rsidRDefault="004A66C8" w:rsidP="004A66C8">
      <w:pPr>
        <w:widowControl w:val="0"/>
        <w:autoSpaceDE w:val="0"/>
        <w:autoSpaceDN w:val="0"/>
        <w:adjustRightInd w:val="0"/>
        <w:spacing w:line="240" w:lineRule="atLeast"/>
        <w:rPr>
          <w:rFonts w:ascii="Times New Roman" w:hAnsi="Times New Roman" w:cs="Times New Roman"/>
          <w:noProof/>
          <w:sz w:val="20"/>
          <w:szCs w:val="24"/>
        </w:rPr>
      </w:pPr>
      <w:r>
        <w:rPr>
          <w:rFonts w:ascii="Times New Roman" w:hAnsi="Times New Roman" w:cs="Times New Roman"/>
          <w:b/>
          <w:color w:val="202124"/>
          <w:sz w:val="20"/>
          <w:szCs w:val="20"/>
        </w:rPr>
        <w:fldChar w:fldCharType="begin" w:fldLock="1"/>
      </w:r>
      <w:r>
        <w:rPr>
          <w:rFonts w:ascii="Times New Roman" w:hAnsi="Times New Roman" w:cs="Times New Roman"/>
          <w:b/>
          <w:color w:val="202124"/>
          <w:sz w:val="20"/>
          <w:szCs w:val="20"/>
        </w:rPr>
        <w:instrText xml:space="preserve">ADDIN Mendeley Bibliography CSL_BIBLIOGRAPHY </w:instrText>
      </w:r>
      <w:r>
        <w:rPr>
          <w:rFonts w:ascii="Times New Roman" w:hAnsi="Times New Roman" w:cs="Times New Roman"/>
          <w:b/>
          <w:color w:val="202124"/>
          <w:sz w:val="20"/>
          <w:szCs w:val="20"/>
        </w:rPr>
        <w:fldChar w:fldCharType="separate"/>
      </w:r>
      <w:r w:rsidRPr="004A66C8">
        <w:rPr>
          <w:rFonts w:ascii="Times New Roman" w:hAnsi="Times New Roman" w:cs="Times New Roman"/>
          <w:noProof/>
          <w:sz w:val="20"/>
          <w:szCs w:val="24"/>
        </w:rPr>
        <w:t xml:space="preserve">Abdela, N. (2016) ‘Sub-acute Ruminal Acidosis (SARA) and its Consequence in Dairy Cattle: A Review of Past and Recent Research at Global Prospective’, </w:t>
      </w:r>
      <w:r w:rsidRPr="004A66C8">
        <w:rPr>
          <w:rFonts w:ascii="Times New Roman" w:hAnsi="Times New Roman" w:cs="Times New Roman"/>
          <w:i/>
          <w:iCs/>
          <w:noProof/>
          <w:sz w:val="20"/>
          <w:szCs w:val="24"/>
        </w:rPr>
        <w:t>Achievements in the Life Sciences</w:t>
      </w:r>
      <w:r w:rsidRPr="004A66C8">
        <w:rPr>
          <w:rFonts w:ascii="Times New Roman" w:hAnsi="Times New Roman" w:cs="Times New Roman"/>
          <w:noProof/>
          <w:sz w:val="20"/>
          <w:szCs w:val="24"/>
        </w:rPr>
        <w:t>, 10(2), pp. 187–196. doi: 10.1016/j.als.2016.11.006.</w:t>
      </w:r>
    </w:p>
    <w:p w:rsidR="004A66C8" w:rsidRPr="004A66C8" w:rsidRDefault="004A66C8" w:rsidP="004A66C8">
      <w:pPr>
        <w:widowControl w:val="0"/>
        <w:autoSpaceDE w:val="0"/>
        <w:autoSpaceDN w:val="0"/>
        <w:adjustRightInd w:val="0"/>
        <w:spacing w:line="240" w:lineRule="atLeast"/>
        <w:rPr>
          <w:rFonts w:ascii="Times New Roman" w:hAnsi="Times New Roman" w:cs="Times New Roman"/>
          <w:noProof/>
          <w:sz w:val="20"/>
          <w:szCs w:val="24"/>
        </w:rPr>
      </w:pPr>
    </w:p>
    <w:p w:rsidR="004A66C8" w:rsidRDefault="004A66C8" w:rsidP="004A66C8">
      <w:pPr>
        <w:widowControl w:val="0"/>
        <w:autoSpaceDE w:val="0"/>
        <w:autoSpaceDN w:val="0"/>
        <w:adjustRightInd w:val="0"/>
        <w:spacing w:line="240" w:lineRule="atLeast"/>
        <w:rPr>
          <w:rFonts w:ascii="Times New Roman" w:hAnsi="Times New Roman" w:cs="Times New Roman"/>
          <w:noProof/>
          <w:sz w:val="20"/>
          <w:szCs w:val="24"/>
        </w:rPr>
      </w:pPr>
      <w:r w:rsidRPr="004A66C8">
        <w:rPr>
          <w:rFonts w:ascii="Times New Roman" w:hAnsi="Times New Roman" w:cs="Times New Roman"/>
          <w:noProof/>
          <w:sz w:val="20"/>
          <w:szCs w:val="24"/>
        </w:rPr>
        <w:t xml:space="preserve">Adeniyi, I. M. </w:t>
      </w:r>
      <w:r w:rsidRPr="004A66C8">
        <w:rPr>
          <w:rFonts w:ascii="Times New Roman" w:hAnsi="Times New Roman" w:cs="Times New Roman"/>
          <w:i/>
          <w:iCs/>
          <w:noProof/>
          <w:sz w:val="20"/>
          <w:szCs w:val="24"/>
        </w:rPr>
        <w:t>et al.</w:t>
      </w:r>
      <w:r w:rsidRPr="004A66C8">
        <w:rPr>
          <w:rFonts w:ascii="Times New Roman" w:hAnsi="Times New Roman" w:cs="Times New Roman"/>
          <w:noProof/>
          <w:sz w:val="20"/>
          <w:szCs w:val="24"/>
        </w:rPr>
        <w:t xml:space="preserve"> (2016) ‘Vegetable Oils as Clearing Agents’, </w:t>
      </w:r>
      <w:r w:rsidRPr="004A66C8">
        <w:rPr>
          <w:rFonts w:ascii="Times New Roman" w:hAnsi="Times New Roman" w:cs="Times New Roman"/>
          <w:i/>
          <w:iCs/>
          <w:noProof/>
          <w:sz w:val="20"/>
          <w:szCs w:val="24"/>
        </w:rPr>
        <w:t>Achievements in the Life Sciences</w:t>
      </w:r>
      <w:r w:rsidRPr="004A66C8">
        <w:rPr>
          <w:rFonts w:ascii="Times New Roman" w:hAnsi="Times New Roman" w:cs="Times New Roman"/>
          <w:noProof/>
          <w:sz w:val="20"/>
          <w:szCs w:val="24"/>
        </w:rPr>
        <w:t>, 10(1), pp. 1–4. doi: 10.1016/j.als.2016.05.001.</w:t>
      </w:r>
    </w:p>
    <w:p w:rsidR="004A66C8" w:rsidRPr="004A66C8" w:rsidRDefault="004A66C8" w:rsidP="004A66C8">
      <w:pPr>
        <w:widowControl w:val="0"/>
        <w:autoSpaceDE w:val="0"/>
        <w:autoSpaceDN w:val="0"/>
        <w:adjustRightInd w:val="0"/>
        <w:spacing w:line="240" w:lineRule="atLeast"/>
        <w:rPr>
          <w:rFonts w:ascii="Times New Roman" w:hAnsi="Times New Roman" w:cs="Times New Roman"/>
          <w:noProof/>
          <w:sz w:val="20"/>
          <w:szCs w:val="24"/>
        </w:rPr>
      </w:pPr>
    </w:p>
    <w:p w:rsidR="004A66C8" w:rsidRDefault="004A66C8" w:rsidP="004A66C8">
      <w:pPr>
        <w:widowControl w:val="0"/>
        <w:autoSpaceDE w:val="0"/>
        <w:autoSpaceDN w:val="0"/>
        <w:adjustRightInd w:val="0"/>
        <w:spacing w:line="240" w:lineRule="atLeast"/>
        <w:rPr>
          <w:rFonts w:ascii="Times New Roman" w:hAnsi="Times New Roman" w:cs="Times New Roman"/>
          <w:noProof/>
          <w:sz w:val="20"/>
          <w:szCs w:val="24"/>
        </w:rPr>
      </w:pPr>
      <w:r w:rsidRPr="004A66C8">
        <w:rPr>
          <w:rFonts w:ascii="Times New Roman" w:hAnsi="Times New Roman" w:cs="Times New Roman"/>
          <w:noProof/>
          <w:sz w:val="20"/>
          <w:szCs w:val="24"/>
        </w:rPr>
        <w:t xml:space="preserve">Ahmed, S. and Ikram, S. (2016) ‘Chitosan Based Scaffolds and Their Applications in Wound Healing’, </w:t>
      </w:r>
      <w:r w:rsidRPr="004A66C8">
        <w:rPr>
          <w:rFonts w:ascii="Times New Roman" w:hAnsi="Times New Roman" w:cs="Times New Roman"/>
          <w:i/>
          <w:iCs/>
          <w:noProof/>
          <w:sz w:val="20"/>
          <w:szCs w:val="24"/>
        </w:rPr>
        <w:t>Achievements in the Life Sciences</w:t>
      </w:r>
      <w:r w:rsidRPr="004A66C8">
        <w:rPr>
          <w:rFonts w:ascii="Times New Roman" w:hAnsi="Times New Roman" w:cs="Times New Roman"/>
          <w:noProof/>
          <w:sz w:val="20"/>
          <w:szCs w:val="24"/>
        </w:rPr>
        <w:t>, 10(1), pp. 27–37. doi: 10.1016/j.als.2016.04.001.</w:t>
      </w:r>
    </w:p>
    <w:p w:rsidR="004A66C8" w:rsidRPr="004A66C8" w:rsidRDefault="004A66C8" w:rsidP="004A66C8">
      <w:pPr>
        <w:widowControl w:val="0"/>
        <w:autoSpaceDE w:val="0"/>
        <w:autoSpaceDN w:val="0"/>
        <w:adjustRightInd w:val="0"/>
        <w:spacing w:line="240" w:lineRule="atLeast"/>
        <w:rPr>
          <w:rFonts w:ascii="Times New Roman" w:hAnsi="Times New Roman" w:cs="Times New Roman"/>
          <w:noProof/>
          <w:sz w:val="20"/>
          <w:szCs w:val="24"/>
        </w:rPr>
      </w:pPr>
    </w:p>
    <w:p w:rsidR="004A66C8" w:rsidRDefault="004A66C8" w:rsidP="004A66C8">
      <w:pPr>
        <w:widowControl w:val="0"/>
        <w:autoSpaceDE w:val="0"/>
        <w:autoSpaceDN w:val="0"/>
        <w:adjustRightInd w:val="0"/>
        <w:spacing w:line="240" w:lineRule="atLeast"/>
        <w:rPr>
          <w:rFonts w:ascii="Times New Roman" w:hAnsi="Times New Roman" w:cs="Times New Roman"/>
          <w:noProof/>
          <w:sz w:val="20"/>
          <w:szCs w:val="24"/>
        </w:rPr>
      </w:pPr>
      <w:r w:rsidRPr="004A66C8">
        <w:rPr>
          <w:rFonts w:ascii="Times New Roman" w:hAnsi="Times New Roman" w:cs="Times New Roman"/>
          <w:noProof/>
          <w:sz w:val="20"/>
          <w:szCs w:val="24"/>
        </w:rPr>
        <w:t xml:space="preserve">Allen, S. (2016) ‘The Origin of Chronic Diseases Can Be in Capillary Pathology: An Evidence From Clinical Trials on Thermobalancing Treatment of Prostate Reveals’, </w:t>
      </w:r>
      <w:r w:rsidRPr="004A66C8">
        <w:rPr>
          <w:rFonts w:ascii="Times New Roman" w:hAnsi="Times New Roman" w:cs="Times New Roman"/>
          <w:i/>
          <w:iCs/>
          <w:noProof/>
          <w:sz w:val="20"/>
          <w:szCs w:val="24"/>
        </w:rPr>
        <w:t>Achievements in the Life Allen, S. (2016). The Origin of Chronic Diseases Can Be in Capillary Pathology: An Evidence From Clinical Trials on Thermobalancing Treatment of Prostate Reveals. Achievements in the Life Sciences, 10(2), 197–202. https://doi.org/</w:t>
      </w:r>
      <w:r w:rsidRPr="004A66C8">
        <w:rPr>
          <w:rFonts w:ascii="Times New Roman" w:hAnsi="Times New Roman" w:cs="Times New Roman"/>
          <w:noProof/>
          <w:sz w:val="20"/>
          <w:szCs w:val="24"/>
        </w:rPr>
        <w:t>, 10(2), pp. 197–202. doi: 10.1016/j.als.2016.11.005.</w:t>
      </w:r>
    </w:p>
    <w:p w:rsidR="004A66C8" w:rsidRPr="004A66C8" w:rsidRDefault="004A66C8" w:rsidP="004A66C8">
      <w:pPr>
        <w:widowControl w:val="0"/>
        <w:autoSpaceDE w:val="0"/>
        <w:autoSpaceDN w:val="0"/>
        <w:adjustRightInd w:val="0"/>
        <w:spacing w:line="240" w:lineRule="atLeast"/>
        <w:rPr>
          <w:rFonts w:ascii="Times New Roman" w:hAnsi="Times New Roman" w:cs="Times New Roman"/>
          <w:noProof/>
          <w:sz w:val="20"/>
          <w:szCs w:val="24"/>
        </w:rPr>
      </w:pPr>
    </w:p>
    <w:p w:rsidR="004A66C8" w:rsidRDefault="004A66C8" w:rsidP="004A66C8">
      <w:pPr>
        <w:widowControl w:val="0"/>
        <w:autoSpaceDE w:val="0"/>
        <w:autoSpaceDN w:val="0"/>
        <w:adjustRightInd w:val="0"/>
        <w:spacing w:line="240" w:lineRule="atLeast"/>
        <w:rPr>
          <w:rFonts w:ascii="Times New Roman" w:hAnsi="Times New Roman" w:cs="Times New Roman"/>
          <w:noProof/>
          <w:sz w:val="20"/>
          <w:szCs w:val="24"/>
        </w:rPr>
      </w:pPr>
      <w:r w:rsidRPr="004A66C8">
        <w:rPr>
          <w:rFonts w:ascii="Times New Roman" w:hAnsi="Times New Roman" w:cs="Times New Roman"/>
          <w:noProof/>
          <w:sz w:val="20"/>
          <w:szCs w:val="24"/>
        </w:rPr>
        <w:t xml:space="preserve">Avtushenko, M. S. </w:t>
      </w:r>
      <w:r w:rsidRPr="004A66C8">
        <w:rPr>
          <w:rFonts w:ascii="Times New Roman" w:hAnsi="Times New Roman" w:cs="Times New Roman"/>
          <w:i/>
          <w:iCs/>
          <w:noProof/>
          <w:sz w:val="20"/>
          <w:szCs w:val="24"/>
        </w:rPr>
        <w:t>et al.</w:t>
      </w:r>
      <w:r w:rsidRPr="004A66C8">
        <w:rPr>
          <w:rFonts w:ascii="Times New Roman" w:hAnsi="Times New Roman" w:cs="Times New Roman"/>
          <w:noProof/>
          <w:sz w:val="20"/>
          <w:szCs w:val="24"/>
        </w:rPr>
        <w:t xml:space="preserve"> (2016) ‘Molecular Cloning and Homology Modeling of Novel Tyrosylprotein Sulfotransferase of Marine Mollusk’, </w:t>
      </w:r>
      <w:r w:rsidRPr="004A66C8">
        <w:rPr>
          <w:rFonts w:ascii="Times New Roman" w:hAnsi="Times New Roman" w:cs="Times New Roman"/>
          <w:i/>
          <w:iCs/>
          <w:noProof/>
          <w:sz w:val="20"/>
          <w:szCs w:val="24"/>
        </w:rPr>
        <w:t>Achievements in the Life Sciences</w:t>
      </w:r>
      <w:r w:rsidRPr="004A66C8">
        <w:rPr>
          <w:rFonts w:ascii="Times New Roman" w:hAnsi="Times New Roman" w:cs="Times New Roman"/>
          <w:noProof/>
          <w:sz w:val="20"/>
          <w:szCs w:val="24"/>
        </w:rPr>
        <w:t>, 10(1), pp. 118–124. doi: 10.1016/j.als.2016.06.001.</w:t>
      </w:r>
    </w:p>
    <w:p w:rsidR="004A66C8" w:rsidRPr="004A66C8" w:rsidRDefault="004A66C8" w:rsidP="004A66C8">
      <w:pPr>
        <w:widowControl w:val="0"/>
        <w:autoSpaceDE w:val="0"/>
        <w:autoSpaceDN w:val="0"/>
        <w:adjustRightInd w:val="0"/>
        <w:spacing w:line="240" w:lineRule="atLeast"/>
        <w:rPr>
          <w:rFonts w:ascii="Times New Roman" w:hAnsi="Times New Roman" w:cs="Times New Roman"/>
          <w:noProof/>
          <w:sz w:val="20"/>
          <w:szCs w:val="24"/>
        </w:rPr>
      </w:pPr>
    </w:p>
    <w:p w:rsidR="004A66C8" w:rsidRDefault="004A66C8" w:rsidP="004A66C8">
      <w:pPr>
        <w:widowControl w:val="0"/>
        <w:autoSpaceDE w:val="0"/>
        <w:autoSpaceDN w:val="0"/>
        <w:adjustRightInd w:val="0"/>
        <w:spacing w:line="240" w:lineRule="atLeast"/>
        <w:rPr>
          <w:rFonts w:ascii="Times New Roman" w:hAnsi="Times New Roman" w:cs="Times New Roman"/>
          <w:noProof/>
          <w:sz w:val="20"/>
          <w:szCs w:val="24"/>
        </w:rPr>
      </w:pPr>
      <w:r w:rsidRPr="004A66C8">
        <w:rPr>
          <w:rFonts w:ascii="Times New Roman" w:hAnsi="Times New Roman" w:cs="Times New Roman"/>
          <w:noProof/>
          <w:sz w:val="20"/>
          <w:szCs w:val="24"/>
        </w:rPr>
        <w:t xml:space="preserve">Choudhary, A. K. </w:t>
      </w:r>
      <w:r w:rsidRPr="004A66C8">
        <w:rPr>
          <w:rFonts w:ascii="Times New Roman" w:hAnsi="Times New Roman" w:cs="Times New Roman"/>
          <w:i/>
          <w:iCs/>
          <w:noProof/>
          <w:sz w:val="20"/>
          <w:szCs w:val="24"/>
        </w:rPr>
        <w:t>et al.</w:t>
      </w:r>
      <w:r w:rsidRPr="004A66C8">
        <w:rPr>
          <w:rFonts w:ascii="Times New Roman" w:hAnsi="Times New Roman" w:cs="Times New Roman"/>
          <w:noProof/>
          <w:sz w:val="20"/>
          <w:szCs w:val="24"/>
        </w:rPr>
        <w:t xml:space="preserve"> (2016) ‘Grip Strength and Impact on Cognitive Function in Healthy Kitchen Workers’, </w:t>
      </w:r>
      <w:r w:rsidRPr="004A66C8">
        <w:rPr>
          <w:rFonts w:ascii="Times New Roman" w:hAnsi="Times New Roman" w:cs="Times New Roman"/>
          <w:i/>
          <w:iCs/>
          <w:noProof/>
          <w:sz w:val="20"/>
          <w:szCs w:val="24"/>
        </w:rPr>
        <w:t>Achievements in the Life Sciences</w:t>
      </w:r>
      <w:r w:rsidRPr="004A66C8">
        <w:rPr>
          <w:rFonts w:ascii="Times New Roman" w:hAnsi="Times New Roman" w:cs="Times New Roman"/>
          <w:noProof/>
          <w:sz w:val="20"/>
          <w:szCs w:val="24"/>
        </w:rPr>
        <w:t>, 10(2), pp. 168–174. doi: 10.1016/j.als.2016.11.008.</w:t>
      </w:r>
    </w:p>
    <w:p w:rsidR="004A66C8" w:rsidRPr="004A66C8" w:rsidRDefault="004A66C8" w:rsidP="004A66C8">
      <w:pPr>
        <w:widowControl w:val="0"/>
        <w:autoSpaceDE w:val="0"/>
        <w:autoSpaceDN w:val="0"/>
        <w:adjustRightInd w:val="0"/>
        <w:spacing w:line="240" w:lineRule="atLeast"/>
        <w:rPr>
          <w:rFonts w:ascii="Times New Roman" w:hAnsi="Times New Roman" w:cs="Times New Roman"/>
          <w:noProof/>
          <w:sz w:val="20"/>
          <w:szCs w:val="24"/>
        </w:rPr>
      </w:pPr>
    </w:p>
    <w:p w:rsidR="004A66C8" w:rsidRDefault="004A66C8" w:rsidP="004A66C8">
      <w:pPr>
        <w:widowControl w:val="0"/>
        <w:autoSpaceDE w:val="0"/>
        <w:autoSpaceDN w:val="0"/>
        <w:adjustRightInd w:val="0"/>
        <w:spacing w:line="240" w:lineRule="atLeast"/>
        <w:rPr>
          <w:rFonts w:ascii="Times New Roman" w:hAnsi="Times New Roman" w:cs="Times New Roman"/>
          <w:noProof/>
          <w:sz w:val="20"/>
          <w:szCs w:val="24"/>
        </w:rPr>
      </w:pPr>
      <w:r w:rsidRPr="004A66C8">
        <w:rPr>
          <w:rFonts w:ascii="Times New Roman" w:hAnsi="Times New Roman" w:cs="Times New Roman"/>
          <w:noProof/>
          <w:sz w:val="20"/>
          <w:szCs w:val="24"/>
        </w:rPr>
        <w:t xml:space="preserve">Ghosh, P. K. and Maiti, T. K. (2016) ‘Structure of Extracellular Polysaccharides (EPS) Produced by Rhizobia and their Functions in Legume–Bacteria Symbiosis: — A Review’, </w:t>
      </w:r>
      <w:r w:rsidRPr="004A66C8">
        <w:rPr>
          <w:rFonts w:ascii="Times New Roman" w:hAnsi="Times New Roman" w:cs="Times New Roman"/>
          <w:i/>
          <w:iCs/>
          <w:noProof/>
          <w:sz w:val="20"/>
          <w:szCs w:val="24"/>
        </w:rPr>
        <w:t>Achievements in the Life Sciences</w:t>
      </w:r>
      <w:r w:rsidRPr="004A66C8">
        <w:rPr>
          <w:rFonts w:ascii="Times New Roman" w:hAnsi="Times New Roman" w:cs="Times New Roman"/>
          <w:noProof/>
          <w:sz w:val="20"/>
          <w:szCs w:val="24"/>
        </w:rPr>
        <w:t>, 10(2), pp. 136–143. doi: 10.1016/j.als.2016.11.003.</w:t>
      </w:r>
    </w:p>
    <w:p w:rsidR="004A66C8" w:rsidRPr="004A66C8" w:rsidRDefault="004A66C8" w:rsidP="004A66C8">
      <w:pPr>
        <w:widowControl w:val="0"/>
        <w:autoSpaceDE w:val="0"/>
        <w:autoSpaceDN w:val="0"/>
        <w:adjustRightInd w:val="0"/>
        <w:spacing w:line="240" w:lineRule="atLeast"/>
        <w:rPr>
          <w:rFonts w:ascii="Times New Roman" w:hAnsi="Times New Roman" w:cs="Times New Roman"/>
          <w:noProof/>
          <w:sz w:val="20"/>
          <w:szCs w:val="24"/>
        </w:rPr>
      </w:pPr>
    </w:p>
    <w:p w:rsidR="004A66C8" w:rsidRDefault="004A66C8" w:rsidP="004A66C8">
      <w:pPr>
        <w:widowControl w:val="0"/>
        <w:autoSpaceDE w:val="0"/>
        <w:autoSpaceDN w:val="0"/>
        <w:adjustRightInd w:val="0"/>
        <w:spacing w:line="240" w:lineRule="atLeast"/>
        <w:rPr>
          <w:rFonts w:ascii="Times New Roman" w:hAnsi="Times New Roman" w:cs="Times New Roman"/>
          <w:noProof/>
          <w:sz w:val="20"/>
          <w:szCs w:val="24"/>
        </w:rPr>
      </w:pPr>
      <w:r w:rsidRPr="004A66C8">
        <w:rPr>
          <w:rFonts w:ascii="Times New Roman" w:hAnsi="Times New Roman" w:cs="Times New Roman"/>
          <w:noProof/>
          <w:sz w:val="20"/>
          <w:szCs w:val="24"/>
        </w:rPr>
        <w:t xml:space="preserve">Han, J. (2016) ‘A Study on the Coffee Spilling Phenomena in the Low Impulse Regime’, </w:t>
      </w:r>
      <w:r w:rsidRPr="004A66C8">
        <w:rPr>
          <w:rFonts w:ascii="Times New Roman" w:hAnsi="Times New Roman" w:cs="Times New Roman"/>
          <w:i/>
          <w:iCs/>
          <w:noProof/>
          <w:sz w:val="20"/>
          <w:szCs w:val="24"/>
        </w:rPr>
        <w:t>Achievements in the Life Sciences</w:t>
      </w:r>
      <w:r w:rsidRPr="004A66C8">
        <w:rPr>
          <w:rFonts w:ascii="Times New Roman" w:hAnsi="Times New Roman" w:cs="Times New Roman"/>
          <w:noProof/>
          <w:sz w:val="20"/>
          <w:szCs w:val="24"/>
        </w:rPr>
        <w:t>, 10(1), pp. 87–101. doi: 10.1016/j.als.2016.05.009.</w:t>
      </w:r>
    </w:p>
    <w:p w:rsidR="004A66C8" w:rsidRPr="004A66C8" w:rsidRDefault="004A66C8" w:rsidP="004A66C8">
      <w:pPr>
        <w:widowControl w:val="0"/>
        <w:autoSpaceDE w:val="0"/>
        <w:autoSpaceDN w:val="0"/>
        <w:adjustRightInd w:val="0"/>
        <w:spacing w:line="240" w:lineRule="atLeast"/>
        <w:rPr>
          <w:rFonts w:ascii="Times New Roman" w:hAnsi="Times New Roman" w:cs="Times New Roman"/>
          <w:noProof/>
          <w:sz w:val="20"/>
          <w:szCs w:val="24"/>
        </w:rPr>
      </w:pPr>
    </w:p>
    <w:p w:rsidR="004A66C8" w:rsidRDefault="004A66C8" w:rsidP="004A66C8">
      <w:pPr>
        <w:widowControl w:val="0"/>
        <w:autoSpaceDE w:val="0"/>
        <w:autoSpaceDN w:val="0"/>
        <w:adjustRightInd w:val="0"/>
        <w:spacing w:line="240" w:lineRule="atLeast"/>
        <w:rPr>
          <w:rFonts w:ascii="Times New Roman" w:hAnsi="Times New Roman" w:cs="Times New Roman"/>
          <w:noProof/>
          <w:sz w:val="20"/>
          <w:szCs w:val="24"/>
        </w:rPr>
      </w:pPr>
      <w:r w:rsidRPr="004A66C8">
        <w:rPr>
          <w:rFonts w:ascii="Times New Roman" w:hAnsi="Times New Roman" w:cs="Times New Roman"/>
          <w:noProof/>
          <w:sz w:val="20"/>
          <w:szCs w:val="24"/>
        </w:rPr>
        <w:t xml:space="preserve">Perera, P. C. T. </w:t>
      </w:r>
      <w:r w:rsidRPr="004A66C8">
        <w:rPr>
          <w:rFonts w:ascii="Times New Roman" w:hAnsi="Times New Roman" w:cs="Times New Roman"/>
          <w:i/>
          <w:iCs/>
          <w:noProof/>
          <w:sz w:val="20"/>
          <w:szCs w:val="24"/>
        </w:rPr>
        <w:t>et al.</w:t>
      </w:r>
      <w:r w:rsidRPr="004A66C8">
        <w:rPr>
          <w:rFonts w:ascii="Times New Roman" w:hAnsi="Times New Roman" w:cs="Times New Roman"/>
          <w:noProof/>
          <w:sz w:val="20"/>
          <w:szCs w:val="24"/>
        </w:rPr>
        <w:t xml:space="preserve"> (2016) ‘Arsenic and Cadmium Contamination in Water, Sediments and Fish is a Consequence of Paddy Cultivation: Evidence of River Pollution in Sri Lanka’, </w:t>
      </w:r>
      <w:r w:rsidRPr="004A66C8">
        <w:rPr>
          <w:rFonts w:ascii="Times New Roman" w:hAnsi="Times New Roman" w:cs="Times New Roman"/>
          <w:i/>
          <w:iCs/>
          <w:noProof/>
          <w:sz w:val="20"/>
          <w:szCs w:val="24"/>
        </w:rPr>
        <w:t>Achievements in the Life Sciences</w:t>
      </w:r>
      <w:r w:rsidRPr="004A66C8">
        <w:rPr>
          <w:rFonts w:ascii="Times New Roman" w:hAnsi="Times New Roman" w:cs="Times New Roman"/>
          <w:noProof/>
          <w:sz w:val="20"/>
          <w:szCs w:val="24"/>
        </w:rPr>
        <w:t>, 10(2), pp. 144–160. doi: 10.1016/j.als.2016.11.002.</w:t>
      </w:r>
    </w:p>
    <w:p w:rsidR="004A66C8" w:rsidRPr="004A66C8" w:rsidRDefault="004A66C8" w:rsidP="004A66C8">
      <w:pPr>
        <w:widowControl w:val="0"/>
        <w:autoSpaceDE w:val="0"/>
        <w:autoSpaceDN w:val="0"/>
        <w:adjustRightInd w:val="0"/>
        <w:spacing w:line="240" w:lineRule="atLeast"/>
        <w:rPr>
          <w:rFonts w:ascii="Times New Roman" w:hAnsi="Times New Roman" w:cs="Times New Roman"/>
          <w:noProof/>
          <w:sz w:val="20"/>
          <w:szCs w:val="24"/>
        </w:rPr>
      </w:pPr>
      <w:bookmarkStart w:id="0" w:name="_GoBack"/>
      <w:bookmarkEnd w:id="0"/>
    </w:p>
    <w:p w:rsidR="004A66C8" w:rsidRPr="004A66C8" w:rsidRDefault="004A66C8" w:rsidP="004A66C8">
      <w:pPr>
        <w:widowControl w:val="0"/>
        <w:autoSpaceDE w:val="0"/>
        <w:autoSpaceDN w:val="0"/>
        <w:adjustRightInd w:val="0"/>
        <w:spacing w:line="240" w:lineRule="atLeast"/>
        <w:rPr>
          <w:rFonts w:ascii="Times New Roman" w:hAnsi="Times New Roman" w:cs="Times New Roman"/>
          <w:noProof/>
          <w:sz w:val="20"/>
        </w:rPr>
      </w:pPr>
      <w:r w:rsidRPr="004A66C8">
        <w:rPr>
          <w:rFonts w:ascii="Times New Roman" w:hAnsi="Times New Roman" w:cs="Times New Roman"/>
          <w:noProof/>
          <w:sz w:val="20"/>
          <w:szCs w:val="24"/>
        </w:rPr>
        <w:t xml:space="preserve">Sohel, M. H. (2016) ‘Extracellular/Circulating MicroRNAs: Release Mechanisms, Functions and Challenges’, </w:t>
      </w:r>
      <w:r w:rsidRPr="004A66C8">
        <w:rPr>
          <w:rFonts w:ascii="Times New Roman" w:hAnsi="Times New Roman" w:cs="Times New Roman"/>
          <w:i/>
          <w:iCs/>
          <w:noProof/>
          <w:sz w:val="20"/>
          <w:szCs w:val="24"/>
        </w:rPr>
        <w:t>Achievements in the Life Sciences</w:t>
      </w:r>
      <w:r w:rsidRPr="004A66C8">
        <w:rPr>
          <w:rFonts w:ascii="Times New Roman" w:hAnsi="Times New Roman" w:cs="Times New Roman"/>
          <w:noProof/>
          <w:sz w:val="20"/>
          <w:szCs w:val="24"/>
        </w:rPr>
        <w:t>, 10(2), pp. 175–186. doi: 10.1016/j.als.2016.11.007.</w:t>
      </w:r>
    </w:p>
    <w:p w:rsidR="004A66C8" w:rsidRPr="004A66C8" w:rsidRDefault="004A66C8" w:rsidP="00D706BD">
      <w:pPr>
        <w:pStyle w:val="ListParagraph"/>
        <w:widowControl w:val="0"/>
        <w:autoSpaceDE w:val="0"/>
        <w:autoSpaceDN w:val="0"/>
        <w:adjustRightInd w:val="0"/>
        <w:spacing w:line="240" w:lineRule="atLeast"/>
        <w:rPr>
          <w:rFonts w:ascii="Times New Roman" w:hAnsi="Times New Roman" w:cs="Times New Roman"/>
          <w:b/>
          <w:color w:val="202124"/>
          <w:sz w:val="20"/>
          <w:szCs w:val="20"/>
        </w:rPr>
      </w:pPr>
      <w:r>
        <w:rPr>
          <w:rFonts w:ascii="Times New Roman" w:hAnsi="Times New Roman" w:cs="Times New Roman"/>
          <w:b/>
          <w:color w:val="202124"/>
          <w:sz w:val="20"/>
          <w:szCs w:val="20"/>
        </w:rPr>
        <w:fldChar w:fldCharType="end"/>
      </w:r>
    </w:p>
    <w:p w:rsidR="003444D5" w:rsidRPr="004A66C8" w:rsidRDefault="003444D5" w:rsidP="004A66C8">
      <w:pPr>
        <w:widowControl w:val="0"/>
        <w:autoSpaceDE w:val="0"/>
        <w:autoSpaceDN w:val="0"/>
        <w:adjustRightInd w:val="0"/>
        <w:spacing w:line="240" w:lineRule="atLeast"/>
        <w:rPr>
          <w:rFonts w:ascii="Times New Roman" w:hAnsi="Times New Roman" w:cs="Times New Roman"/>
          <w:b/>
          <w:color w:val="202124"/>
          <w:sz w:val="20"/>
          <w:szCs w:val="20"/>
        </w:rPr>
      </w:pPr>
    </w:p>
    <w:p w:rsidR="003444D5" w:rsidRPr="003444D5" w:rsidRDefault="003444D5" w:rsidP="003444D5">
      <w:pPr>
        <w:pStyle w:val="ListParagraph"/>
        <w:widowControl w:val="0"/>
        <w:autoSpaceDE w:val="0"/>
        <w:autoSpaceDN w:val="0"/>
        <w:adjustRightInd w:val="0"/>
        <w:spacing w:line="240" w:lineRule="atLeast"/>
        <w:rPr>
          <w:rFonts w:ascii="Times New Roman" w:hAnsi="Times New Roman" w:cs="Times New Roman"/>
          <w:b/>
          <w:color w:val="202124"/>
          <w:sz w:val="20"/>
          <w:szCs w:val="20"/>
        </w:rPr>
      </w:pPr>
    </w:p>
    <w:p w:rsidR="003444D5" w:rsidRPr="003444D5" w:rsidRDefault="003444D5" w:rsidP="003444D5">
      <w:pPr>
        <w:pStyle w:val="ListParagraph"/>
        <w:widowControl w:val="0"/>
        <w:autoSpaceDE w:val="0"/>
        <w:autoSpaceDN w:val="0"/>
        <w:adjustRightInd w:val="0"/>
        <w:spacing w:line="240" w:lineRule="atLeast"/>
        <w:rPr>
          <w:rFonts w:ascii="Times New Roman" w:hAnsi="Times New Roman" w:cs="Times New Roman"/>
          <w:b/>
          <w:color w:val="202124"/>
          <w:sz w:val="20"/>
          <w:szCs w:val="20"/>
        </w:rPr>
      </w:pPr>
    </w:p>
    <w:p w:rsidR="003444D5" w:rsidRPr="003444D5" w:rsidRDefault="003444D5" w:rsidP="003444D5">
      <w:pPr>
        <w:pStyle w:val="ListParagraph"/>
        <w:widowControl w:val="0"/>
        <w:autoSpaceDE w:val="0"/>
        <w:autoSpaceDN w:val="0"/>
        <w:adjustRightInd w:val="0"/>
        <w:spacing w:line="240" w:lineRule="atLeast"/>
        <w:rPr>
          <w:rFonts w:ascii="Times New Roman" w:hAnsi="Times New Roman" w:cs="Times New Roman"/>
          <w:b/>
          <w:color w:val="202124"/>
          <w:sz w:val="20"/>
          <w:szCs w:val="20"/>
        </w:rPr>
      </w:pPr>
    </w:p>
    <w:p w:rsidR="003444D5" w:rsidRPr="003444D5" w:rsidRDefault="003444D5" w:rsidP="003444D5">
      <w:pPr>
        <w:pStyle w:val="ListParagraph"/>
        <w:widowControl w:val="0"/>
        <w:autoSpaceDE w:val="0"/>
        <w:autoSpaceDN w:val="0"/>
        <w:adjustRightInd w:val="0"/>
        <w:spacing w:line="240" w:lineRule="atLeast"/>
        <w:rPr>
          <w:rFonts w:ascii="Times New Roman" w:hAnsi="Times New Roman" w:cs="Times New Roman"/>
          <w:b/>
          <w:color w:val="202124"/>
          <w:sz w:val="20"/>
          <w:szCs w:val="20"/>
        </w:rPr>
      </w:pPr>
    </w:p>
    <w:p w:rsidR="001555AF" w:rsidRDefault="001555AF" w:rsidP="001555AF">
      <w:pPr>
        <w:pStyle w:val="ListParagraph"/>
        <w:widowControl w:val="0"/>
        <w:autoSpaceDE w:val="0"/>
        <w:autoSpaceDN w:val="0"/>
        <w:adjustRightInd w:val="0"/>
        <w:spacing w:line="240" w:lineRule="atLeast"/>
        <w:rPr>
          <w:rFonts w:ascii="Times New Roman" w:hAnsi="Times New Roman" w:cs="Times New Roman"/>
          <w:color w:val="202124"/>
          <w:sz w:val="24"/>
          <w:szCs w:val="24"/>
        </w:rPr>
      </w:pPr>
    </w:p>
    <w:p w:rsidR="001555AF" w:rsidRPr="001555AF" w:rsidRDefault="001555AF" w:rsidP="001555AF">
      <w:pPr>
        <w:pStyle w:val="ListParagraph"/>
        <w:widowControl w:val="0"/>
        <w:autoSpaceDE w:val="0"/>
        <w:autoSpaceDN w:val="0"/>
        <w:adjustRightInd w:val="0"/>
        <w:spacing w:line="240" w:lineRule="atLeast"/>
        <w:rPr>
          <w:rFonts w:ascii="Times New Roman" w:hAnsi="Times New Roman" w:cs="Times New Roman"/>
          <w:color w:val="202124"/>
        </w:rPr>
      </w:pPr>
    </w:p>
    <w:p w:rsidR="009D3B5D" w:rsidRPr="009D3B5D" w:rsidRDefault="009D3B5D" w:rsidP="009D3B5D">
      <w:pPr>
        <w:pStyle w:val="ListParagraph"/>
        <w:widowControl w:val="0"/>
        <w:autoSpaceDE w:val="0"/>
        <w:autoSpaceDN w:val="0"/>
        <w:adjustRightInd w:val="0"/>
        <w:spacing w:line="240" w:lineRule="atLeast"/>
        <w:rPr>
          <w:rFonts w:ascii="Times New Roman" w:hAnsi="Times New Roman" w:cs="Times New Roman"/>
          <w:b/>
          <w:color w:val="202124"/>
          <w:sz w:val="24"/>
          <w:szCs w:val="24"/>
        </w:rPr>
      </w:pPr>
    </w:p>
    <w:sectPr w:rsidR="009D3B5D" w:rsidRPr="009D3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C6D12"/>
    <w:multiLevelType w:val="hybridMultilevel"/>
    <w:tmpl w:val="2FB0E2B2"/>
    <w:lvl w:ilvl="0" w:tplc="72C0A812">
      <w:start w:val="1"/>
      <w:numFmt w:val="decimal"/>
      <w:lvlText w:val="%1."/>
      <w:lvlJc w:val="left"/>
      <w:pPr>
        <w:ind w:left="720" w:hanging="360"/>
      </w:pPr>
      <w:rPr>
        <w:rFonts w:ascii="Times New Roman" w:eastAsiaTheme="minorHAnsi" w:hAnsi="Times New Roman" w:cs="Times New Roman"/>
        <w:b/>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09A3362"/>
    <w:multiLevelType w:val="hybridMultilevel"/>
    <w:tmpl w:val="0CB014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64176CB"/>
    <w:multiLevelType w:val="hybridMultilevel"/>
    <w:tmpl w:val="A74E10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4CD"/>
    <w:rsid w:val="000446E3"/>
    <w:rsid w:val="001555AF"/>
    <w:rsid w:val="002A34DE"/>
    <w:rsid w:val="002B717D"/>
    <w:rsid w:val="002D2993"/>
    <w:rsid w:val="003444D5"/>
    <w:rsid w:val="004A196B"/>
    <w:rsid w:val="004A66C8"/>
    <w:rsid w:val="005054CD"/>
    <w:rsid w:val="00634321"/>
    <w:rsid w:val="00643574"/>
    <w:rsid w:val="00656818"/>
    <w:rsid w:val="006701B5"/>
    <w:rsid w:val="0076007A"/>
    <w:rsid w:val="00817FA9"/>
    <w:rsid w:val="00894A3D"/>
    <w:rsid w:val="00966186"/>
    <w:rsid w:val="009D3B5D"/>
    <w:rsid w:val="00BA36ED"/>
    <w:rsid w:val="00BB42DB"/>
    <w:rsid w:val="00D706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B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B5D"/>
    <w:pPr>
      <w:ind w:left="720"/>
      <w:contextualSpacing/>
    </w:pPr>
  </w:style>
  <w:style w:type="paragraph" w:styleId="HTMLPreformatted">
    <w:name w:val="HTML Preformatted"/>
    <w:basedOn w:val="Normal"/>
    <w:link w:val="HTMLPreformattedChar"/>
    <w:uiPriority w:val="99"/>
    <w:semiHidden/>
    <w:unhideWhenUsed/>
    <w:rsid w:val="009D3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9D3B5D"/>
    <w:rPr>
      <w:rFonts w:ascii="Courier New" w:eastAsia="Times New Roman" w:hAnsi="Courier New" w:cs="Courier New"/>
      <w:sz w:val="2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B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B5D"/>
    <w:pPr>
      <w:ind w:left="720"/>
      <w:contextualSpacing/>
    </w:pPr>
  </w:style>
  <w:style w:type="paragraph" w:styleId="HTMLPreformatted">
    <w:name w:val="HTML Preformatted"/>
    <w:basedOn w:val="Normal"/>
    <w:link w:val="HTMLPreformattedChar"/>
    <w:uiPriority w:val="99"/>
    <w:semiHidden/>
    <w:unhideWhenUsed/>
    <w:rsid w:val="009D3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9D3B5D"/>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76224">
      <w:bodyDiv w:val="1"/>
      <w:marLeft w:val="0"/>
      <w:marRight w:val="0"/>
      <w:marTop w:val="0"/>
      <w:marBottom w:val="0"/>
      <w:divBdr>
        <w:top w:val="none" w:sz="0" w:space="0" w:color="auto"/>
        <w:left w:val="none" w:sz="0" w:space="0" w:color="auto"/>
        <w:bottom w:val="none" w:sz="0" w:space="0" w:color="auto"/>
        <w:right w:val="none" w:sz="0" w:space="0" w:color="auto"/>
      </w:divBdr>
    </w:div>
    <w:div w:id="110630167">
      <w:bodyDiv w:val="1"/>
      <w:marLeft w:val="0"/>
      <w:marRight w:val="0"/>
      <w:marTop w:val="0"/>
      <w:marBottom w:val="0"/>
      <w:divBdr>
        <w:top w:val="none" w:sz="0" w:space="0" w:color="auto"/>
        <w:left w:val="none" w:sz="0" w:space="0" w:color="auto"/>
        <w:bottom w:val="none" w:sz="0" w:space="0" w:color="auto"/>
        <w:right w:val="none" w:sz="0" w:space="0" w:color="auto"/>
      </w:divBdr>
    </w:div>
    <w:div w:id="606961315">
      <w:bodyDiv w:val="1"/>
      <w:marLeft w:val="0"/>
      <w:marRight w:val="0"/>
      <w:marTop w:val="0"/>
      <w:marBottom w:val="0"/>
      <w:divBdr>
        <w:top w:val="none" w:sz="0" w:space="0" w:color="auto"/>
        <w:left w:val="none" w:sz="0" w:space="0" w:color="auto"/>
        <w:bottom w:val="none" w:sz="0" w:space="0" w:color="auto"/>
        <w:right w:val="none" w:sz="0" w:space="0" w:color="auto"/>
      </w:divBdr>
    </w:div>
    <w:div w:id="666440518">
      <w:bodyDiv w:val="1"/>
      <w:marLeft w:val="0"/>
      <w:marRight w:val="0"/>
      <w:marTop w:val="0"/>
      <w:marBottom w:val="0"/>
      <w:divBdr>
        <w:top w:val="none" w:sz="0" w:space="0" w:color="auto"/>
        <w:left w:val="none" w:sz="0" w:space="0" w:color="auto"/>
        <w:bottom w:val="none" w:sz="0" w:space="0" w:color="auto"/>
        <w:right w:val="none" w:sz="0" w:space="0" w:color="auto"/>
      </w:divBdr>
    </w:div>
    <w:div w:id="702248161">
      <w:bodyDiv w:val="1"/>
      <w:marLeft w:val="0"/>
      <w:marRight w:val="0"/>
      <w:marTop w:val="0"/>
      <w:marBottom w:val="0"/>
      <w:divBdr>
        <w:top w:val="none" w:sz="0" w:space="0" w:color="auto"/>
        <w:left w:val="none" w:sz="0" w:space="0" w:color="auto"/>
        <w:bottom w:val="none" w:sz="0" w:space="0" w:color="auto"/>
        <w:right w:val="none" w:sz="0" w:space="0" w:color="auto"/>
      </w:divBdr>
    </w:div>
    <w:div w:id="713309468">
      <w:bodyDiv w:val="1"/>
      <w:marLeft w:val="0"/>
      <w:marRight w:val="0"/>
      <w:marTop w:val="0"/>
      <w:marBottom w:val="0"/>
      <w:divBdr>
        <w:top w:val="none" w:sz="0" w:space="0" w:color="auto"/>
        <w:left w:val="none" w:sz="0" w:space="0" w:color="auto"/>
        <w:bottom w:val="none" w:sz="0" w:space="0" w:color="auto"/>
        <w:right w:val="none" w:sz="0" w:space="0" w:color="auto"/>
      </w:divBdr>
    </w:div>
    <w:div w:id="805273376">
      <w:bodyDiv w:val="1"/>
      <w:marLeft w:val="0"/>
      <w:marRight w:val="0"/>
      <w:marTop w:val="0"/>
      <w:marBottom w:val="0"/>
      <w:divBdr>
        <w:top w:val="none" w:sz="0" w:space="0" w:color="auto"/>
        <w:left w:val="none" w:sz="0" w:space="0" w:color="auto"/>
        <w:bottom w:val="none" w:sz="0" w:space="0" w:color="auto"/>
        <w:right w:val="none" w:sz="0" w:space="0" w:color="auto"/>
      </w:divBdr>
    </w:div>
    <w:div w:id="999774868">
      <w:bodyDiv w:val="1"/>
      <w:marLeft w:val="0"/>
      <w:marRight w:val="0"/>
      <w:marTop w:val="0"/>
      <w:marBottom w:val="0"/>
      <w:divBdr>
        <w:top w:val="none" w:sz="0" w:space="0" w:color="auto"/>
        <w:left w:val="none" w:sz="0" w:space="0" w:color="auto"/>
        <w:bottom w:val="none" w:sz="0" w:space="0" w:color="auto"/>
        <w:right w:val="none" w:sz="0" w:space="0" w:color="auto"/>
      </w:divBdr>
    </w:div>
    <w:div w:id="1196233329">
      <w:bodyDiv w:val="1"/>
      <w:marLeft w:val="0"/>
      <w:marRight w:val="0"/>
      <w:marTop w:val="0"/>
      <w:marBottom w:val="0"/>
      <w:divBdr>
        <w:top w:val="none" w:sz="0" w:space="0" w:color="auto"/>
        <w:left w:val="none" w:sz="0" w:space="0" w:color="auto"/>
        <w:bottom w:val="none" w:sz="0" w:space="0" w:color="auto"/>
        <w:right w:val="none" w:sz="0" w:space="0" w:color="auto"/>
      </w:divBdr>
    </w:div>
    <w:div w:id="1540820672">
      <w:bodyDiv w:val="1"/>
      <w:marLeft w:val="0"/>
      <w:marRight w:val="0"/>
      <w:marTop w:val="0"/>
      <w:marBottom w:val="0"/>
      <w:divBdr>
        <w:top w:val="none" w:sz="0" w:space="0" w:color="auto"/>
        <w:left w:val="none" w:sz="0" w:space="0" w:color="auto"/>
        <w:bottom w:val="none" w:sz="0" w:space="0" w:color="auto"/>
        <w:right w:val="none" w:sz="0" w:space="0" w:color="auto"/>
      </w:divBdr>
    </w:div>
    <w:div w:id="1967391865">
      <w:bodyDiv w:val="1"/>
      <w:marLeft w:val="0"/>
      <w:marRight w:val="0"/>
      <w:marTop w:val="0"/>
      <w:marBottom w:val="0"/>
      <w:divBdr>
        <w:top w:val="none" w:sz="0" w:space="0" w:color="auto"/>
        <w:left w:val="none" w:sz="0" w:space="0" w:color="auto"/>
        <w:bottom w:val="none" w:sz="0" w:space="0" w:color="auto"/>
        <w:right w:val="none" w:sz="0" w:space="0" w:color="auto"/>
      </w:divBdr>
    </w:div>
    <w:div w:id="210568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40D42-ECC7-4E85-A985-D16FFF8DF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5050</Words>
  <Characters>28790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ADHANI MULIANTI</dc:creator>
  <cp:keywords/>
  <dc:description/>
  <cp:lastModifiedBy>ADHANI MULIANTI</cp:lastModifiedBy>
  <cp:revision>2</cp:revision>
  <dcterms:created xsi:type="dcterms:W3CDTF">2020-12-08T02:18:00Z</dcterms:created>
  <dcterms:modified xsi:type="dcterms:W3CDTF">2020-12-08T03:12:00Z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20cb87de-95df-3384-b45a-36fe6f3ed554</vt:lpwstr>
  </property>
  <property fmtid="{D5CDD505-2E9C-101B-9397-08002B2CF9AE}" pid="24" name="Mendeley Citation Style_1">
    <vt:lpwstr>http://www.zotero.org/styles/harvard-cite-them-right</vt:lpwstr>
  </property>
</Properties>
</file>