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" w:after="40"/>
      </w:pPr>
      <w:r>
        <w:rPr>
          <w:rFonts w:ascii="Arial" w:cs="Arial" w:eastAsia="Arial" w:hAnsi="Arial"/>
          <w:b/>
          <w:bCs/>
          <w:color w:val="1E3A5F"/>
          <w:sz w:val="48"/>
          <w:szCs w:val="48"/>
        </w:rPr>
        <w:t xml:space="preserve">Alert Triage Workflow</w:t>
      </w:r>
    </w:p>
    <w:p>
      <w:pPr>
        <w:spacing w:before="0" w:after="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Product Feature Write-Up  ·  Problem Option [2]</w:t>
      </w:r>
    </w:p>
    <w:p>
      <w:pPr>
        <w:pBdr>
          <w:bottom w:val="single" w:color="1E3A5F" w:sz="12" w:space="1"/>
        </w:pBdr>
        <w:spacing w:before="120" w:after="240"/>
      </w:pPr>
    </w:p>
    <w:p>
      <w:pPr>
        <w:spacing w:before="220" w:after="60"/>
      </w:pPr>
      <w:r>
        <w:rPr>
          <w:rFonts w:ascii="Arial" w:cs="Arial" w:eastAsia="Arial" w:hAnsi="Arial"/>
          <w:b/>
          <w:bCs/>
          <w:color w:val="1E3A5F"/>
          <w:spacing w:val="40"/>
          <w:sz w:val="20"/>
          <w:szCs w:val="20"/>
        </w:rPr>
        <w:t xml:space="preserve">PROBLEM STATEMENT</w:t>
      </w:r>
    </w:p>
    <w:p>
      <w:pPr>
        <w:spacing w:before="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Security engineers at AccuKnox receive 50–200 cloud security alerts per day across multiple AWS, GCP, and Kubernetes environments. Today, triage happens across disconnected tools: engineers jump between the alert console, AWS CloudTrail, cloud-native dashboards, internal runbooks, and Slack just to investigate a single alert. This context-switching inflates mean time to resolution (MTTR), causes critical alerts to be buried under noise, and means the same alert pattern gets re-investigated from scratch every time it recurs.</w:t>
      </w:r>
    </w:p>
    <w:p>
      <w:pPr>
        <w:spacing w:before="220" w:after="60"/>
      </w:pPr>
      <w:r>
        <w:rPr>
          <w:rFonts w:ascii="Arial" w:cs="Arial" w:eastAsia="Arial" w:hAnsi="Arial"/>
          <w:b/>
          <w:bCs/>
          <w:color w:val="1E3A5F"/>
          <w:spacing w:val="40"/>
          <w:sz w:val="20"/>
          <w:szCs w:val="20"/>
        </w:rPr>
        <w:t xml:space="preserve">USER PERSONA</w:t>
      </w:r>
    </w:p>
    <w:tbl>
      <w:tblPr>
        <w:tblW w:type="dxa" w:w="9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24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Who</w:t>
            </w:r>
          </w:p>
        </w:tc>
        <w:tc>
          <w:tcPr>
            <w:tcW w:type="dxa" w:w="702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Mid-level cloud security engineer managing 3–5 cloud accounts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Environment</w:t>
            </w:r>
          </w:p>
        </w:tc>
        <w:tc>
          <w:tcPr>
            <w:tcW w:type="dxa" w:w="702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AWS, GCP, EKS clusters  ·  Prometheus/Grafana monitoring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Core pain</w:t>
            </w:r>
          </w:p>
        </w:tc>
        <w:tc>
          <w:tcPr>
            <w:tcW w:type="dxa" w:w="702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Context-switching across 4–6 tools per alert, no triage continuity, no institutional memory</w:t>
            </w:r>
          </w:p>
        </w:tc>
      </w:tr>
    </w:tbl>
    <w:p>
      <w:pPr>
        <w:spacing w:before="220" w:after="60"/>
      </w:pPr>
      <w:r>
        <w:rPr>
          <w:rFonts w:ascii="Arial" w:cs="Arial" w:eastAsia="Arial" w:hAnsi="Arial"/>
          <w:b/>
          <w:bCs/>
          <w:color w:val="1E3A5F"/>
          <w:spacing w:val="40"/>
          <w:sz w:val="20"/>
          <w:szCs w:val="20"/>
        </w:rPr>
        <w:t xml:space="preserve">PROPOSED SOLUTION</w:t>
      </w:r>
    </w:p>
    <w:p>
      <w:pPr>
        <w:spacing w:before="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 three-step in-product triage workflow that keeps the engineer inside AccuKnox from first sight to final close, with zero context-switching required.</w:t>
      </w:r>
    </w:p>
    <w:p>
      <w:pPr>
        <w:spacing w:before="80" w:after="60"/>
      </w:pPr>
    </w:p>
    <w:tbl>
      <w:tblPr>
        <w:tblW w:type="dxa" w:w="9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24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EF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Screen 1  —  Alert Queue</w:t>
            </w:r>
          </w:p>
        </w:tc>
        <w:tc>
          <w:tcPr>
            <w:tcW w:type="dxa" w:w="622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Risk-scored alert feed (1–10) sorted by severity × blast radius × data sensitivity. Filters for unassigned, my queue, cloud account. Stat cards show live critical/high/medium counts + MTTR.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EF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Screen 2  —  Investigation</w:t>
            </w:r>
          </w:p>
        </w:tc>
        <w:tc>
          <w:tcPr>
            <w:tcW w:type="dxa" w:w="622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Inline context: affected resources, blast radius, CloudTrail event timeline (who changed what and when), similar past alerts with resolution outcomes, and auto-mapped compliance violations (CIS, SOC 2, PCI-DSS).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EF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Screen 3  —  Resolution</w:t>
            </w:r>
          </w:p>
        </w:tc>
        <w:tc>
          <w:tcPr>
            <w:tcW w:type="dxa" w:w="622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Pre-populated step-by-step playbook with copy-paste CLI commands, progress tracking, resolution notes that feed the audit log, and assign/snooze/false-positive disposition options.</w:t>
            </w:r>
          </w:p>
        </w:tc>
      </w:tr>
    </w:tbl>
    <w:p>
      <w:pPr>
        <w:spacing w:before="220" w:after="60"/>
      </w:pPr>
      <w:r>
        <w:rPr>
          <w:rFonts w:ascii="Arial" w:cs="Arial" w:eastAsia="Arial" w:hAnsi="Arial"/>
          <w:b/>
          <w:bCs/>
          <w:color w:val="1E3A5F"/>
          <w:spacing w:val="40"/>
          <w:sz w:val="20"/>
          <w:szCs w:val="20"/>
        </w:rPr>
        <w:t xml:space="preserve">FEATURE PRIORITIZATION (RICE)</w:t>
      </w:r>
    </w:p>
    <w:tbl>
      <w:tblPr>
        <w:tblW w:type="dxa" w:w="9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100"/>
        <w:gridCol w:w="1100"/>
        <w:gridCol w:w="1124"/>
        <w:gridCol w:w="1100"/>
        <w:gridCol w:w="100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Reach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Risk-scored alert queue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10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9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9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2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405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Investigation panel + timeline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9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9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8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5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129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Resolution playbook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8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9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7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6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84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Compliance auto-mapping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8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8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9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3</w:t>
            </w:r>
          </w:p>
        </w:tc>
        <w:tc>
          <w:tcPr>
            <w:tcW w:type="auto" w:w="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192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i/>
          <w:iCs/>
          <w:color w:val="64748B"/>
          <w:sz w:val="17"/>
          <w:szCs w:val="17"/>
        </w:rPr>
        <w:t xml:space="preserve">Score = (Reach × Impact × Confidence) ÷ Effort. Ship order: Queue → Investigation → Compliance → Playbook.</w:t>
      </w:r>
    </w:p>
    <w:p>
      <w:pPr>
        <w:spacing w:before="220" w:after="60"/>
      </w:pPr>
      <w:r>
        <w:rPr>
          <w:rFonts w:ascii="Arial" w:cs="Arial" w:eastAsia="Arial" w:hAnsi="Arial"/>
          <w:b/>
          <w:bCs/>
          <w:color w:val="1E3A5F"/>
          <w:spacing w:val="40"/>
          <w:sz w:val="20"/>
          <w:szCs w:val="20"/>
        </w:rPr>
        <w:t xml:space="preserve">SUCCESS METRICS</w:t>
      </w:r>
    </w:p>
    <w:tbl>
      <w:tblPr>
        <w:tblW w:type="dxa" w:w="9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400"/>
        <w:gridCol w:w="2624"/>
      </w:tblGrid>
      <w:tr>
        <w:trPr>
          <w:tblHeader/>
        </w:trP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Baseline</w:t>
            </w:r>
          </w:p>
        </w:tc>
        <w:tc>
          <w:tcPr>
            <w:tcW w:type="dxa" w:w="262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(90 days)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Mean time to resolution (MTTR)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Unmeasured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3A"/>
                <w:sz w:val="18"/>
                <w:szCs w:val="18"/>
              </w:rPr>
              <w:t xml:space="preserve">≥ 30% reduction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Critical alert ack. within 15 min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Unknown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3A"/>
                <w:sz w:val="18"/>
                <w:szCs w:val="18"/>
              </w:rPr>
              <w:t xml:space="preserve">&gt; 90%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Alerts resolved via playbook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0%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3A"/>
                <w:sz w:val="18"/>
                <w:szCs w:val="18"/>
              </w:rPr>
              <w:t xml:space="preserve">&gt; 60%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Context switches per alert session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4–6 tools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3A"/>
                <w:sz w:val="18"/>
                <w:szCs w:val="18"/>
              </w:rPr>
              <w:t xml:space="preserve">≤ 1 (in-product)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False positive rate (week-on-week)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Unmeasured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3A"/>
                <w:sz w:val="18"/>
                <w:szCs w:val="18"/>
              </w:rPr>
              <w:t xml:space="preserve">Declining trend</w:t>
            </w:r>
          </w:p>
        </w:tc>
      </w:tr>
    </w:tbl>
    <w:p>
      <w:pPr>
        <w:spacing w:before="220" w:after="60"/>
      </w:pPr>
      <w:r>
        <w:rPr>
          <w:rFonts w:ascii="Arial" w:cs="Arial" w:eastAsia="Arial" w:hAnsi="Arial"/>
          <w:b/>
          <w:bCs/>
          <w:color w:val="1E3A5F"/>
          <w:spacing w:val="40"/>
          <w:sz w:val="20"/>
          <w:szCs w:val="20"/>
        </w:rPr>
        <w:t xml:space="preserve">EDGE CASES &amp; CONSTRAINTS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Alert floods during incidents must auto-group correlated alerts by resource + time window to prevent queue overload.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Missing CloudTrail data (common in poorly configured accounts) — timeline panel degrades gracefully with a config nudge, not a blank state.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Risk score must show sub-scores on hover (severity, blast radius, data sensitivity, asset tier) — engineers won’t trust opaque numbers.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Novel alert types with no playbook history — present a blank editable checklist so engineers document their resolution for future use.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Duplicate alerts across accounts — de-duplicate by resource ARN + alert signature before display.</w:t>
      </w:r>
    </w:p>
    <w:p>
      <w:pPr>
        <w:spacing w:before="220" w:after="60"/>
      </w:pPr>
      <w:r>
        <w:rPr>
          <w:rFonts w:ascii="Arial" w:cs="Arial" w:eastAsia="Arial" w:hAnsi="Arial"/>
          <w:b/>
          <w:bCs/>
          <w:color w:val="1E3A5F"/>
          <w:spacing w:val="40"/>
          <w:sz w:val="20"/>
          <w:szCs w:val="20"/>
        </w:rPr>
        <w:t xml:space="preserve">BONUS — DEVELOPER ACTION ITEMS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Build as an independent microservice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Risk scoring API: 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accepts alert metadata, returns normalized 1–10 score. Decoupled from ingestion pipeline so scoring logic iterates independently.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Async background job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CloudTrail enrichment: 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attaches context post-ingestion. Never a blocking call at display time — keeps the queue responsive.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Start with text-embedding cosine similarity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Similarity matching: 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on alert title + resource ARN. No full ML model needed in v1.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Key-value store keyed on alert type slug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Playbook store: </w:t>
      </w:r>
    </w:p>
    <w:p>
      <w:pPr>
        <w:pStyle w:val="ListParagraph"/>
        <w:numPr>
          <w:ilvl w:val="0"/>
          <w:numId w:val="2"/>
        </w:numPr>
        <w:spacing w:before="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editable by security leads via admin UI. Engineering owns the schema, not the content.</w:t>
      </w:r>
    </w:p>
    <w:p>
      <w:pPr>
        <w:pBdr>
          <w:top w:val="single" w:color="CBD5E1" w:sz="4" w:space="1"/>
        </w:pBdr>
        <w:spacing w:before="300" w:after="60"/>
      </w:pP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The goal is one workflow, zero tab-switching, and every resolution leaving a paper trail that makes the next engineer faster.</w:t>
      </w:r>
    </w:p>
    <w:sectPr>
      <w:headerReference w:type="default" r:id="rId6"/>
      <w:footerReference w:type="default" r:id="rId7"/>
      <w:pgSz w:w="12240" w:h="15840" w:orient="portrait"/>
      <w:pgMar w:top="864" w:right="1008" w:bottom="864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</w:pPr>
    <w:r>
      <w:rPr>
        <w:rFonts w:ascii="Arial" w:cs="Arial" w:eastAsia="Arial" w:hAnsi="Arial"/>
        <w:color w:val="64748B"/>
        <w:sz w:val="16"/>
        <w:szCs w:val="16"/>
      </w:rPr>
      <w:t xml:space="preserve">Confidential  ·  For evaluation purposes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1"/>
      </w:pBdr>
      <w:spacing w:after="0"/>
    </w:pPr>
    <w:r>
      <w:rPr>
        <w:rFonts w:ascii="Arial" w:cs="Arial" w:eastAsia="Arial" w:hAnsi="Arial"/>
        <w:color w:val="64748B"/>
        <w:sz w:val="18"/>
        <w:szCs w:val="18"/>
      </w:rPr>
      <w:t xml:space="preserve">AccuKnox  |  Product Management Trainee Assignment</w:t>
    </w:r>
    <w:r>
      <w:rPr>
        <w:rFonts w:ascii="Arial" w:cs="Arial" w:eastAsia="Arial" w:hAnsi="Arial"/>
        <w:b/>
        <w:bCs/>
        <w:color w:val="1E3A5F"/>
        <w:sz w:val="18"/>
        <w:szCs w:val="18"/>
      </w:rPr>
      <w:t xml:space="preserve">  —  Alert Triage Workflow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2026-03-27T10:46:50.219Z</dcterms:created>
  <dcterms:modified xsi:type="dcterms:W3CDTF">2026-03-27T10:46:50.219Z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