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jc w:val="center"/>
      </w:pPr>
      <w:r>
        <w:rPr>
          <w:rFonts w:ascii="Calibri" w:hAnsi="Calibri"/>
          <w:b/>
          <w:color w:val="0D1B3E"/>
          <w:sz w:val="68"/>
        </w:rPr>
        <w:t>NEXUS-C</w:t>
      </w:r>
    </w:p>
    <w:p>
      <w:pPr>
        <w:spacing w:after="120"/>
        <w:jc w:val="center"/>
      </w:pPr>
      <w:r>
        <w:rPr>
          <w:rFonts w:ascii="Calibri" w:hAnsi="Calibri"/>
          <w:i/>
          <w:color w:val="1A56DB"/>
          <w:sz w:val="28"/>
        </w:rPr>
        <w:t>Causal Survival Uplift Modeling with Budget-Constrained</w:t>
        <w:br/>
        <w:t>Intervention Optimization for Employee Retention</w:t>
      </w:r>
    </w:p>
    <w:p>
      <w:pPr>
        <w:spacing w:after="1000"/>
        <w:jc w:val="center"/>
      </w:pPr>
      <w:r>
        <w:rPr>
          <w:rFonts w:ascii="Calibri" w:hAnsi="Calibri"/>
          <w:color w:val="4B5563"/>
          <w:sz w:val="22"/>
        </w:rPr>
        <w:t>A Novel Research Contribution Proposal for Journal Submission</w:t>
        <w:br/>
        <w:t>Extension of the Nexus AI Attrition Prediction Framework</w:t>
      </w:r>
    </w:p>
    <w:p>
      <w:pPr>
        <w:jc w:val="center"/>
      </w:pPr>
      <w:r>
        <w:rPr>
          <w:rFonts w:ascii="Calibri" w:hAnsi="Calibri"/>
          <w:color w:val="4B5563"/>
          <w:sz w:val="20"/>
        </w:rPr>
        <w:t>Comprehensive Technical Report  |  September 2026</w:t>
      </w:r>
    </w:p>
    <w:p>
      <w:r>
        <w:br w:type="page"/>
      </w:r>
    </w:p>
    <w:p>
      <w:pPr>
        <w:spacing w:before="320" w:after="120"/>
      </w:pPr>
      <w:r>
        <w:rPr>
          <w:rFonts w:ascii="Calibri" w:hAnsi="Calibri"/>
          <w:b/>
          <w:color w:val="0D1B3E"/>
          <w:sz w:val="40"/>
        </w:rPr>
        <w:t>1. Executive Summary</w:t>
      </w:r>
    </w:p>
    <w:p>
      <w:pPr>
        <w:spacing w:before="80" w:after="80"/>
        <w:pBdr>
          <w:bottom w:val="single" w:sz="6" w:space="1" w:color="1A56DB"/>
        </w:pBdr>
      </w:pPr>
    </w:p>
    <w:p>
      <w:pPr>
        <w:spacing w:after="100" w:before="40"/>
      </w:pPr>
      <w:r>
        <w:rPr>
          <w:rFonts w:ascii="Calibri" w:hAnsi="Calibri"/>
          <w:b w:val="0"/>
          <w:i w:val="0"/>
          <w:color w:val="1F2937"/>
          <w:sz w:val="22"/>
        </w:rPr>
        <w:t>The Nexus AI framework introduced four significant novelties over the prior state-of-the-art: a self-calibrating Cox PH + RSF weighted survival ensemble (Novelty 1), a confidence-weighted Employee Lifetime Value (ELV) economic triage engine (Novelty 2), a TreeSHAP-to-LLM natural language diagnostic pipeline (Novelty 3), and an autonomous 6-agent closed-loop multi-agent system with a LinUCB Contextual Bandit for intervention selection (Novelty 4).</w:t>
      </w:r>
    </w:p>
    <w:p>
      <w:pPr>
        <w:spacing w:after="100" w:before="40"/>
      </w:pPr>
      <w:r>
        <w:rPr>
          <w:rFonts w:ascii="Calibri" w:hAnsi="Calibri"/>
          <w:b w:val="0"/>
          <w:i w:val="0"/>
          <w:color w:val="1F2937"/>
          <w:sz w:val="22"/>
        </w:rPr>
        <w:t>However, a systematic re-examination of all 31 peer-reviewed papers in the project's bibliography reveals that even Novelties 1-4, while strong in engineering and system design, share a fundamental scientific limitation with every prior paper surveyed: they are observational, not causal. They predict who will leave and when, but they do not answer the harder and more impactful question:</w:t>
      </w:r>
    </w:p>
    <w:p>
      <w:pPr>
        <w:spacing w:after="160" w:before="40"/>
      </w:pPr>
      <w:r>
        <w:rPr>
          <w:rFonts w:ascii="Calibri" w:hAnsi="Calibri"/>
          <w:b/>
          <w:i w:val="0"/>
          <w:color w:val="1A56DB"/>
          <w:sz w:val="22"/>
        </w:rPr>
        <w:t>"If I apply a specific retention action to this specific employee, what is the causal change in their survival probability — and given a fixed HR budget, which portfolio of employees and interventions maximises the total retained business value?"</w:t>
      </w:r>
    </w:p>
    <w:p>
      <w:pPr>
        <w:spacing w:after="100" w:before="40"/>
      </w:pPr>
      <w:r>
        <w:rPr>
          <w:rFonts w:ascii="Calibri" w:hAnsi="Calibri"/>
          <w:b w:val="0"/>
          <w:i w:val="0"/>
          <w:color w:val="1F2937"/>
          <w:sz w:val="22"/>
        </w:rPr>
        <w:t>This document proposes three new tightly integrated novelties — collectively forming the NEXUS-C framework extension — that address this gap with full mathematical rigour and practical implementability. The three novelties are:</w:t>
      </w:r>
    </w:p>
    <w:p>
      <w:pPr>
        <w:pStyle w:val="ListBullet"/>
        <w:spacing w:after="60" w:before="20"/>
      </w:pPr>
      <w:r>
        <w:rPr>
          <w:rFonts w:ascii="Calibri" w:hAnsi="Calibri"/>
          <w:color w:val="1F2937"/>
          <w:sz w:val="22"/>
        </w:rPr>
        <w:t>Novel 1 (Primary):   Causal Survival Uplift Modeling using a T-Learner RSF architecture to estimate Individual Treatment Effects (ITE).</w:t>
      </w:r>
    </w:p>
    <w:p>
      <w:pPr>
        <w:pStyle w:val="ListBullet"/>
        <w:spacing w:after="60" w:before="20"/>
      </w:pPr>
      <w:r>
        <w:rPr>
          <w:rFonts w:ascii="Calibri" w:hAnsi="Calibri"/>
          <w:color w:val="1F2937"/>
          <w:sz w:val="22"/>
        </w:rPr>
        <w:t>Novel 2 (Integrating): Budget-Constrained Greedy Knapsack Intervention Optimizer for optimal HR spend allocation.</w:t>
      </w:r>
    </w:p>
    <w:p>
      <w:pPr>
        <w:pStyle w:val="ListBullet"/>
        <w:spacing w:after="60" w:before="20"/>
      </w:pPr>
      <w:r>
        <w:rPr>
          <w:rFonts w:ascii="Calibri" w:hAnsi="Calibri"/>
          <w:color w:val="1F2937"/>
          <w:sz w:val="22"/>
        </w:rPr>
        <w:t>Novel 3 (Supplementary): Competing-Risks Differentiated Triage using Fine-Gray subdistribution hazards to separate voluntary from involuntary exits.</w:t>
      </w:r>
    </w:p>
    <w:p>
      <w:r>
        <w:br w:type="page"/>
      </w:r>
    </w:p>
    <w:p>
      <w:pPr>
        <w:spacing w:before="320" w:after="120"/>
      </w:pPr>
      <w:r>
        <w:rPr>
          <w:rFonts w:ascii="Calibri" w:hAnsi="Calibri"/>
          <w:b/>
          <w:color w:val="0D1B3E"/>
          <w:sz w:val="40"/>
        </w:rPr>
        <w:t>2. Research Gap Analysis from 31 Papers</w:t>
      </w:r>
    </w:p>
    <w:p>
      <w:pPr>
        <w:spacing w:before="80" w:after="80"/>
        <w:pBdr>
          <w:bottom w:val="single" w:sz="6" w:space="1" w:color="1A56DB"/>
        </w:pBdr>
      </w:pPr>
    </w:p>
    <w:p>
      <w:pPr>
        <w:spacing w:after="100" w:before="40"/>
      </w:pPr>
      <w:r>
        <w:rPr>
          <w:rFonts w:ascii="Calibri" w:hAnsi="Calibri"/>
          <w:b w:val="0"/>
          <w:i w:val="0"/>
          <w:color w:val="1F2937"/>
          <w:sz w:val="22"/>
        </w:rPr>
        <w:t>A methodological epoch-by-epoch review of all 31 papers reveals a clear progression that consistently stops one step short of causal reasoning:</w:t>
      </w:r>
    </w:p>
    <w:p>
      <w:pPr>
        <w:spacing w:after="80" w:before="60"/>
      </w:pPr>
      <w:r>
        <w:rPr>
          <w:rFonts w:ascii="Calibri" w:hAnsi="Calibri"/>
          <w:b/>
          <w:color w:val="0D1B3E"/>
          <w:sz w:val="22"/>
        </w:rPr>
        <w:t xml:space="preserve">Epoch I (2015–2020): Classical ML Baseline: </w:t>
      </w:r>
      <w:r>
        <w:rPr>
          <w:rFonts w:ascii="Calibri" w:hAnsi="Calibri"/>
          <w:color w:val="1F2937"/>
          <w:sz w:val="22"/>
        </w:rPr>
        <w:t>Papers focused on binary classification — Logistic Regression, Decision Trees, SVM. All observational. No temporal modeling. Severe class imbalance addressed with SMOTE.</w:t>
      </w:r>
    </w:p>
    <w:p>
      <w:pPr>
        <w:spacing w:after="80" w:before="60"/>
      </w:pPr>
      <w:r>
        <w:rPr>
          <w:rFonts w:ascii="Calibri" w:hAnsi="Calibri"/>
          <w:b/>
          <w:color w:val="0D1B3E"/>
          <w:sz w:val="22"/>
        </w:rPr>
        <w:t xml:space="preserve">Epoch II (2020–2023): Ensemble Hegemony: </w:t>
      </w:r>
      <w:r>
        <w:rPr>
          <w:rFonts w:ascii="Calibri" w:hAnsi="Calibri"/>
          <w:color w:val="1F2937"/>
          <w:sz w:val="22"/>
        </w:rPr>
        <w:t>XGBoost, LightGBM, CatBoost with SMOTE-ENN. Best AUC-ROC consistently &gt; 0.90. Still pure observational prediction. No intervention selection.</w:t>
      </w:r>
    </w:p>
    <w:p>
      <w:pPr>
        <w:spacing w:after="80" w:before="60"/>
      </w:pPr>
      <w:r>
        <w:rPr>
          <w:rFonts w:ascii="Calibri" w:hAnsi="Calibri"/>
          <w:b/>
          <w:color w:val="0D1B3E"/>
          <w:sz w:val="22"/>
        </w:rPr>
        <w:t xml:space="preserve">Epoch III (2023–2025): Temporal &amp; Deep Architectures: </w:t>
      </w:r>
      <w:r>
        <w:rPr>
          <w:rFonts w:ascii="Calibri" w:hAnsi="Calibri"/>
          <w:color w:val="1F2937"/>
          <w:sz w:val="22"/>
        </w:rPr>
        <w:t>LSTM-RNN, PSO-DNN (Paper #4), BMBOA-LSTM-RNN (Paper #10) with metaheuristic optimisation. Introduced sequential career trajectory modeling. Still no causal reasoning.</w:t>
      </w:r>
    </w:p>
    <w:p>
      <w:pPr>
        <w:spacing w:after="80" w:before="60"/>
      </w:pPr>
      <w:r>
        <w:rPr>
          <w:rFonts w:ascii="Calibri" w:hAnsi="Calibri"/>
          <w:b/>
          <w:color w:val="0D1B3E"/>
          <w:sz w:val="22"/>
        </w:rPr>
        <w:t xml:space="preserve">Epoch IV (2025–2026): Survival Dynamics, XAI &amp; Federated Learning: </w:t>
      </w:r>
      <w:r>
        <w:rPr>
          <w:rFonts w:ascii="Calibri" w:hAnsi="Calibri"/>
          <w:color w:val="1F2937"/>
          <w:sz w:val="22"/>
        </w:rPr>
        <w:t>Paper #2 introduces competing risks. Papers #22, #26 use SHAP for explainability. Paper #28 introduces federated privacy-preserving learning. Paper #14 explicitly lists 'Causal ML and Uplift Modeling' as a future direction — but does not implement it.</w:t>
      </w:r>
    </w:p>
    <w:p>
      <w:pPr>
        <w:spacing w:before="320" w:after="120"/>
      </w:pPr>
      <w:r>
        <w:rPr>
          <w:rFonts w:ascii="Calibri" w:hAnsi="Calibri"/>
          <w:b/>
          <w:color w:val="1A56DB"/>
          <w:sz w:val="30"/>
        </w:rPr>
        <w:t>2.1 The Precise White Space — What Zero Papers Have Done</w:t>
      </w:r>
    </w:p>
    <w:p>
      <w:pPr>
        <w:spacing w:after="100" w:before="40"/>
      </w:pPr>
      <w:r>
        <w:rPr>
          <w:rFonts w:ascii="Calibri" w:hAnsi="Calibri"/>
          <w:b w:val="0"/>
          <w:i w:val="0"/>
          <w:color w:val="1F2937"/>
          <w:sz w:val="22"/>
        </w:rPr>
        <w:t>The following table maps the exact gaps across the 31-paper corpus that the proposed NEXUS-C novelties address:</w:t>
      </w:r>
    </w:p>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0D1B3E"/>
          </w:tcPr>
          <w:p>
            <w:r>
              <w:rPr>
                <w:rFonts w:ascii="Calibri" w:hAnsi="Calibri"/>
                <w:b/>
                <w:color w:val="FFFFFF"/>
                <w:sz w:val="20"/>
              </w:rPr>
              <w:t>Research Gap</w:t>
            </w:r>
          </w:p>
        </w:tc>
        <w:tc>
          <w:tcPr>
            <w:tcW w:type="dxa" w:w="2976"/>
            <w:shd w:val="clear" w:color="auto" w:fill="0D1B3E"/>
          </w:tcPr>
          <w:p>
            <w:r>
              <w:rPr>
                <w:rFonts w:ascii="Calibri" w:hAnsi="Calibri"/>
                <w:b/>
                <w:color w:val="FFFFFF"/>
                <w:sz w:val="20"/>
              </w:rPr>
              <w:t>Papers That Partially Attempt This</w:t>
            </w:r>
          </w:p>
        </w:tc>
        <w:tc>
          <w:tcPr>
            <w:tcW w:type="dxa" w:w="2976"/>
            <w:shd w:val="clear" w:color="auto" w:fill="0D1B3E"/>
          </w:tcPr>
          <w:p>
            <w:r>
              <w:rPr>
                <w:rFonts w:ascii="Calibri" w:hAnsi="Calibri"/>
                <w:b/>
                <w:color w:val="FFFFFF"/>
                <w:sz w:val="20"/>
              </w:rPr>
              <w:t>What They Still Miss</w:t>
            </w:r>
          </w:p>
        </w:tc>
      </w:tr>
      <w:tr>
        <w:tc>
          <w:tcPr>
            <w:tcW w:type="dxa" w:w="2976"/>
            <w:shd w:val="clear" w:color="auto" w:fill="F3F4F6"/>
          </w:tcPr>
          <w:p>
            <w:r>
              <w:rPr>
                <w:rFonts w:ascii="Calibri" w:hAnsi="Calibri"/>
                <w:color w:val="1F2937"/>
                <w:sz w:val="20"/>
              </w:rPr>
              <w:t>Causal estimation of retention intervention effects (ITE)</w:t>
            </w:r>
          </w:p>
        </w:tc>
        <w:tc>
          <w:tcPr>
            <w:tcW w:type="dxa" w:w="2976"/>
            <w:shd w:val="clear" w:color="auto" w:fill="F3F4F6"/>
          </w:tcPr>
          <w:p>
            <w:r>
              <w:rPr>
                <w:rFonts w:ascii="Calibri" w:hAnsi="Calibri"/>
                <w:color w:val="1F2937"/>
                <w:sz w:val="20"/>
              </w:rPr>
              <w:t>Paper #14 (mentions uplift), Paper #22 (SHAP counterfactuals)</w:t>
            </w:r>
          </w:p>
        </w:tc>
        <w:tc>
          <w:tcPr>
            <w:tcW w:type="dxa" w:w="2976"/>
            <w:shd w:val="clear" w:color="auto" w:fill="F3F4F6"/>
          </w:tcPr>
          <w:p>
            <w:r>
              <w:rPr>
                <w:rFonts w:ascii="Calibri" w:hAnsi="Calibri"/>
                <w:color w:val="1F2937"/>
                <w:sz w:val="20"/>
              </w:rPr>
              <w:t>Descriptive only — no counterfactual potential outcome estimation on survival</w:t>
            </w:r>
          </w:p>
        </w:tc>
      </w:tr>
      <w:tr>
        <w:tc>
          <w:tcPr>
            <w:tcW w:type="dxa" w:w="2976"/>
            <w:shd w:val="clear" w:color="auto" w:fill="FFFFFF"/>
          </w:tcPr>
          <w:p>
            <w:r>
              <w:rPr>
                <w:rFonts w:ascii="Calibri" w:hAnsi="Calibri"/>
                <w:color w:val="1F2937"/>
                <w:sz w:val="20"/>
              </w:rPr>
              <w:t>Survival uplift modeling — combining causal inference + survival analysis</w:t>
            </w:r>
          </w:p>
        </w:tc>
        <w:tc>
          <w:tcPr>
            <w:tcW w:type="dxa" w:w="2976"/>
            <w:shd w:val="clear" w:color="auto" w:fill="FFFFFF"/>
          </w:tcPr>
          <w:p>
            <w:r>
              <w:rPr>
                <w:rFonts w:ascii="Calibri" w:hAnsi="Calibri"/>
                <w:color w:val="1F2937"/>
                <w:sz w:val="20"/>
              </w:rPr>
              <w:t>None of 31 papers</w:t>
            </w:r>
          </w:p>
        </w:tc>
        <w:tc>
          <w:tcPr>
            <w:tcW w:type="dxa" w:w="2976"/>
            <w:shd w:val="clear" w:color="auto" w:fill="FFFFFF"/>
          </w:tcPr>
          <w:p>
            <w:r>
              <w:rPr>
                <w:rFonts w:ascii="Calibri" w:hAnsi="Calibri"/>
                <w:color w:val="1F2937"/>
                <w:sz w:val="20"/>
              </w:rPr>
              <w:t>Zero papers estimate Individual Treatment Effects on tenure survival curves</w:t>
            </w:r>
          </w:p>
        </w:tc>
      </w:tr>
      <w:tr>
        <w:tc>
          <w:tcPr>
            <w:tcW w:type="dxa" w:w="2976"/>
            <w:shd w:val="clear" w:color="auto" w:fill="F3F4F6"/>
          </w:tcPr>
          <w:p>
            <w:r>
              <w:rPr>
                <w:rFonts w:ascii="Calibri" w:hAnsi="Calibri"/>
                <w:color w:val="1F2937"/>
                <w:sz w:val="20"/>
              </w:rPr>
              <w:t>Budget-constrained intervention portfolio optimization</w:t>
            </w:r>
          </w:p>
        </w:tc>
        <w:tc>
          <w:tcPr>
            <w:tcW w:type="dxa" w:w="2976"/>
            <w:shd w:val="clear" w:color="auto" w:fill="F3F4F6"/>
          </w:tcPr>
          <w:p>
            <w:r>
              <w:rPr>
                <w:rFonts w:ascii="Calibri" w:hAnsi="Calibri"/>
                <w:color w:val="1F2937"/>
                <w:sz w:val="20"/>
              </w:rPr>
              <w:t>Paper #14 mentions CLV and business ROI</w:t>
            </w:r>
          </w:p>
        </w:tc>
        <w:tc>
          <w:tcPr>
            <w:tcW w:type="dxa" w:w="2976"/>
            <w:shd w:val="clear" w:color="auto" w:fill="F3F4F6"/>
          </w:tcPr>
          <w:p>
            <w:r>
              <w:rPr>
                <w:rFonts w:ascii="Calibri" w:hAnsi="Calibri"/>
                <w:color w:val="1F2937"/>
                <w:sz w:val="20"/>
              </w:rPr>
              <w:t>Never formulated as a constrained combinatorial optimization problem</w:t>
            </w:r>
          </w:p>
        </w:tc>
      </w:tr>
      <w:tr>
        <w:tc>
          <w:tcPr>
            <w:tcW w:type="dxa" w:w="2976"/>
            <w:shd w:val="clear" w:color="auto" w:fill="FFFFFF"/>
          </w:tcPr>
          <w:p>
            <w:r>
              <w:rPr>
                <w:rFonts w:ascii="Calibri" w:hAnsi="Calibri"/>
                <w:color w:val="1F2937"/>
                <w:sz w:val="20"/>
              </w:rPr>
              <w:t>Competing risks + intervention routing (voluntary vs involuntary exit)</w:t>
            </w:r>
          </w:p>
        </w:tc>
        <w:tc>
          <w:tcPr>
            <w:tcW w:type="dxa" w:w="2976"/>
            <w:shd w:val="clear" w:color="auto" w:fill="FFFFFF"/>
          </w:tcPr>
          <w:p>
            <w:r>
              <w:rPr>
                <w:rFonts w:ascii="Calibri" w:hAnsi="Calibri"/>
                <w:color w:val="1F2937"/>
                <w:sz w:val="20"/>
              </w:rPr>
              <w:t>Paper #2 (Fine-Gray competing risks)</w:t>
            </w:r>
          </w:p>
        </w:tc>
        <w:tc>
          <w:tcPr>
            <w:tcW w:type="dxa" w:w="2976"/>
            <w:shd w:val="clear" w:color="auto" w:fill="FFFFFF"/>
          </w:tcPr>
          <w:p>
            <w:r>
              <w:rPr>
                <w:rFonts w:ascii="Calibri" w:hAnsi="Calibri"/>
                <w:color w:val="1F2937"/>
                <w:sz w:val="20"/>
              </w:rPr>
              <w:t>Competing risks never connected to intervention selection system</w:t>
            </w:r>
          </w:p>
        </w:tc>
      </w:tr>
      <w:tr>
        <w:tc>
          <w:tcPr>
            <w:tcW w:type="dxa" w:w="2976"/>
            <w:shd w:val="clear" w:color="auto" w:fill="F3F4F6"/>
          </w:tcPr>
          <w:p>
            <w:r>
              <w:rPr>
                <w:rFonts w:ascii="Calibri" w:hAnsi="Calibri"/>
                <w:color w:val="1F2937"/>
                <w:sz w:val="20"/>
              </w:rPr>
              <w:t>T-Learner or Meta-Learner causal frameworks applied to HR</w:t>
            </w:r>
          </w:p>
        </w:tc>
        <w:tc>
          <w:tcPr>
            <w:tcW w:type="dxa" w:w="2976"/>
            <w:shd w:val="clear" w:color="auto" w:fill="F3F4F6"/>
          </w:tcPr>
          <w:p>
            <w:r>
              <w:rPr>
                <w:rFonts w:ascii="Calibri" w:hAnsi="Calibri"/>
                <w:color w:val="1F2937"/>
                <w:sz w:val="20"/>
              </w:rPr>
              <w:t>None of 31 papers</w:t>
            </w:r>
          </w:p>
        </w:tc>
        <w:tc>
          <w:tcPr>
            <w:tcW w:type="dxa" w:w="2976"/>
            <w:shd w:val="clear" w:color="auto" w:fill="F3F4F6"/>
          </w:tcPr>
          <w:p>
            <w:r>
              <w:rPr>
                <w:rFonts w:ascii="Calibri" w:hAnsi="Calibri"/>
                <w:color w:val="1F2937"/>
                <w:sz w:val="20"/>
              </w:rPr>
              <w:t>No causal ML framework (T-Learner, S-Learner, DR-Learner) applied to HR attrition</w:t>
            </w:r>
          </w:p>
        </w:tc>
      </w:tr>
      <w:tr>
        <w:tc>
          <w:tcPr>
            <w:tcW w:type="dxa" w:w="2976"/>
            <w:shd w:val="clear" w:color="auto" w:fill="FFFFFF"/>
          </w:tcPr>
          <w:p>
            <w:r>
              <w:rPr>
                <w:rFonts w:ascii="Calibri" w:hAnsi="Calibri"/>
                <w:color w:val="1F2937"/>
                <w:sz w:val="20"/>
              </w:rPr>
              <w:t>Revenue maximization per dollar of HR retention spend</w:t>
            </w:r>
          </w:p>
        </w:tc>
        <w:tc>
          <w:tcPr>
            <w:tcW w:type="dxa" w:w="2976"/>
            <w:shd w:val="clear" w:color="auto" w:fill="FFFFFF"/>
          </w:tcPr>
          <w:p>
            <w:r>
              <w:rPr>
                <w:rFonts w:ascii="Calibri" w:hAnsi="Calibri"/>
                <w:color w:val="1F2937"/>
                <w:sz w:val="20"/>
              </w:rPr>
              <w:t>None of 31 papers</w:t>
            </w:r>
          </w:p>
        </w:tc>
        <w:tc>
          <w:tcPr>
            <w:tcW w:type="dxa" w:w="2976"/>
            <w:shd w:val="clear" w:color="auto" w:fill="FFFFFF"/>
          </w:tcPr>
          <w:p>
            <w:r>
              <w:rPr>
                <w:rFonts w:ascii="Calibri" w:hAnsi="Calibri"/>
                <w:color w:val="1F2937"/>
                <w:sz w:val="20"/>
              </w:rPr>
              <w:t>No metric for retained revenue per unit HR budget cost</w:t>
            </w:r>
          </w:p>
        </w:tc>
      </w:tr>
      <w:tr>
        <w:tc>
          <w:tcPr>
            <w:tcW w:type="dxa" w:w="2976"/>
            <w:shd w:val="clear" w:color="auto" w:fill="F3F4F6"/>
          </w:tcPr>
          <w:p>
            <w:r>
              <w:rPr>
                <w:rFonts w:ascii="Calibri" w:hAnsi="Calibri"/>
                <w:color w:val="1F2937"/>
                <w:sz w:val="20"/>
              </w:rPr>
              <w:t>Counterfactual 'what-if' survival scenario simulation</w:t>
            </w:r>
          </w:p>
        </w:tc>
        <w:tc>
          <w:tcPr>
            <w:tcW w:type="dxa" w:w="2976"/>
            <w:shd w:val="clear" w:color="auto" w:fill="F3F4F6"/>
          </w:tcPr>
          <w:p>
            <w:r>
              <w:rPr>
                <w:rFonts w:ascii="Calibri" w:hAnsi="Calibri"/>
                <w:color w:val="1F2937"/>
                <w:sz w:val="20"/>
              </w:rPr>
              <w:t>Paper #22 (PDPs), Paper #20 (future direction)</w:t>
            </w:r>
          </w:p>
        </w:tc>
        <w:tc>
          <w:tcPr>
            <w:tcW w:type="dxa" w:w="2976"/>
            <w:shd w:val="clear" w:color="auto" w:fill="F3F4F6"/>
          </w:tcPr>
          <w:p>
            <w:r>
              <w:rPr>
                <w:rFonts w:ascii="Calibri" w:hAnsi="Calibri"/>
                <w:color w:val="1F2937"/>
                <w:sz w:val="20"/>
              </w:rPr>
              <w:t>PDPs are marginal, not individual counterfactuals for specific employees</w:t>
            </w:r>
          </w:p>
        </w:tc>
      </w:tr>
    </w:tbl>
    <w:p>
      <w:r>
        <w:br w:type="page"/>
      </w:r>
    </w:p>
    <w:p>
      <w:pPr>
        <w:spacing w:before="320" w:after="120"/>
      </w:pPr>
      <w:r>
        <w:rPr>
          <w:rFonts w:ascii="Calibri" w:hAnsi="Calibri"/>
          <w:b/>
          <w:color w:val="0D1B3E"/>
          <w:sz w:val="40"/>
        </w:rPr>
        <w:t>3. Novel 1 (Primary): Causal Survival Uplift Modeling — T-Learner RSF Architecture</w:t>
      </w:r>
    </w:p>
    <w:p>
      <w:pPr>
        <w:spacing w:before="80" w:after="80"/>
        <w:pBdr>
          <w:bottom w:val="single" w:sz="6" w:space="1" w:color="1A56DB"/>
        </w:pBdr>
      </w:pPr>
    </w:p>
    <w:p>
      <w:pPr>
        <w:spacing w:before="320" w:after="120"/>
      </w:pPr>
      <w:r>
        <w:rPr>
          <w:rFonts w:ascii="Calibri" w:hAnsi="Calibri"/>
          <w:b/>
          <w:color w:val="1A56DB"/>
          <w:sz w:val="30"/>
        </w:rPr>
        <w:t>3.1 What Is the Problem Being Solved?</w:t>
      </w:r>
    </w:p>
    <w:p>
      <w:pPr>
        <w:spacing w:after="100" w:before="40"/>
      </w:pPr>
      <w:r>
        <w:rPr>
          <w:rFonts w:ascii="Calibri" w:hAnsi="Calibri"/>
          <w:b w:val="0"/>
          <w:i w:val="0"/>
          <w:color w:val="1F2937"/>
          <w:sz w:val="22"/>
        </w:rPr>
        <w:t>The LinUCB Contextual Bandit in Nexus AI (Novelty 4) learns which retention actions have historically been correlated with employees being retained. This is an associative model — it identifies patterns like:</w:t>
      </w:r>
    </w:p>
    <w:p>
      <w:pPr>
        <w:pStyle w:val="ListBullet"/>
        <w:spacing w:after="60" w:before="20"/>
      </w:pPr>
      <w:r>
        <w:rPr>
          <w:rFonts w:ascii="Calibri" w:hAnsi="Calibri"/>
          <w:color w:val="1F2937"/>
          <w:sz w:val="22"/>
        </w:rPr>
        <w:t>'Employees who received a Salary Review were retained at rate X%'</w:t>
      </w:r>
    </w:p>
    <w:p>
      <w:pPr>
        <w:pStyle w:val="ListBullet"/>
        <w:spacing w:after="60" w:before="20"/>
      </w:pPr>
      <w:r>
        <w:rPr>
          <w:rFonts w:ascii="Calibri" w:hAnsi="Calibri"/>
          <w:color w:val="1F2937"/>
          <w:sz w:val="22"/>
        </w:rPr>
        <w:t>'Employees who received a Flexible Work offer were retained at rate Y%'</w:t>
      </w:r>
    </w:p>
    <w:p>
      <w:pPr>
        <w:spacing w:after="100" w:before="40"/>
      </w:pPr>
      <w:r>
        <w:rPr>
          <w:rFonts w:ascii="Calibri" w:hAnsi="Calibri"/>
          <w:b w:val="0"/>
          <w:i w:val="0"/>
          <w:color w:val="1F2937"/>
          <w:sz w:val="22"/>
        </w:rPr>
        <w:t>However, this correlation may be confounded. For example, managers may have applied Salary Reviews more readily to employees who were already moderately satisfied and easy to retain. The bandit would then over-recommend Salary Reviews not because they are causally effective, but because they were applied to employees who would have stayed anyway. This is the classic confounding problem in observational data.</w:t>
      </w:r>
    </w:p>
    <w:p>
      <w:pPr>
        <w:spacing w:after="100" w:before="40"/>
      </w:pPr>
      <w:r>
        <w:rPr>
          <w:rFonts w:ascii="Calibri" w:hAnsi="Calibri"/>
          <w:b w:val="0"/>
          <w:i w:val="0"/>
          <w:color w:val="1F2937"/>
          <w:sz w:val="22"/>
        </w:rPr>
        <w:t>Causal Survival Uplift Modeling fixes this by estimating the counterfactual potential outcomes — what would the employee's survival probability have been if we intervened versus if we did not? The difference is the true causal treatment effect, free from confounding bias.</w:t>
      </w:r>
    </w:p>
    <w:p>
      <w:pPr>
        <w:spacing w:before="320" w:after="120"/>
      </w:pPr>
      <w:r>
        <w:rPr>
          <w:rFonts w:ascii="Calibri" w:hAnsi="Calibri"/>
          <w:b/>
          <w:color w:val="1A56DB"/>
          <w:sz w:val="30"/>
        </w:rPr>
        <w:t>3.2 Formal Problem Formulation</w:t>
      </w:r>
    </w:p>
    <w:p>
      <w:pPr>
        <w:spacing w:after="100" w:before="40"/>
      </w:pPr>
      <w:r>
        <w:rPr>
          <w:rFonts w:ascii="Calibri" w:hAnsi="Calibri"/>
          <w:b w:val="0"/>
          <w:i w:val="0"/>
          <w:color w:val="1F2937"/>
          <w:sz w:val="22"/>
        </w:rPr>
        <w:t>Let each employee be described by:</w:t>
      </w:r>
    </w:p>
    <w:p>
      <w:pPr>
        <w:pStyle w:val="ListBullet"/>
        <w:spacing w:after="60" w:before="20"/>
      </w:pPr>
      <w:r>
        <w:rPr>
          <w:rFonts w:ascii="Calibri" w:hAnsi="Calibri"/>
          <w:color w:val="1F2937"/>
          <w:sz w:val="22"/>
        </w:rPr>
        <w:t>X_i ∈ ℝᵈ  — feature vector (salary, tenure, overtime, satisfaction, etc.)</w:t>
      </w:r>
    </w:p>
    <w:p>
      <w:pPr>
        <w:pStyle w:val="ListBullet"/>
        <w:spacing w:after="60" w:before="20"/>
      </w:pPr>
      <w:r>
        <w:rPr>
          <w:rFonts w:ascii="Calibri" w:hAnsi="Calibri"/>
          <w:color w:val="1F2937"/>
          <w:sz w:val="22"/>
        </w:rPr>
        <w:t>T_i ∈ ℝ⁺  — observed tenure duration in months</w:t>
      </w:r>
    </w:p>
    <w:p>
      <w:pPr>
        <w:pStyle w:val="ListBullet"/>
        <w:spacing w:after="60" w:before="20"/>
      </w:pPr>
      <w:r>
        <w:rPr>
          <w:rFonts w:ascii="Calibri" w:hAnsi="Calibri"/>
          <w:color w:val="1F2937"/>
          <w:sz w:val="22"/>
        </w:rPr>
        <w:t>E_i ∈ {0,1} — event indicator (1 = left, 0 = still employed / censored)</w:t>
      </w:r>
    </w:p>
    <w:p>
      <w:pPr>
        <w:pStyle w:val="ListBullet"/>
        <w:spacing w:after="60" w:before="20"/>
      </w:pPr>
      <w:r>
        <w:rPr>
          <w:rFonts w:ascii="Calibri" w:hAnsi="Calibri"/>
          <w:color w:val="1F2937"/>
          <w:sz w:val="22"/>
        </w:rPr>
        <w:t>A_i ∈ {0, 1, ..., K} — intervention assigned (0 = no intervention, 1..K = intervention types)</w:t>
      </w:r>
    </w:p>
    <w:p>
      <w:pPr>
        <w:spacing w:after="100" w:before="40"/>
      </w:pPr>
      <w:r>
        <w:rPr>
          <w:rFonts w:ascii="Calibri" w:hAnsi="Calibri"/>
          <w:b w:val="0"/>
          <w:i w:val="0"/>
          <w:color w:val="1F2937"/>
          <w:sz w:val="22"/>
        </w:rPr>
        <w:t>Under the Potential Outcomes framework (Rubin Causal Model):</w:t>
      </w:r>
    </w:p>
    <w:p>
      <w:pPr>
        <w:spacing w:after="100" w:before="40"/>
      </w:pPr>
      <w:r>
        <w:rPr>
          <w:rFonts w:ascii="Calibri" w:hAnsi="Calibri"/>
          <w:b/>
          <w:i w:val="0"/>
          <w:color w:val="0D1B3E"/>
          <w:sz w:val="22"/>
        </w:rPr>
        <w:t>For each employee i and intervention a, define the potential survival function:</w:t>
      </w:r>
    </w:p>
    <w:p>
      <w:pPr>
        <w:spacing w:before="80" w:after="120"/>
      </w:pPr>
      <w:r>
        <w:rPr>
          <w:rFonts w:ascii="Courier New" w:hAnsi="Courier New"/>
          <w:color w:val="0D47A1"/>
          <w:sz w:val="18"/>
        </w:rPr>
        <w:t>S_a(t | X_i) = P(T_i &gt; t | X_i, do(A = a))</w:t>
      </w:r>
    </w:p>
    <w:p>
      <w:pPr>
        <w:spacing w:after="100" w:before="40"/>
      </w:pPr>
      <w:r>
        <w:rPr>
          <w:rFonts w:ascii="Calibri" w:hAnsi="Calibri"/>
          <w:b w:val="0"/>
          <w:i w:val="0"/>
          <w:color w:val="1F2937"/>
          <w:sz w:val="22"/>
        </w:rPr>
        <w:t>The Individual Treatment Effect (ITE) of intervention a on the 90-day survival probability is:</w:t>
      </w:r>
    </w:p>
    <w:p>
      <w:pPr>
        <w:spacing w:before="80" w:after="120"/>
      </w:pPr>
      <w:r>
        <w:rPr>
          <w:rFonts w:ascii="Courier New" w:hAnsi="Courier New"/>
          <w:color w:val="0D47A1"/>
          <w:sz w:val="18"/>
        </w:rPr>
        <w:t>τ_a(i, t=90) = S_a(t=90 | X_i)  −  S_0(t=90 | X_i)</w:t>
      </w:r>
    </w:p>
    <w:p>
      <w:pPr>
        <w:spacing w:after="100" w:before="40"/>
      </w:pPr>
      <w:r>
        <w:rPr>
          <w:rFonts w:ascii="Calibri" w:hAnsi="Calibri"/>
          <w:b w:val="0"/>
          <w:i w:val="0"/>
          <w:color w:val="1F2937"/>
          <w:sz w:val="22"/>
        </w:rPr>
        <w:t>Where S_0(t | X_i) is the counterfactual survival probability under no intervention. τ_a(i) &gt; 0 means intervention a causally improves the 90-day retention probability for employee i.</w:t>
      </w:r>
    </w:p>
    <w:p>
      <w:pPr>
        <w:spacing w:before="320" w:after="120"/>
      </w:pPr>
      <w:r>
        <w:rPr>
          <w:rFonts w:ascii="Calibri" w:hAnsi="Calibri"/>
          <w:b/>
          <w:color w:val="1A56DB"/>
          <w:sz w:val="30"/>
        </w:rPr>
        <w:t>3.3 The T-Learner Architecture</w:t>
      </w:r>
    </w:p>
    <w:p>
      <w:pPr>
        <w:spacing w:after="100" w:before="40"/>
      </w:pPr>
      <w:r>
        <w:rPr>
          <w:rFonts w:ascii="Calibri" w:hAnsi="Calibri"/>
          <w:b w:val="0"/>
          <w:i w:val="0"/>
          <w:color w:val="1F2937"/>
          <w:sz w:val="22"/>
        </w:rPr>
        <w:t>The T-Learner (Two-Model Learner) is the most interpretable meta-learner for estimating ITE when the outcome is a survival function. It trains two completely separate models — one on the control group and one on each treatment arm — and differences their predictions for new employees.</w:t>
      </w:r>
    </w:p>
    <w:p>
      <w:pPr>
        <w:spacing w:after="100" w:before="40"/>
      </w:pPr>
      <w:r>
        <w:rPr>
          <w:rFonts w:ascii="Calibri" w:hAnsi="Calibri"/>
          <w:b/>
          <w:i w:val="0"/>
          <w:color w:val="0D1B3E"/>
          <w:sz w:val="22"/>
        </w:rPr>
        <w:t>Step-by-Step Implementation:</w:t>
      </w:r>
    </w:p>
    <w:p>
      <w:pPr>
        <w:spacing w:before="120" w:after="60"/>
      </w:pPr>
      <w:r>
        <w:rPr>
          <w:rFonts w:ascii="Calibri" w:hAnsi="Calibri"/>
          <w:b/>
          <w:color w:val="059688"/>
          <w:sz w:val="22"/>
        </w:rPr>
        <w:t>Step 1 — Partition the Data:</w:t>
        <w:br/>
      </w:r>
      <w:r>
        <w:rPr>
          <w:rFonts w:ascii="Calibri" w:hAnsi="Calibri"/>
          <w:color w:val="1F2937"/>
          <w:sz w:val="22"/>
        </w:rPr>
        <w:t>Using the Feedback Agent outcomes accumulated over time, partition the employee pool into groups:</w:t>
        <w:br/>
        <w:t xml:space="preserve">  • Control group (G_0): Employees who received no intervention. Outcome: retained/churned after 90 days.</w:t>
        <w:br/>
        <w:t xml:space="preserve">  • Treatment group G_a: Employees who received intervention a ∈ {Salary Review, L&amp;D, 1:1, Flexible Work, Bonus}.</w:t>
      </w:r>
    </w:p>
    <w:p>
      <w:pPr>
        <w:spacing w:before="120" w:after="60"/>
      </w:pPr>
      <w:r>
        <w:rPr>
          <w:rFonts w:ascii="Calibri" w:hAnsi="Calibri"/>
          <w:b/>
          <w:color w:val="059688"/>
          <w:sz w:val="22"/>
        </w:rPr>
        <w:t>Step 2 — Fit the Control Survival Model:</w:t>
        <w:br/>
      </w:r>
      <w:r>
        <w:rPr>
          <w:rFonts w:ascii="Calibri" w:hAnsi="Calibri"/>
          <w:color w:val="1F2937"/>
          <w:sz w:val="22"/>
        </w:rPr>
        <w:t>Train a Random Survival Forest RSF_0 on all employees in G_0:</w:t>
        <w:br/>
        <w:t xml:space="preserve">  RSF_0.fit(X[G_0], T[G_0], E[G_0])</w:t>
        <w:br/>
        <w:t>This model learns: 'What is the natural survival curve for employees who received no intervention?'</w:t>
      </w:r>
    </w:p>
    <w:p>
      <w:pPr>
        <w:spacing w:before="120" w:after="60"/>
      </w:pPr>
      <w:r>
        <w:rPr>
          <w:rFonts w:ascii="Calibri" w:hAnsi="Calibri"/>
          <w:b/>
          <w:color w:val="059688"/>
          <w:sz w:val="22"/>
        </w:rPr>
        <w:t>Step 3 — Fit One Treatment Survival Model per Arm:</w:t>
        <w:br/>
      </w:r>
      <w:r>
        <w:rPr>
          <w:rFonts w:ascii="Calibri" w:hAnsi="Calibri"/>
          <w:color w:val="1F2937"/>
          <w:sz w:val="22"/>
        </w:rPr>
        <w:t>For each intervention a ∈ {1, ..., K}, train a separate RSF:</w:t>
        <w:br/>
        <w:t xml:space="preserve">  RSF_a.fit(X[G_a], T[G_a], E[G_a])</w:t>
        <w:br/>
        <w:t>This model learns: 'What is the survival curve for employees who received intervention a?'</w:t>
      </w:r>
    </w:p>
    <w:p>
      <w:pPr>
        <w:spacing w:before="120" w:after="60"/>
      </w:pPr>
      <w:r>
        <w:rPr>
          <w:rFonts w:ascii="Calibri" w:hAnsi="Calibri"/>
          <w:b/>
          <w:color w:val="059688"/>
          <w:sz w:val="22"/>
        </w:rPr>
        <w:t>Step 4 — Estimate ITE for New Employees:</w:t>
        <w:br/>
      </w:r>
      <w:r>
        <w:rPr>
          <w:rFonts w:ascii="Calibri" w:hAnsi="Calibri"/>
          <w:color w:val="1F2937"/>
          <w:sz w:val="22"/>
        </w:rPr>
        <w:t>For any new employee i at inference time:</w:t>
        <w:br/>
        <w:t xml:space="preserve">  S_0(t=90 | X_i)  = RSF_0.predict_survival_at_t(X_i, t=90)</w:t>
        <w:br/>
        <w:t xml:space="preserve">  S_a(t=90 | X_i)  = RSF_a.predict_survival_at_t(X_i, t=90)  for each a</w:t>
        <w:br/>
        <w:t xml:space="preserve">  τ_a(i)           = S_a(t=90 | X_i) − S_0(t=90 | X_i)</w:t>
      </w:r>
    </w:p>
    <w:p>
      <w:pPr>
        <w:spacing w:before="120" w:after="60"/>
      </w:pPr>
      <w:r>
        <w:rPr>
          <w:rFonts w:ascii="Calibri" w:hAnsi="Calibri"/>
          <w:b/>
          <w:color w:val="059688"/>
          <w:sz w:val="22"/>
        </w:rPr>
        <w:t>Step 5 — Select Action with Highest Causal Uplift:</w:t>
        <w:br/>
      </w:r>
      <w:r>
        <w:rPr>
          <w:rFonts w:ascii="Calibri" w:hAnsi="Calibri"/>
          <w:color w:val="1F2937"/>
          <w:sz w:val="22"/>
        </w:rPr>
        <w:t>The Strategist Agent replaces the LinUCB UCB score with the causal uplift score:</w:t>
        <w:br/>
        <w:t xml:space="preserve">  a* = argmax_{a} τ_a(i)</w:t>
        <w:br/>
        <w:t>This is the intervention that produces the largest counterfactual improvement in survival probability.</w:t>
      </w:r>
    </w:p>
    <w:p>
      <w:pPr>
        <w:spacing w:before="320" w:after="120"/>
      </w:pPr>
      <w:r>
        <w:rPr>
          <w:rFonts w:ascii="Calibri" w:hAnsi="Calibri"/>
          <w:b/>
          <w:color w:val="1A56DB"/>
          <w:sz w:val="30"/>
        </w:rPr>
        <w:t>3.4 Cold-Start Problem and Propensity Score Correction</w:t>
      </w:r>
    </w:p>
    <w:p>
      <w:pPr>
        <w:spacing w:after="100" w:before="40"/>
      </w:pPr>
      <w:r>
        <w:rPr>
          <w:rFonts w:ascii="Calibri" w:hAnsi="Calibri"/>
          <w:b w:val="0"/>
          <w:i w:val="0"/>
          <w:color w:val="1F2937"/>
          <w:sz w:val="22"/>
        </w:rPr>
        <w:t>A challenge with the T-Learner is the cold-start problem: early in deployment, insufficient feedback data exists to train reliable RSF_a models. Two solutions are integrated:</w:t>
      </w:r>
    </w:p>
    <w:p>
      <w:pPr>
        <w:pStyle w:val="ListBullet"/>
        <w:spacing w:after="60" w:before="20"/>
      </w:pPr>
      <w:r>
        <w:rPr>
          <w:rFonts w:ascii="Calibri" w:hAnsi="Calibri"/>
          <w:color w:val="1F2937"/>
          <w:sz w:val="22"/>
        </w:rPr>
        <w:t>Phase 1 — Bandit Warm-Up: The original LinUCB bandit continues to operate during the first N=100 feedback records. It collects a balanced sample of outcomes across all intervention arms.</w:t>
      </w:r>
    </w:p>
    <w:p>
      <w:pPr>
        <w:pStyle w:val="ListBullet"/>
        <w:spacing w:after="60" w:before="20"/>
      </w:pPr>
      <w:r>
        <w:rPr>
          <w:rFonts w:ascii="Calibri" w:hAnsi="Calibri"/>
          <w:color w:val="1F2937"/>
          <w:sz w:val="22"/>
        </w:rPr>
        <w:t>Phase 2 — Propensity Score Overlap Correction: Once RSF_a models are trained, propensity score weighting (via logistic regression estimating P(A=a | X)) is applied to correct for non-random assignment bias. Employees with extreme propensity scores (&lt; 0.05 or &gt; 0.95) are excluded from training to enforce overlap.</w:t>
      </w:r>
    </w:p>
    <w:p>
      <w:pPr>
        <w:pStyle w:val="ListBullet"/>
        <w:spacing w:after="60" w:before="20"/>
      </w:pPr>
      <w:r>
        <w:rPr>
          <w:rFonts w:ascii="Calibri" w:hAnsi="Calibri"/>
          <w:color w:val="1F2937"/>
          <w:sz w:val="22"/>
        </w:rPr>
        <w:t>Phase 3 — Hybrid Transition: A weighted blend α_t × (LinUCB score) + (1-α_t) × τ_a(i) gradually shifts from the bandit to the causal model as data accumulates, where α_t decays exponentially with feedback count t.</w:t>
      </w:r>
    </w:p>
    <w:p>
      <w:pPr>
        <w:spacing w:before="320" w:after="120"/>
      </w:pPr>
      <w:r>
        <w:rPr>
          <w:rFonts w:ascii="Calibri" w:hAnsi="Calibri"/>
          <w:b/>
          <w:color w:val="1A56DB"/>
          <w:sz w:val="30"/>
        </w:rPr>
        <w:t>3.5 Evaluation Metrics for Causal Uplift</w:t>
      </w:r>
    </w:p>
    <w:p>
      <w:pPr>
        <w:spacing w:after="100" w:before="40"/>
      </w:pPr>
      <w:r>
        <w:rPr>
          <w:rFonts w:ascii="Calibri" w:hAnsi="Calibri"/>
          <w:b w:val="0"/>
          <w:i w:val="0"/>
          <w:color w:val="1F2937"/>
          <w:sz w:val="22"/>
        </w:rPr>
        <w:t>Standard C-index and IBS metrics measure predictive discrimination, not causal accuracy. The following metrics are introduced specifically for uplift evaluation:</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0D1B3E"/>
          </w:tcPr>
          <w:p>
            <w:r>
              <w:rPr>
                <w:rFonts w:ascii="Calibri" w:hAnsi="Calibri"/>
                <w:b/>
                <w:color w:val="FFFFFF"/>
                <w:sz w:val="20"/>
              </w:rPr>
              <w:t>Metric</w:t>
            </w:r>
          </w:p>
        </w:tc>
        <w:tc>
          <w:tcPr>
            <w:tcW w:type="dxa" w:w="2976"/>
            <w:shd w:val="clear" w:color="auto" w:fill="0D1B3E"/>
          </w:tcPr>
          <w:p>
            <w:r>
              <w:rPr>
                <w:rFonts w:ascii="Calibri" w:hAnsi="Calibri"/>
                <w:b/>
                <w:color w:val="FFFFFF"/>
                <w:sz w:val="20"/>
              </w:rPr>
              <w:t>Definition</w:t>
            </w:r>
          </w:p>
        </w:tc>
        <w:tc>
          <w:tcPr>
            <w:tcW w:type="dxa" w:w="2976"/>
            <w:shd w:val="clear" w:color="auto" w:fill="0D1B3E"/>
          </w:tcPr>
          <w:p>
            <w:r>
              <w:rPr>
                <w:rFonts w:ascii="Calibri" w:hAnsi="Calibri"/>
                <w:b/>
                <w:color w:val="FFFFFF"/>
                <w:sz w:val="20"/>
              </w:rPr>
              <w:t>Interpretation</w:t>
            </w:r>
          </w:p>
        </w:tc>
      </w:tr>
      <w:tr>
        <w:tc>
          <w:tcPr>
            <w:tcW w:type="dxa" w:w="2976"/>
            <w:shd w:val="clear" w:color="auto" w:fill="F3F4F6"/>
          </w:tcPr>
          <w:p>
            <w:r>
              <w:rPr>
                <w:rFonts w:ascii="Calibri" w:hAnsi="Calibri"/>
                <w:color w:val="1F2937"/>
                <w:sz w:val="20"/>
              </w:rPr>
              <w:t>AUUC</w:t>
              <w:br/>
              <w:t>(Area Under Uplift Curve)</w:t>
            </w:r>
          </w:p>
        </w:tc>
        <w:tc>
          <w:tcPr>
            <w:tcW w:type="dxa" w:w="2976"/>
            <w:shd w:val="clear" w:color="auto" w:fill="F3F4F6"/>
          </w:tcPr>
          <w:p>
            <w:r>
              <w:rPr>
                <w:rFonts w:ascii="Calibri" w:hAnsi="Calibri"/>
                <w:color w:val="1F2937"/>
                <w:sz w:val="20"/>
              </w:rPr>
              <w:t>Area under the cumulative uplift gain curve when employees are ranked by τ_a(i)</w:t>
            </w:r>
          </w:p>
        </w:tc>
        <w:tc>
          <w:tcPr>
            <w:tcW w:type="dxa" w:w="2976"/>
            <w:shd w:val="clear" w:color="auto" w:fill="F3F4F6"/>
          </w:tcPr>
          <w:p>
            <w:r>
              <w:rPr>
                <w:rFonts w:ascii="Calibri" w:hAnsi="Calibri"/>
                <w:color w:val="1F2937"/>
                <w:sz w:val="20"/>
              </w:rPr>
              <w:t>Higher AUUC = model identifies employees most responsive to treatment earlier in the ranking</w:t>
            </w:r>
          </w:p>
        </w:tc>
      </w:tr>
      <w:tr>
        <w:tc>
          <w:tcPr>
            <w:tcW w:type="dxa" w:w="2976"/>
            <w:shd w:val="clear" w:color="auto" w:fill="FFFFFF"/>
          </w:tcPr>
          <w:p>
            <w:r>
              <w:rPr>
                <w:rFonts w:ascii="Calibri" w:hAnsi="Calibri"/>
                <w:color w:val="1F2937"/>
                <w:sz w:val="20"/>
              </w:rPr>
              <w:t>Qini Coefficient</w:t>
            </w:r>
          </w:p>
        </w:tc>
        <w:tc>
          <w:tcPr>
            <w:tcW w:type="dxa" w:w="2976"/>
            <w:shd w:val="clear" w:color="auto" w:fill="FFFFFF"/>
          </w:tcPr>
          <w:p>
            <w:r>
              <w:rPr>
                <w:rFonts w:ascii="Calibri" w:hAnsi="Calibri"/>
                <w:color w:val="1F2937"/>
                <w:sz w:val="20"/>
              </w:rPr>
              <w:t>Qini = AUUC_model − AUUC_random_baseline</w:t>
            </w:r>
          </w:p>
        </w:tc>
        <w:tc>
          <w:tcPr>
            <w:tcW w:type="dxa" w:w="2976"/>
            <w:shd w:val="clear" w:color="auto" w:fill="FFFFFF"/>
          </w:tcPr>
          <w:p>
            <w:r>
              <w:rPr>
                <w:rFonts w:ascii="Calibri" w:hAnsi="Calibri"/>
                <w:color w:val="1F2937"/>
                <w:sz w:val="20"/>
              </w:rPr>
              <w:t>Measures excess uplift gain over random intervention assignment</w:t>
            </w:r>
          </w:p>
        </w:tc>
      </w:tr>
      <w:tr>
        <w:tc>
          <w:tcPr>
            <w:tcW w:type="dxa" w:w="2976"/>
            <w:shd w:val="clear" w:color="auto" w:fill="F3F4F6"/>
          </w:tcPr>
          <w:p>
            <w:r>
              <w:rPr>
                <w:rFonts w:ascii="Calibri" w:hAnsi="Calibri"/>
                <w:color w:val="1F2937"/>
                <w:sz w:val="20"/>
              </w:rPr>
              <w:t>Retained Revenue Lift @K</w:t>
            </w:r>
          </w:p>
        </w:tc>
        <w:tc>
          <w:tcPr>
            <w:tcW w:type="dxa" w:w="2976"/>
            <w:shd w:val="clear" w:color="auto" w:fill="F3F4F6"/>
          </w:tcPr>
          <w:p>
            <w:r>
              <w:rPr>
                <w:rFonts w:ascii="Calibri" w:hAnsi="Calibri"/>
                <w:color w:val="1F2937"/>
                <w:sz w:val="20"/>
              </w:rPr>
              <w:t>Σᵢ∈Top-K [τ_a(i) × ELV_i] − Σᵢ∈Random-K [τ_a(i) × ELV_i]</w:t>
            </w:r>
          </w:p>
        </w:tc>
        <w:tc>
          <w:tcPr>
            <w:tcW w:type="dxa" w:w="2976"/>
            <w:shd w:val="clear" w:color="auto" w:fill="F3F4F6"/>
          </w:tcPr>
          <w:p>
            <w:r>
              <w:rPr>
                <w:rFonts w:ascii="Calibri" w:hAnsi="Calibri"/>
                <w:color w:val="1F2937"/>
                <w:sz w:val="20"/>
              </w:rPr>
              <w:t>Total additional ELV retained by targeting top-K uplift employees vs random K selection</w:t>
            </w:r>
          </w:p>
        </w:tc>
      </w:tr>
      <w:tr>
        <w:tc>
          <w:tcPr>
            <w:tcW w:type="dxa" w:w="2976"/>
            <w:shd w:val="clear" w:color="auto" w:fill="FFFFFF"/>
          </w:tcPr>
          <w:p>
            <w:r>
              <w:rPr>
                <w:rFonts w:ascii="Calibri" w:hAnsi="Calibri"/>
                <w:color w:val="1F2937"/>
                <w:sz w:val="20"/>
              </w:rPr>
              <w:t>Intervention Efficiency Ratio</w:t>
            </w:r>
          </w:p>
        </w:tc>
        <w:tc>
          <w:tcPr>
            <w:tcW w:type="dxa" w:w="2976"/>
            <w:shd w:val="clear" w:color="auto" w:fill="FFFFFF"/>
          </w:tcPr>
          <w:p>
            <w:r>
              <w:rPr>
                <w:rFonts w:ascii="Calibri" w:hAnsi="Calibri"/>
                <w:color w:val="1F2937"/>
                <w:sz w:val="20"/>
              </w:rPr>
              <w:t>Total_Retained_ELV / Total_Intervention_Cost</w:t>
            </w:r>
          </w:p>
        </w:tc>
        <w:tc>
          <w:tcPr>
            <w:tcW w:type="dxa" w:w="2976"/>
            <w:shd w:val="clear" w:color="auto" w:fill="FFFFFF"/>
          </w:tcPr>
          <w:p>
            <w:r>
              <w:rPr>
                <w:rFonts w:ascii="Calibri" w:hAnsi="Calibri"/>
                <w:color w:val="1F2937"/>
                <w:sz w:val="20"/>
              </w:rPr>
              <w:t>Revenue retained per dollar of HR retention spend — primary business metric</w:t>
            </w:r>
          </w:p>
        </w:tc>
      </w:tr>
    </w:tbl>
    <w:p>
      <w:r>
        <w:br w:type="page"/>
      </w:r>
    </w:p>
    <w:p>
      <w:pPr>
        <w:spacing w:before="320" w:after="120"/>
      </w:pPr>
      <w:r>
        <w:rPr>
          <w:rFonts w:ascii="Calibri" w:hAnsi="Calibri"/>
          <w:b/>
          <w:color w:val="0D1B3E"/>
          <w:sz w:val="40"/>
        </w:rPr>
        <w:t>4. Novel 2: Budget-Constrained Greedy Knapsack Intervention Optimizer</w:t>
      </w:r>
    </w:p>
    <w:p>
      <w:pPr>
        <w:spacing w:before="80" w:after="80"/>
        <w:pBdr>
          <w:bottom w:val="single" w:sz="6" w:space="1" w:color="1A56DB"/>
        </w:pBdr>
      </w:pPr>
    </w:p>
    <w:p>
      <w:pPr>
        <w:spacing w:before="320" w:after="120"/>
      </w:pPr>
      <w:r>
        <w:rPr>
          <w:rFonts w:ascii="Calibri" w:hAnsi="Calibri"/>
          <w:b/>
          <w:color w:val="1A56DB"/>
          <w:sz w:val="30"/>
        </w:rPr>
        <w:t>4.1 The Problem</w:t>
      </w:r>
    </w:p>
    <w:p>
      <w:pPr>
        <w:spacing w:after="100" w:before="40"/>
      </w:pPr>
      <w:r>
        <w:rPr>
          <w:rFonts w:ascii="Calibri" w:hAnsi="Calibri"/>
          <w:b w:val="0"/>
          <w:i w:val="0"/>
          <w:color w:val="1F2937"/>
          <w:sz w:val="22"/>
        </w:rPr>
        <w:t>The current Nexus AI system computes a Revenue Recall@K metric — the fraction of total financial exposure captured by triaging the top K% of employees. However, K% is an arbitrary threshold. In real HR operations, the actual constraint is a fixed monetary retention budget B — for example, $50,000 allocated per quarter for retention.</w:t>
      </w:r>
    </w:p>
    <w:p>
      <w:pPr>
        <w:spacing w:after="100" w:before="40"/>
      </w:pPr>
      <w:r>
        <w:rPr>
          <w:rFonts w:ascii="Calibri" w:hAnsi="Calibri"/>
          <w:b w:val="0"/>
          <w:i w:val="0"/>
          <w:color w:val="1F2937"/>
          <w:sz w:val="22"/>
        </w:rPr>
        <w:t>The practical question is therefore not 'which top 10% of employees do we contact?' but rather:</w:t>
      </w:r>
    </w:p>
    <w:p>
      <w:pPr>
        <w:spacing w:after="100" w:before="40"/>
      </w:pPr>
      <w:r>
        <w:rPr>
          <w:rFonts w:ascii="Calibri" w:hAnsi="Calibri"/>
          <w:b/>
          <w:i w:val="0"/>
          <w:color w:val="1A56DB"/>
          <w:sz w:val="22"/>
        </w:rPr>
        <w:t>"Given budget B, which subset of employees and which specific intervention for each employee maximises the total causal retention value delivered?"</w:t>
      </w:r>
    </w:p>
    <w:p>
      <w:pPr>
        <w:spacing w:before="320" w:after="120"/>
      </w:pPr>
      <w:r>
        <w:rPr>
          <w:rFonts w:ascii="Calibri" w:hAnsi="Calibri"/>
          <w:b/>
          <w:color w:val="1A56DB"/>
          <w:sz w:val="30"/>
        </w:rPr>
        <w:t>4.2 Formal Problem Formulation</w:t>
      </w:r>
    </w:p>
    <w:p>
      <w:pPr>
        <w:spacing w:after="100" w:before="40"/>
      </w:pPr>
      <w:r>
        <w:rPr>
          <w:rFonts w:ascii="Calibri" w:hAnsi="Calibri"/>
          <w:b w:val="0"/>
          <w:i w:val="0"/>
          <w:color w:val="1F2937"/>
          <w:sz w:val="22"/>
        </w:rPr>
        <w:t>Define:</w:t>
      </w:r>
    </w:p>
    <w:p>
      <w:pPr>
        <w:pStyle w:val="ListBullet"/>
        <w:spacing w:after="60" w:before="20"/>
      </w:pPr>
      <w:r>
        <w:rPr>
          <w:rFonts w:ascii="Calibri" w:hAnsi="Calibri"/>
          <w:color w:val="1F2937"/>
          <w:sz w:val="22"/>
        </w:rPr>
        <w:t>N = total at-risk employees in the Critical and High triage tiers</w:t>
      </w:r>
    </w:p>
    <w:p>
      <w:pPr>
        <w:pStyle w:val="ListBullet"/>
        <w:spacing w:after="60" w:before="20"/>
      </w:pPr>
      <w:r>
        <w:rPr>
          <w:rFonts w:ascii="Calibri" w:hAnsi="Calibri"/>
          <w:color w:val="1F2937"/>
          <w:sz w:val="22"/>
        </w:rPr>
        <w:t>A = set of K available intervention actions</w:t>
      </w:r>
    </w:p>
    <w:p>
      <w:pPr>
        <w:pStyle w:val="ListBullet"/>
        <w:spacing w:after="60" w:before="20"/>
      </w:pPr>
      <w:r>
        <w:rPr>
          <w:rFonts w:ascii="Calibri" w:hAnsi="Calibri"/>
          <w:color w:val="1F2937"/>
          <w:sz w:val="22"/>
        </w:rPr>
        <w:t>τ_a(i) = causal uplift score for employee i under intervention a (from Novel 1)</w:t>
      </w:r>
    </w:p>
    <w:p>
      <w:pPr>
        <w:pStyle w:val="ListBullet"/>
        <w:spacing w:after="60" w:before="20"/>
      </w:pPr>
      <w:r>
        <w:rPr>
          <w:rFonts w:ascii="Calibri" w:hAnsi="Calibri"/>
          <w:color w:val="1F2937"/>
          <w:sz w:val="22"/>
        </w:rPr>
        <w:t>ELV_i = Employee Lifetime Value of employee i</w:t>
      </w:r>
    </w:p>
    <w:p>
      <w:pPr>
        <w:pStyle w:val="ListBullet"/>
        <w:spacing w:after="60" w:before="20"/>
      </w:pPr>
      <w:r>
        <w:rPr>
          <w:rFonts w:ascii="Calibri" w:hAnsi="Calibri"/>
          <w:color w:val="1F2937"/>
          <w:sz w:val="22"/>
        </w:rPr>
        <w:t>c_a = average cost of deploying intervention a</w:t>
      </w:r>
    </w:p>
    <w:p>
      <w:pPr>
        <w:pStyle w:val="ListBullet"/>
        <w:spacing w:after="60" w:before="20"/>
      </w:pPr>
      <w:r>
        <w:rPr>
          <w:rFonts w:ascii="Calibri" w:hAnsi="Calibri"/>
          <w:color w:val="1F2937"/>
          <w:sz w:val="22"/>
        </w:rPr>
        <w:t>B = total available HR retention budget</w:t>
      </w:r>
    </w:p>
    <w:p>
      <w:pPr>
        <w:spacing w:after="100" w:before="40"/>
      </w:pPr>
      <w:r>
        <w:rPr>
          <w:rFonts w:ascii="Calibri" w:hAnsi="Calibri"/>
          <w:b w:val="0"/>
          <w:i w:val="0"/>
          <w:color w:val="1F2937"/>
          <w:sz w:val="22"/>
        </w:rPr>
        <w:t>The optimization problem is:</w:t>
      </w:r>
    </w:p>
    <w:p>
      <w:pPr>
        <w:spacing w:before="80" w:after="120"/>
      </w:pPr>
      <w:r>
        <w:rPr>
          <w:rFonts w:ascii="Courier New" w:hAnsi="Courier New"/>
          <w:color w:val="0D47A1"/>
          <w:sz w:val="18"/>
        </w:rPr>
        <w:t>maximise    Σᵢ  [τ_{a_i}(i) × ELV_i]</w:t>
        <w:br/>
        <w:t>subject to  Σᵢ  c_{a_i}  ≤  B</w:t>
        <w:br/>
        <w:t xml:space="preserve">            a_i ∈ A  for all i</w:t>
        <w:br/>
        <w:t xml:space="preserve">            Binary: each employee receives at most one intervention</w:t>
      </w:r>
    </w:p>
    <w:p>
      <w:pPr>
        <w:spacing w:after="100" w:before="40"/>
      </w:pPr>
      <w:r>
        <w:rPr>
          <w:rFonts w:ascii="Calibri" w:hAnsi="Calibri"/>
          <w:b w:val="0"/>
          <w:i w:val="0"/>
          <w:color w:val="1F2937"/>
          <w:sz w:val="22"/>
        </w:rPr>
        <w:t>This is a variant of the 0/1 Multiple-Choice Knapsack Problem (MCKP) — an NP-Hard combinatorial optimization problem, but one that admits a highly effective greedy approximation with a provable 2-approximation ratio guarantee when value/weight ratios are sorted.</w:t>
      </w:r>
    </w:p>
    <w:p>
      <w:pPr>
        <w:spacing w:before="320" w:after="120"/>
      </w:pPr>
      <w:r>
        <w:rPr>
          <w:rFonts w:ascii="Calibri" w:hAnsi="Calibri"/>
          <w:b/>
          <w:color w:val="1A56DB"/>
          <w:sz w:val="30"/>
        </w:rPr>
        <w:t>4.3 Intervention Cost Table</w:t>
      </w:r>
    </w:p>
    <w:p>
      <w:pPr>
        <w:spacing w:after="100" w:before="40"/>
      </w:pPr>
      <w:r>
        <w:rPr>
          <w:rFonts w:ascii="Calibri" w:hAnsi="Calibri"/>
          <w:b w:val="0"/>
          <w:i w:val="0"/>
          <w:color w:val="1F2937"/>
          <w:sz w:val="22"/>
        </w:rPr>
        <w:t>Intervention costs used in the optimization:</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0D1B3E"/>
          </w:tcPr>
          <w:p>
            <w:r>
              <w:rPr>
                <w:rFonts w:ascii="Calibri" w:hAnsi="Calibri"/>
                <w:b/>
                <w:color w:val="FFFFFF"/>
                <w:sz w:val="20"/>
              </w:rPr>
              <w:t>Intervention</w:t>
            </w:r>
          </w:p>
        </w:tc>
        <w:tc>
          <w:tcPr>
            <w:tcW w:type="dxa" w:w="2232"/>
            <w:shd w:val="clear" w:color="auto" w:fill="0D1B3E"/>
          </w:tcPr>
          <w:p>
            <w:r>
              <w:rPr>
                <w:rFonts w:ascii="Calibri" w:hAnsi="Calibri"/>
                <w:b/>
                <w:color w:val="FFFFFF"/>
                <w:sz w:val="20"/>
              </w:rPr>
              <w:t>Avg Monetary Cost</w:t>
            </w:r>
          </w:p>
        </w:tc>
        <w:tc>
          <w:tcPr>
            <w:tcW w:type="dxa" w:w="2232"/>
            <w:shd w:val="clear" w:color="auto" w:fill="0D1B3E"/>
          </w:tcPr>
          <w:p>
            <w:r>
              <w:rPr>
                <w:rFonts w:ascii="Calibri" w:hAnsi="Calibri"/>
                <w:b/>
                <w:color w:val="FFFFFF"/>
                <w:sz w:val="20"/>
              </w:rPr>
              <w:t>Time Cost (Hours)</w:t>
            </w:r>
          </w:p>
        </w:tc>
        <w:tc>
          <w:tcPr>
            <w:tcW w:type="dxa" w:w="2232"/>
            <w:shd w:val="clear" w:color="auto" w:fill="0D1B3E"/>
          </w:tcPr>
          <w:p>
            <w:r>
              <w:rPr>
                <w:rFonts w:ascii="Calibri" w:hAnsi="Calibri"/>
                <w:b/>
                <w:color w:val="FFFFFF"/>
                <w:sz w:val="20"/>
              </w:rPr>
              <w:t>Notes</w:t>
            </w:r>
          </w:p>
        </w:tc>
      </w:tr>
      <w:tr>
        <w:tc>
          <w:tcPr>
            <w:tcW w:type="dxa" w:w="2232"/>
            <w:shd w:val="clear" w:color="auto" w:fill="F3F4F6"/>
          </w:tcPr>
          <w:p>
            <w:r>
              <w:rPr>
                <w:rFonts w:ascii="Calibri" w:hAnsi="Calibri"/>
                <w:color w:val="1F2937"/>
                <w:sz w:val="20"/>
              </w:rPr>
              <w:t>Salary Review</w:t>
            </w:r>
          </w:p>
        </w:tc>
        <w:tc>
          <w:tcPr>
            <w:tcW w:type="dxa" w:w="2232"/>
            <w:shd w:val="clear" w:color="auto" w:fill="F3F4F6"/>
          </w:tcPr>
          <w:p>
            <w:r>
              <w:rPr>
                <w:rFonts w:ascii="Calibri" w:hAnsi="Calibri"/>
                <w:color w:val="1F2937"/>
                <w:sz w:val="20"/>
              </w:rPr>
              <w:t>$4,000 – $8,000</w:t>
            </w:r>
          </w:p>
        </w:tc>
        <w:tc>
          <w:tcPr>
            <w:tcW w:type="dxa" w:w="2232"/>
            <w:shd w:val="clear" w:color="auto" w:fill="F3F4F6"/>
          </w:tcPr>
          <w:p>
            <w:r>
              <w:rPr>
                <w:rFonts w:ascii="Calibri" w:hAnsi="Calibri"/>
                <w:color w:val="1F2937"/>
                <w:sz w:val="20"/>
              </w:rPr>
              <w:t>4–8 hrs HR + Finance</w:t>
            </w:r>
          </w:p>
        </w:tc>
        <w:tc>
          <w:tcPr>
            <w:tcW w:type="dxa" w:w="2232"/>
            <w:shd w:val="clear" w:color="auto" w:fill="F3F4F6"/>
          </w:tcPr>
          <w:p>
            <w:r>
              <w:rPr>
                <w:rFonts w:ascii="Calibri" w:hAnsi="Calibri"/>
                <w:color w:val="1F2937"/>
                <w:sz w:val="20"/>
              </w:rPr>
              <w:t>Includes salary increase and negotiation overhead</w:t>
            </w:r>
          </w:p>
        </w:tc>
      </w:tr>
      <w:tr>
        <w:tc>
          <w:tcPr>
            <w:tcW w:type="dxa" w:w="2232"/>
            <w:shd w:val="clear" w:color="auto" w:fill="FFFFFF"/>
          </w:tcPr>
          <w:p>
            <w:r>
              <w:rPr>
                <w:rFonts w:ascii="Calibri" w:hAnsi="Calibri"/>
                <w:color w:val="1F2937"/>
                <w:sz w:val="20"/>
              </w:rPr>
              <w:t>L&amp;D Offer</w:t>
            </w:r>
          </w:p>
        </w:tc>
        <w:tc>
          <w:tcPr>
            <w:tcW w:type="dxa" w:w="2232"/>
            <w:shd w:val="clear" w:color="auto" w:fill="FFFFFF"/>
          </w:tcPr>
          <w:p>
            <w:r>
              <w:rPr>
                <w:rFonts w:ascii="Calibri" w:hAnsi="Calibri"/>
                <w:color w:val="1F2937"/>
                <w:sz w:val="20"/>
              </w:rPr>
              <w:t>$600 – $1,200</w:t>
            </w:r>
          </w:p>
        </w:tc>
        <w:tc>
          <w:tcPr>
            <w:tcW w:type="dxa" w:w="2232"/>
            <w:shd w:val="clear" w:color="auto" w:fill="FFFFFF"/>
          </w:tcPr>
          <w:p>
            <w:r>
              <w:rPr>
                <w:rFonts w:ascii="Calibri" w:hAnsi="Calibri"/>
                <w:color w:val="1F2937"/>
                <w:sz w:val="20"/>
              </w:rPr>
              <w:t>1–2 hrs admin</w:t>
            </w:r>
          </w:p>
        </w:tc>
        <w:tc>
          <w:tcPr>
            <w:tcW w:type="dxa" w:w="2232"/>
            <w:shd w:val="clear" w:color="auto" w:fill="FFFFFF"/>
          </w:tcPr>
          <w:p>
            <w:r>
              <w:rPr>
                <w:rFonts w:ascii="Calibri" w:hAnsi="Calibri"/>
                <w:color w:val="1F2937"/>
                <w:sz w:val="20"/>
              </w:rPr>
              <w:t>Training programme enrolment, course fees</w:t>
            </w:r>
          </w:p>
        </w:tc>
      </w:tr>
      <w:tr>
        <w:tc>
          <w:tcPr>
            <w:tcW w:type="dxa" w:w="2232"/>
            <w:shd w:val="clear" w:color="auto" w:fill="F3F4F6"/>
          </w:tcPr>
          <w:p>
            <w:r>
              <w:rPr>
                <w:rFonts w:ascii="Calibri" w:hAnsi="Calibri"/>
                <w:color w:val="1F2937"/>
                <w:sz w:val="20"/>
              </w:rPr>
              <w:t>Managerial 1:1</w:t>
            </w:r>
          </w:p>
        </w:tc>
        <w:tc>
          <w:tcPr>
            <w:tcW w:type="dxa" w:w="2232"/>
            <w:shd w:val="clear" w:color="auto" w:fill="F3F4F6"/>
          </w:tcPr>
          <w:p>
            <w:r>
              <w:rPr>
                <w:rFonts w:ascii="Calibri" w:hAnsi="Calibri"/>
                <w:color w:val="1F2937"/>
                <w:sz w:val="20"/>
              </w:rPr>
              <w:t>$0 – $50</w:t>
            </w:r>
          </w:p>
        </w:tc>
        <w:tc>
          <w:tcPr>
            <w:tcW w:type="dxa" w:w="2232"/>
            <w:shd w:val="clear" w:color="auto" w:fill="F3F4F6"/>
          </w:tcPr>
          <w:p>
            <w:r>
              <w:rPr>
                <w:rFonts w:ascii="Calibri" w:hAnsi="Calibri"/>
                <w:color w:val="1F2937"/>
                <w:sz w:val="20"/>
              </w:rPr>
              <w:t>2–4 hrs manager time</w:t>
            </w:r>
          </w:p>
        </w:tc>
        <w:tc>
          <w:tcPr>
            <w:tcW w:type="dxa" w:w="2232"/>
            <w:shd w:val="clear" w:color="auto" w:fill="F3F4F6"/>
          </w:tcPr>
          <w:p>
            <w:r>
              <w:rPr>
                <w:rFonts w:ascii="Calibri" w:hAnsi="Calibri"/>
                <w:color w:val="1F2937"/>
                <w:sz w:val="20"/>
              </w:rPr>
              <w:t>Zero direct cost, opportunity cost only</w:t>
            </w:r>
          </w:p>
        </w:tc>
      </w:tr>
      <w:tr>
        <w:tc>
          <w:tcPr>
            <w:tcW w:type="dxa" w:w="2232"/>
            <w:shd w:val="clear" w:color="auto" w:fill="FFFFFF"/>
          </w:tcPr>
          <w:p>
            <w:r>
              <w:rPr>
                <w:rFonts w:ascii="Calibri" w:hAnsi="Calibri"/>
                <w:color w:val="1F2937"/>
                <w:sz w:val="20"/>
              </w:rPr>
              <w:t>Flexible Work</w:t>
            </w:r>
          </w:p>
        </w:tc>
        <w:tc>
          <w:tcPr>
            <w:tcW w:type="dxa" w:w="2232"/>
            <w:shd w:val="clear" w:color="auto" w:fill="FFFFFF"/>
          </w:tcPr>
          <w:p>
            <w:r>
              <w:rPr>
                <w:rFonts w:ascii="Calibri" w:hAnsi="Calibri"/>
                <w:color w:val="1F2937"/>
                <w:sz w:val="20"/>
              </w:rPr>
              <w:t>$150 – $300</w:t>
            </w:r>
          </w:p>
        </w:tc>
        <w:tc>
          <w:tcPr>
            <w:tcW w:type="dxa" w:w="2232"/>
            <w:shd w:val="clear" w:color="auto" w:fill="FFFFFF"/>
          </w:tcPr>
          <w:p>
            <w:r>
              <w:rPr>
                <w:rFonts w:ascii="Calibri" w:hAnsi="Calibri"/>
                <w:color w:val="1F2937"/>
                <w:sz w:val="20"/>
              </w:rPr>
              <w:t>2 hrs policy setup</w:t>
            </w:r>
          </w:p>
        </w:tc>
        <w:tc>
          <w:tcPr>
            <w:tcW w:type="dxa" w:w="2232"/>
            <w:shd w:val="clear" w:color="auto" w:fill="FFFFFF"/>
          </w:tcPr>
          <w:p>
            <w:r>
              <w:rPr>
                <w:rFonts w:ascii="Calibri" w:hAnsi="Calibri"/>
                <w:color w:val="1F2937"/>
                <w:sz w:val="20"/>
              </w:rPr>
              <w:t>Equipment, connectivity allowance if remote</w:t>
            </w:r>
          </w:p>
        </w:tc>
      </w:tr>
      <w:tr>
        <w:tc>
          <w:tcPr>
            <w:tcW w:type="dxa" w:w="2232"/>
            <w:shd w:val="clear" w:color="auto" w:fill="F3F4F6"/>
          </w:tcPr>
          <w:p>
            <w:r>
              <w:rPr>
                <w:rFonts w:ascii="Calibri" w:hAnsi="Calibri"/>
                <w:color w:val="1F2937"/>
                <w:sz w:val="20"/>
              </w:rPr>
              <w:t>Retention Bonus</w:t>
            </w:r>
          </w:p>
        </w:tc>
        <w:tc>
          <w:tcPr>
            <w:tcW w:type="dxa" w:w="2232"/>
            <w:shd w:val="clear" w:color="auto" w:fill="F3F4F6"/>
          </w:tcPr>
          <w:p>
            <w:r>
              <w:rPr>
                <w:rFonts w:ascii="Calibri" w:hAnsi="Calibri"/>
                <w:color w:val="1F2937"/>
                <w:sz w:val="20"/>
              </w:rPr>
              <w:t>$3,000 – $10,000</w:t>
            </w:r>
          </w:p>
        </w:tc>
        <w:tc>
          <w:tcPr>
            <w:tcW w:type="dxa" w:w="2232"/>
            <w:shd w:val="clear" w:color="auto" w:fill="F3F4F6"/>
          </w:tcPr>
          <w:p>
            <w:r>
              <w:rPr>
                <w:rFonts w:ascii="Calibri" w:hAnsi="Calibri"/>
                <w:color w:val="1F2937"/>
                <w:sz w:val="20"/>
              </w:rPr>
              <w:t>1 hr HR admin</w:t>
            </w:r>
          </w:p>
        </w:tc>
        <w:tc>
          <w:tcPr>
            <w:tcW w:type="dxa" w:w="2232"/>
            <w:shd w:val="clear" w:color="auto" w:fill="F3F4F6"/>
          </w:tcPr>
          <w:p>
            <w:r>
              <w:rPr>
                <w:rFonts w:ascii="Calibri" w:hAnsi="Calibri"/>
                <w:color w:val="1F2937"/>
                <w:sz w:val="20"/>
              </w:rPr>
              <w:t>One-time discretionary bonus payment</w:t>
            </w:r>
          </w:p>
        </w:tc>
      </w:tr>
      <w:tr>
        <w:tc>
          <w:tcPr>
            <w:tcW w:type="dxa" w:w="2232"/>
          </w:tcPr>
          <w:p/>
        </w:tc>
        <w:tc>
          <w:tcPr>
            <w:tcW w:type="dxa" w:w="2232"/>
          </w:tcPr>
          <w:p/>
        </w:tc>
        <w:tc>
          <w:tcPr>
            <w:tcW w:type="dxa" w:w="2232"/>
          </w:tcPr>
          <w:p/>
        </w:tc>
        <w:tc>
          <w:tcPr>
            <w:tcW w:type="dxa" w:w="2232"/>
          </w:tcPr>
          <w:p/>
        </w:tc>
      </w:tr>
    </w:tbl>
    <w:p>
      <w:r>
        <w:rPr>
          <w:rFonts w:ascii="Calibri" w:hAnsi="Calibri"/>
          <w:i/>
          <w:color w:val="4B5563"/>
          <w:sz w:val="18"/>
        </w:rPr>
        <w:t>* Costs are organization-configurable parameters in the system.</w:t>
      </w:r>
    </w:p>
    <w:p>
      <w:pPr>
        <w:spacing w:before="320" w:after="120"/>
      </w:pPr>
      <w:r>
        <w:rPr>
          <w:rFonts w:ascii="Calibri" w:hAnsi="Calibri"/>
          <w:b/>
          <w:color w:val="1A56DB"/>
          <w:sz w:val="30"/>
        </w:rPr>
        <w:t>4.4 Greedy Approximation Algorithm</w:t>
      </w:r>
    </w:p>
    <w:p>
      <w:pPr>
        <w:spacing w:after="100" w:before="40"/>
      </w:pPr>
      <w:r>
        <w:rPr>
          <w:rFonts w:ascii="Calibri" w:hAnsi="Calibri"/>
          <w:b w:val="0"/>
          <w:i w:val="0"/>
          <w:color w:val="1F2937"/>
          <w:sz w:val="22"/>
        </w:rPr>
        <w:t>The greedy algorithm sorts all (employee, intervention) pairs by their value-to-cost ratio and greedily assigns the highest-ratio pair until the budget is exhausted. This is computationally O(N × K × log(N × K)) and runs in milliseconds for N &lt; 10,000.</w:t>
      </w:r>
    </w:p>
    <w:p>
      <w:pPr>
        <w:spacing w:before="80" w:after="120"/>
      </w:pPr>
      <w:r>
        <w:rPr>
          <w:rFonts w:ascii="Courier New" w:hAnsi="Courier New"/>
          <w:color w:val="0D47A1"/>
          <w:sz w:val="18"/>
        </w:rPr>
        <w:t>ALGORITHM: Greedy Knapsack Intervention Optimizer</w:t>
        <w:br/>
        <w:br/>
        <w:t>INPUT:  employees E (Critical + High tier), budget B, uplift scores τ_a(i), ELV_i, costs c_a</w:t>
        <w:br/>
        <w:t>OUTPUT: assignment dict {employee_id: recommended_intervention}</w:t>
        <w:br/>
        <w:br/>
        <w:t>1. candidates = []</w:t>
        <w:br/>
        <w:t>2. FOR each employee i in E:</w:t>
        <w:br/>
        <w:t xml:space="preserve">     FOR each intervention a in A:</w:t>
        <w:br/>
        <w:t xml:space="preserve">         value  = τ_a(i) × ELV_i           # Causal retained revenue</w:t>
        <w:br/>
        <w:t xml:space="preserve">         cost   = c_a                        # Intervention cost</w:t>
        <w:br/>
        <w:t xml:space="preserve">         ratio  = value / cost               # Revenue retained per dollar</w:t>
        <w:br/>
        <w:t xml:space="preserve">         candidates.append((ratio, value, cost, i, a))</w:t>
        <w:br/>
        <w:br/>
        <w:t>3. candidates.sort(by=ratio, descending=True)</w:t>
        <w:br/>
        <w:br/>
        <w:t>4. assigned = {}; spent = 0</w:t>
        <w:br/>
        <w:t>5. FOR each (ratio, value, cost, i, a) in candidates:</w:t>
        <w:br/>
        <w:t xml:space="preserve">     IF i not in assigned AND spent + cost ≤ B:</w:t>
        <w:br/>
        <w:t xml:space="preserve">         assigned[i] = a</w:t>
        <w:br/>
        <w:t xml:space="preserve">         spent += cost</w:t>
        <w:br/>
        <w:br/>
        <w:t>6. RETURN assigned</w:t>
      </w:r>
    </w:p>
    <w:p>
      <w:pPr>
        <w:spacing w:before="320" w:after="120"/>
      </w:pPr>
      <w:r>
        <w:rPr>
          <w:rFonts w:ascii="Calibri" w:hAnsi="Calibri"/>
          <w:b/>
          <w:color w:val="1A56DB"/>
          <w:sz w:val="30"/>
        </w:rPr>
        <w:t>4.5 New Business Metric: Intervention Efficiency Ratio</w:t>
      </w:r>
    </w:p>
    <w:p>
      <w:pPr>
        <w:spacing w:after="100" w:before="40"/>
      </w:pPr>
      <w:r>
        <w:rPr>
          <w:rFonts w:ascii="Calibri" w:hAnsi="Calibri"/>
          <w:b w:val="0"/>
          <w:i w:val="0"/>
          <w:color w:val="1F2937"/>
          <w:sz w:val="22"/>
        </w:rPr>
        <w:t>The primary new metric introduced for evaluating this novelty is the Intervention Efficiency Ratio (IER) — the total retained ELV per dollar of HR budget spent:</w:t>
      </w:r>
    </w:p>
    <w:p>
      <w:pPr>
        <w:spacing w:before="80" w:after="120"/>
      </w:pPr>
      <w:r>
        <w:rPr>
          <w:rFonts w:ascii="Courier New" w:hAnsi="Courier New"/>
          <w:color w:val="0D47A1"/>
          <w:sz w:val="18"/>
        </w:rPr>
        <w:t>IER = Σᵢ∈assigned [τ_a(i) × ELV_i]  /  Σᵢ∈assigned c_{a_i}</w:t>
        <w:br/>
        <w:br/>
        <w:t>Baseline IER (random assignment):  Σᵢ∈Random-K [τ̄ × ELV_i]  /  B</w:t>
        <w:br/>
        <w:t>Nexus-C IER:                        Σᵢ∈Knapsack [τ_a(i) × ELV_i]  /  B</w:t>
      </w:r>
    </w:p>
    <w:p>
      <w:pPr>
        <w:spacing w:after="100" w:before="40"/>
      </w:pPr>
      <w:r>
        <w:rPr>
          <w:rFonts w:ascii="Calibri" w:hAnsi="Calibri"/>
          <w:b w:val="0"/>
          <w:i w:val="0"/>
          <w:color w:val="1F2937"/>
          <w:sz w:val="22"/>
        </w:rPr>
        <w:t>A secondary metric is Budget Efficiency Gain — the percentage improvement in retained ELV per dollar compared to the existing Revenue Recall@K urgency-score-based approach, for the same budget B.</w:t>
      </w:r>
    </w:p>
    <w:p>
      <w:r>
        <w:br w:type="page"/>
      </w:r>
    </w:p>
    <w:p>
      <w:pPr>
        <w:spacing w:before="320" w:after="120"/>
      </w:pPr>
      <w:r>
        <w:rPr>
          <w:rFonts w:ascii="Calibri" w:hAnsi="Calibri"/>
          <w:b/>
          <w:color w:val="0D1B3E"/>
          <w:sz w:val="40"/>
        </w:rPr>
        <w:t>5. Novel 3 (Supplementary): Competing-Risks Differentiated Triage</w:t>
      </w:r>
    </w:p>
    <w:p>
      <w:pPr>
        <w:spacing w:before="80" w:after="80"/>
        <w:pBdr>
          <w:bottom w:val="single" w:sz="6" w:space="1" w:color="1A56DB"/>
        </w:pBdr>
      </w:pPr>
    </w:p>
    <w:p>
      <w:pPr>
        <w:spacing w:before="320" w:after="120"/>
      </w:pPr>
      <w:r>
        <w:rPr>
          <w:rFonts w:ascii="Calibri" w:hAnsi="Calibri"/>
          <w:b/>
          <w:color w:val="1A56DB"/>
          <w:sz w:val="30"/>
        </w:rPr>
        <w:t>5.1 The Problem</w:t>
      </w:r>
    </w:p>
    <w:p>
      <w:pPr>
        <w:spacing w:after="100" w:before="40"/>
      </w:pPr>
      <w:r>
        <w:rPr>
          <w:rFonts w:ascii="Calibri" w:hAnsi="Calibri"/>
          <w:b w:val="0"/>
          <w:i w:val="0"/>
          <w:color w:val="1F2937"/>
          <w:sz w:val="22"/>
        </w:rPr>
        <w:t>The current survival ensemble (Cox PH + RSF) models all employee exits identically — as a single event E=1 regardless of whether the departure was voluntary resignation or involuntary termination (performance management, layoff). This causes a critical misalignment in intervention strategy:</w:t>
      </w:r>
    </w:p>
    <w:p>
      <w:pPr>
        <w:pStyle w:val="ListBullet"/>
        <w:spacing w:after="60" w:before="20"/>
      </w:pPr>
      <w:r>
        <w:rPr>
          <w:rFonts w:ascii="Calibri" w:hAnsi="Calibri"/>
          <w:color w:val="1F2937"/>
          <w:sz w:val="22"/>
        </w:rPr>
        <w:t>A high-performing employee quietly job-searching (voluntary, imminent resignation) requires: Retention Bonus, Salary Review, Flexible Work offers.</w:t>
      </w:r>
    </w:p>
    <w:p>
      <w:pPr>
        <w:pStyle w:val="ListBullet"/>
        <w:spacing w:after="60" w:before="20"/>
      </w:pPr>
      <w:r>
        <w:rPr>
          <w:rFonts w:ascii="Calibri" w:hAnsi="Calibri"/>
          <w:color w:val="1F2937"/>
          <w:sz w:val="22"/>
        </w:rPr>
        <w:t>An underperforming employee flagged for a Performance Improvement Plan (involuntary exit) requires: Managerial coaching, structured PIP timeline, skip-level 1:1 — NOT a retention bonus.</w:t>
      </w:r>
    </w:p>
    <w:p>
      <w:pPr>
        <w:pStyle w:val="ListBullet"/>
        <w:spacing w:after="60" w:before="20"/>
      </w:pPr>
      <w:r>
        <w:rPr>
          <w:rFonts w:ascii="Calibri" w:hAnsi="Calibri"/>
          <w:color w:val="1F2937"/>
          <w:sz w:val="22"/>
        </w:rPr>
        <w:t>Applying a Retention Bonus to an employee who is being managed out wastes budget and may create legal and HR policy complications.</w:t>
      </w:r>
    </w:p>
    <w:p>
      <w:pPr>
        <w:spacing w:after="100" w:before="40"/>
      </w:pPr>
      <w:r>
        <w:rPr>
          <w:rFonts w:ascii="Calibri" w:hAnsi="Calibri"/>
          <w:b w:val="0"/>
          <w:i w:val="0"/>
          <w:color w:val="1F2937"/>
          <w:sz w:val="22"/>
        </w:rPr>
        <w:t>Paper #2 (Competing Risks Survival Analysis) introduces the mathematical framework for separating voluntary resignation from involuntary termination, but applies it only in a descriptive classical Cox setting. It is never connected to an intervention routing system in any of the 31 surveyed papers.</w:t>
      </w:r>
    </w:p>
    <w:p>
      <w:pPr>
        <w:spacing w:before="320" w:after="120"/>
      </w:pPr>
      <w:r>
        <w:rPr>
          <w:rFonts w:ascii="Calibri" w:hAnsi="Calibri"/>
          <w:b/>
          <w:color w:val="1A56DB"/>
          <w:sz w:val="30"/>
        </w:rPr>
        <w:t>5.2 Mathematical Framework — Fine-Gray Subdistribution Hazards</w:t>
      </w:r>
    </w:p>
    <w:p>
      <w:pPr>
        <w:spacing w:after="100" w:before="40"/>
      </w:pPr>
      <w:r>
        <w:rPr>
          <w:rFonts w:ascii="Calibri" w:hAnsi="Calibri"/>
          <w:b w:val="0"/>
          <w:i w:val="0"/>
          <w:color w:val="1F2937"/>
          <w:sz w:val="22"/>
        </w:rPr>
        <w:t>Standard survival analysis with a single hazard h(t) implicitly assumes that all exits are statistically equivalent. The competing risks framework defines a separate Cause-Specific Cumulative Incidence Function (CIF) for each exit type:</w:t>
      </w:r>
    </w:p>
    <w:p>
      <w:pPr>
        <w:spacing w:before="80" w:after="120"/>
      </w:pPr>
      <w:r>
        <w:rPr>
          <w:rFonts w:ascii="Courier New" w:hAnsi="Courier New"/>
          <w:color w:val="0D47A1"/>
          <w:sz w:val="18"/>
        </w:rPr>
        <w:t>CIF_voluntary(t)   = P(T ≤ t, exit_type = voluntary)   — Cumulative probability of voluntary resignation by time t</w:t>
        <w:br/>
        <w:t>CIF_involuntary(t) = P(T ≤ t, exit_type = involuntary) — Cumulative probability of involuntary exit by time t</w:t>
      </w:r>
    </w:p>
    <w:p>
      <w:pPr>
        <w:spacing w:after="100" w:before="40"/>
      </w:pPr>
      <w:r>
        <w:rPr>
          <w:rFonts w:ascii="Calibri" w:hAnsi="Calibri"/>
          <w:b w:val="0"/>
          <w:i w:val="0"/>
          <w:color w:val="1F2937"/>
          <w:sz w:val="22"/>
        </w:rPr>
        <w:t>The Fine-Gray model estimates the subdistribution hazard for each cause-specific exit independently:</w:t>
      </w:r>
    </w:p>
    <w:p>
      <w:pPr>
        <w:spacing w:before="80" w:after="120"/>
      </w:pPr>
      <w:r>
        <w:rPr>
          <w:rFonts w:ascii="Courier New" w:hAnsi="Courier New"/>
          <w:color w:val="0D47A1"/>
          <w:sz w:val="18"/>
        </w:rPr>
        <w:t>h̃_voluntary(t | X)   = h̃₀_vol(t) × exp(β_vol^T X)</w:t>
        <w:br/>
        <w:t>h̃_involuntary(t | X) = h̃₀_inv(t) × exp(β_inv^T X)</w:t>
      </w:r>
    </w:p>
    <w:p>
      <w:pPr>
        <w:spacing w:after="100" w:before="40"/>
      </w:pPr>
      <w:r>
        <w:rPr>
          <w:rFonts w:ascii="Calibri" w:hAnsi="Calibri"/>
          <w:b w:val="0"/>
          <w:i w:val="0"/>
          <w:color w:val="1F2937"/>
          <w:sz w:val="22"/>
        </w:rPr>
        <w:t>These subdistribution hazard models correctly treat employees who experienced the competing event (e.g., involuntary exit) as a special modified risk set when estimating the other cause's hazard, avoiding the distortion that simple cause-specific Cox models introduce.</w:t>
      </w:r>
    </w:p>
    <w:p>
      <w:pPr>
        <w:spacing w:before="320" w:after="120"/>
      </w:pPr>
      <w:r>
        <w:rPr>
          <w:rFonts w:ascii="Calibri" w:hAnsi="Calibri"/>
          <w:b/>
          <w:color w:val="1A56DB"/>
          <w:sz w:val="30"/>
        </w:rPr>
        <w:t>5.3 Intervention Routing Logic</w:t>
      </w:r>
    </w:p>
    <w:p>
      <w:pPr>
        <w:spacing w:after="100" w:before="40"/>
      </w:pPr>
      <w:r>
        <w:rPr>
          <w:rFonts w:ascii="Calibri" w:hAnsi="Calibri"/>
          <w:b w:val="0"/>
          <w:i w:val="0"/>
          <w:color w:val="1F2937"/>
          <w:sz w:val="22"/>
        </w:rPr>
        <w:t>Based on the competing risks predictions, each employee is classified into one of three routing categories:</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0D1B3E"/>
          </w:tcPr>
          <w:p>
            <w:r>
              <w:rPr>
                <w:rFonts w:ascii="Calibri" w:hAnsi="Calibri"/>
                <w:b/>
                <w:color w:val="FFFFFF"/>
                <w:sz w:val="20"/>
              </w:rPr>
              <w:t>Employee Type</w:t>
            </w:r>
          </w:p>
        </w:tc>
        <w:tc>
          <w:tcPr>
            <w:tcW w:type="dxa" w:w="2232"/>
            <w:shd w:val="clear" w:color="auto" w:fill="0D1B3E"/>
          </w:tcPr>
          <w:p>
            <w:r>
              <w:rPr>
                <w:rFonts w:ascii="Calibri" w:hAnsi="Calibri"/>
                <w:b/>
                <w:color w:val="FFFFFF"/>
                <w:sz w:val="20"/>
              </w:rPr>
              <w:t>CIF_vol Estimate</w:t>
            </w:r>
          </w:p>
        </w:tc>
        <w:tc>
          <w:tcPr>
            <w:tcW w:type="dxa" w:w="2232"/>
            <w:shd w:val="clear" w:color="auto" w:fill="0D1B3E"/>
          </w:tcPr>
          <w:p>
            <w:r>
              <w:rPr>
                <w:rFonts w:ascii="Calibri" w:hAnsi="Calibri"/>
                <w:b/>
                <w:color w:val="FFFFFF"/>
                <w:sz w:val="20"/>
              </w:rPr>
              <w:t>CIF_inv Estimate</w:t>
            </w:r>
          </w:p>
        </w:tc>
        <w:tc>
          <w:tcPr>
            <w:tcW w:type="dxa" w:w="2232"/>
            <w:shd w:val="clear" w:color="auto" w:fill="0D1B3E"/>
          </w:tcPr>
          <w:p>
            <w:r>
              <w:rPr>
                <w:rFonts w:ascii="Calibri" w:hAnsi="Calibri"/>
                <w:b/>
                <w:color w:val="FFFFFF"/>
                <w:sz w:val="20"/>
              </w:rPr>
              <w:t>Routed Intervention Set</w:t>
            </w:r>
          </w:p>
        </w:tc>
      </w:tr>
      <w:tr>
        <w:tc>
          <w:tcPr>
            <w:tcW w:type="dxa" w:w="2232"/>
            <w:shd w:val="clear" w:color="auto" w:fill="F3F4F6"/>
          </w:tcPr>
          <w:p>
            <w:r>
              <w:rPr>
                <w:rFonts w:ascii="Calibri" w:hAnsi="Calibri"/>
                <w:color w:val="1F2937"/>
                <w:sz w:val="20"/>
              </w:rPr>
              <w:t>Voluntary Flight Risk</w:t>
            </w:r>
          </w:p>
        </w:tc>
        <w:tc>
          <w:tcPr>
            <w:tcW w:type="dxa" w:w="2232"/>
            <w:shd w:val="clear" w:color="auto" w:fill="F3F4F6"/>
          </w:tcPr>
          <w:p>
            <w:r>
              <w:rPr>
                <w:rFonts w:ascii="Calibri" w:hAnsi="Calibri"/>
                <w:color w:val="1F2937"/>
                <w:sz w:val="20"/>
              </w:rPr>
              <w:t>&gt; 60% at 90d</w:t>
            </w:r>
          </w:p>
        </w:tc>
        <w:tc>
          <w:tcPr>
            <w:tcW w:type="dxa" w:w="2232"/>
            <w:shd w:val="clear" w:color="auto" w:fill="F3F4F6"/>
          </w:tcPr>
          <w:p>
            <w:r>
              <w:rPr>
                <w:rFonts w:ascii="Calibri" w:hAnsi="Calibri"/>
                <w:color w:val="1F2937"/>
                <w:sz w:val="20"/>
              </w:rPr>
              <w:t>&lt; 25% at 90d</w:t>
            </w:r>
          </w:p>
        </w:tc>
        <w:tc>
          <w:tcPr>
            <w:tcW w:type="dxa" w:w="2232"/>
            <w:shd w:val="clear" w:color="auto" w:fill="F3F4F6"/>
          </w:tcPr>
          <w:p>
            <w:r>
              <w:rPr>
                <w:rFonts w:ascii="Calibri" w:hAnsi="Calibri"/>
                <w:color w:val="1F2937"/>
                <w:sz w:val="20"/>
              </w:rPr>
              <w:t>Salary Review, Retention Bonus, Flexible Work, L&amp;D Offer</w:t>
            </w:r>
          </w:p>
        </w:tc>
      </w:tr>
      <w:tr>
        <w:tc>
          <w:tcPr>
            <w:tcW w:type="dxa" w:w="2232"/>
            <w:shd w:val="clear" w:color="auto" w:fill="FFFFFF"/>
          </w:tcPr>
          <w:p>
            <w:r>
              <w:rPr>
                <w:rFonts w:ascii="Calibri" w:hAnsi="Calibri"/>
                <w:color w:val="1F2937"/>
                <w:sz w:val="20"/>
              </w:rPr>
              <w:t>Involuntary Exit Risk</w:t>
            </w:r>
          </w:p>
        </w:tc>
        <w:tc>
          <w:tcPr>
            <w:tcW w:type="dxa" w:w="2232"/>
            <w:shd w:val="clear" w:color="auto" w:fill="FFFFFF"/>
          </w:tcPr>
          <w:p>
            <w:r>
              <w:rPr>
                <w:rFonts w:ascii="Calibri" w:hAnsi="Calibri"/>
                <w:color w:val="1F2937"/>
                <w:sz w:val="20"/>
              </w:rPr>
              <w:t>&lt; 25% at 90d</w:t>
            </w:r>
          </w:p>
        </w:tc>
        <w:tc>
          <w:tcPr>
            <w:tcW w:type="dxa" w:w="2232"/>
            <w:shd w:val="clear" w:color="auto" w:fill="FFFFFF"/>
          </w:tcPr>
          <w:p>
            <w:r>
              <w:rPr>
                <w:rFonts w:ascii="Calibri" w:hAnsi="Calibri"/>
                <w:color w:val="1F2937"/>
                <w:sz w:val="20"/>
              </w:rPr>
              <w:t>&gt; 50% at 90d</w:t>
            </w:r>
          </w:p>
        </w:tc>
        <w:tc>
          <w:tcPr>
            <w:tcW w:type="dxa" w:w="2232"/>
            <w:shd w:val="clear" w:color="auto" w:fill="FFFFFF"/>
          </w:tcPr>
          <w:p>
            <w:r>
              <w:rPr>
                <w:rFonts w:ascii="Calibri" w:hAnsi="Calibri"/>
                <w:color w:val="1F2937"/>
                <w:sz w:val="20"/>
              </w:rPr>
              <w:t>Managerial 1:1, Skip-Level Review, PIP Advisory — NOT financial retention</w:t>
            </w:r>
          </w:p>
        </w:tc>
      </w:tr>
      <w:tr>
        <w:tc>
          <w:tcPr>
            <w:tcW w:type="dxa" w:w="2232"/>
            <w:shd w:val="clear" w:color="auto" w:fill="F3F4F6"/>
          </w:tcPr>
          <w:p>
            <w:r>
              <w:rPr>
                <w:rFonts w:ascii="Calibri" w:hAnsi="Calibri"/>
                <w:color w:val="1F2937"/>
                <w:sz w:val="20"/>
              </w:rPr>
              <w:t>Mixed / Ambiguous Risk</w:t>
            </w:r>
          </w:p>
        </w:tc>
        <w:tc>
          <w:tcPr>
            <w:tcW w:type="dxa" w:w="2232"/>
            <w:shd w:val="clear" w:color="auto" w:fill="F3F4F6"/>
          </w:tcPr>
          <w:p>
            <w:r>
              <w:rPr>
                <w:rFonts w:ascii="Calibri" w:hAnsi="Calibri"/>
                <w:color w:val="1F2937"/>
                <w:sz w:val="20"/>
              </w:rPr>
              <w:t>30–60% at 90d</w:t>
            </w:r>
          </w:p>
        </w:tc>
        <w:tc>
          <w:tcPr>
            <w:tcW w:type="dxa" w:w="2232"/>
            <w:shd w:val="clear" w:color="auto" w:fill="F3F4F6"/>
          </w:tcPr>
          <w:p>
            <w:r>
              <w:rPr>
                <w:rFonts w:ascii="Calibri" w:hAnsi="Calibri"/>
                <w:color w:val="1F2937"/>
                <w:sz w:val="20"/>
              </w:rPr>
              <w:t>25–50% at 90d</w:t>
            </w:r>
          </w:p>
        </w:tc>
        <w:tc>
          <w:tcPr>
            <w:tcW w:type="dxa" w:w="2232"/>
            <w:shd w:val="clear" w:color="auto" w:fill="F3F4F6"/>
          </w:tcPr>
          <w:p>
            <w:r>
              <w:rPr>
                <w:rFonts w:ascii="Calibri" w:hAnsi="Calibri"/>
                <w:color w:val="1F2937"/>
                <w:sz w:val="20"/>
              </w:rPr>
              <w:t>Managerial 1:1 first for root cause diagnosis</w:t>
            </w:r>
          </w:p>
        </w:tc>
      </w:tr>
    </w:tbl>
    <w:p>
      <w:pPr>
        <w:spacing w:before="320" w:after="120"/>
      </w:pPr>
      <w:r>
        <w:rPr>
          <w:rFonts w:ascii="Calibri" w:hAnsi="Calibri"/>
          <w:b/>
          <w:color w:val="1A56DB"/>
          <w:sz w:val="30"/>
        </w:rPr>
        <w:t>5.4 Implementation via lifelines CauseSpecificFitter</w:t>
      </w:r>
    </w:p>
    <w:p>
      <w:pPr>
        <w:spacing w:before="80" w:after="120"/>
      </w:pPr>
      <w:r>
        <w:rPr>
          <w:rFonts w:ascii="Courier New" w:hAnsi="Courier New"/>
          <w:color w:val="0D47A1"/>
          <w:sz w:val="18"/>
        </w:rPr>
        <w:t>from lifelines import CauseSpecificFitter</w:t>
        <w:br/>
        <w:br/>
        <w:t># Fit competing risks model</w:t>
        <w:br/>
        <w:t># exit_type column: 0 = censored, 1 = voluntary, 2 = involuntary</w:t>
        <w:br/>
        <w:t>csf = CauseSpecificFitter()</w:t>
        <w:br/>
        <w:t>csf.fit(df, duration_col='tenure_months', event_col='exit_type')</w:t>
        <w:br/>
        <w:br/>
        <w:t># Per-employee cumulative incidence at 90 days</w:t>
        <w:br/>
        <w:t>cif_vol = csf.predict_cumulative_incidence(X_employee, times=[90], cause=1)</w:t>
        <w:br/>
        <w:t>cif_inv = csf.predict_cumulative_incidence(X_employee, times=[90], cause=2)</w:t>
        <w:br/>
        <w:br/>
        <w:t># Route to intervention set</w:t>
        <w:br/>
        <w:t>if cif_vol &gt; 0.60:</w:t>
        <w:br/>
        <w:t xml:space="preserve">    intervention_set = ['Salary Review', 'Retention Bonus', 'Flexible Work']</w:t>
        <w:br/>
        <w:t>elif cif_inv &gt; 0.50:</w:t>
        <w:br/>
        <w:t xml:space="preserve">    intervention_set = ['Managerial 1:1', 'Skip-Level Review']</w:t>
        <w:br/>
        <w:t>else:</w:t>
        <w:br/>
        <w:t xml:space="preserve">    intervention_set = ['Managerial 1:1']  # diagnostic first</w:t>
      </w:r>
    </w:p>
    <w:p>
      <w:pPr>
        <w:spacing w:after="100" w:before="40"/>
      </w:pPr>
      <w:r>
        <w:rPr>
          <w:rFonts w:ascii="Calibri" w:hAnsi="Calibri"/>
          <w:b w:val="0"/>
          <w:i w:val="0"/>
          <w:color w:val="1F2937"/>
          <w:sz w:val="22"/>
        </w:rPr>
        <w:t>Note on data requirements: The IBM HR Analytics dataset uses a single binary Attrition column and does not distinguish exit types. In the NEXUS-C implementation, exit type labels are simulated using a rule-based proxy: employees with low PerformanceRating (1–2) and YearsInCurrentRole &gt; 5 are tagged as involuntary risk candidates. This proxy is validated against the known feature distribution and is a standard practice in competing risks simulation on benchmark datasets.</w:t>
      </w:r>
    </w:p>
    <w:p>
      <w:r>
        <w:br w:type="page"/>
      </w:r>
    </w:p>
    <w:p>
      <w:pPr>
        <w:spacing w:before="320" w:after="120"/>
      </w:pPr>
      <w:r>
        <w:rPr>
          <w:rFonts w:ascii="Calibri" w:hAnsi="Calibri"/>
          <w:b/>
          <w:color w:val="0D1B3E"/>
          <w:sz w:val="40"/>
        </w:rPr>
        <w:t>6. System Integration — How the Three Novelties Work Together</w:t>
      </w:r>
    </w:p>
    <w:p>
      <w:pPr>
        <w:spacing w:before="80" w:after="80"/>
        <w:pBdr>
          <w:bottom w:val="single" w:sz="6" w:space="1" w:color="1A56DB"/>
        </w:pBdr>
      </w:pPr>
    </w:p>
    <w:p>
      <w:pPr>
        <w:spacing w:after="100" w:before="40"/>
      </w:pPr>
      <w:r>
        <w:rPr>
          <w:rFonts w:ascii="Calibri" w:hAnsi="Calibri"/>
          <w:b w:val="0"/>
          <w:i w:val="0"/>
          <w:color w:val="1F2937"/>
          <w:sz w:val="22"/>
        </w:rPr>
        <w:t>The three novelties are not independent additions. They form a causally coherent pipeline that replaces the associative bandit selection chain with a causal, financially-optimized, exit-type-aware decision system:</w:t>
      </w:r>
    </w:p>
    <w:p>
      <w:pPr>
        <w:spacing w:before="160" w:after="80"/>
      </w:pPr>
      <w:r>
        <w:rPr>
          <w:rFonts w:ascii="Calibri" w:hAnsi="Calibri"/>
          <w:b/>
          <w:color w:val="0D1B3E"/>
          <w:sz w:val="22"/>
        </w:rPr>
        <w:t xml:space="preserve">   Stage 1 — Survival Ensemble (Existing):</w:t>
        <w:br/>
      </w:r>
      <w:r>
        <w:rPr>
          <w:rFonts w:ascii="Calibri" w:hAnsi="Calibri"/>
          <w:color w:val="1F2937"/>
          <w:sz w:val="22"/>
        </w:rPr>
        <w:t xml:space="preserve">     Cox PH + RSF ensemble produces per-employee survival curves S_ens(t) at 30/60/90 days. C-Index and IBS evaluate predictive discrimination.</w:t>
      </w:r>
    </w:p>
    <w:p>
      <w:pPr>
        <w:spacing w:before="160" w:after="80"/>
      </w:pPr>
      <w:r>
        <w:rPr>
          <w:rFonts w:ascii="Calibri" w:hAnsi="Calibri"/>
          <w:b/>
          <w:color w:val="0D1B3E"/>
          <w:sz w:val="22"/>
        </w:rPr>
        <w:t>→ Stage 2 — Competing Risks Triage (Novel 3):</w:t>
        <w:br/>
      </w:r>
      <w:r>
        <w:rPr>
          <w:rFonts w:ascii="Calibri" w:hAnsi="Calibri"/>
          <w:color w:val="1F2937"/>
          <w:sz w:val="22"/>
        </w:rPr>
        <w:t xml:space="preserve">     Fine-Gray model produces CIF_voluntary(90d) and CIF_involuntary(90d) per employee. Each employee is routed to either the Retention Intervention Set or the Performance Management Set.</w:t>
      </w:r>
    </w:p>
    <w:p>
      <w:pPr>
        <w:spacing w:before="160" w:after="80"/>
      </w:pPr>
      <w:r>
        <w:rPr>
          <w:rFonts w:ascii="Calibri" w:hAnsi="Calibri"/>
          <w:b/>
          <w:color w:val="0D1B3E"/>
          <w:sz w:val="22"/>
        </w:rPr>
        <w:t>→ Stage 3 — Causal Uplift Estimation (Novel 1):</w:t>
        <w:br/>
      </w:r>
      <w:r>
        <w:rPr>
          <w:rFonts w:ascii="Calibri" w:hAnsi="Calibri"/>
          <w:color w:val="1F2937"/>
          <w:sz w:val="22"/>
        </w:rPr>
        <w:t xml:space="preserve">     For employees in the Retention Intervention Set, the T-Learner RSF estimates τ_a(i) = S_a(90d) − S_0(90d) for each available intervention arm a. For employees in the Performance Management Set, a separate set of uplift models estimates managerial intervention effect on performance outcome.</w:t>
      </w:r>
    </w:p>
    <w:p>
      <w:pPr>
        <w:spacing w:before="160" w:after="80"/>
      </w:pPr>
      <w:r>
        <w:rPr>
          <w:rFonts w:ascii="Calibri" w:hAnsi="Calibri"/>
          <w:b/>
          <w:color w:val="0D1B3E"/>
          <w:sz w:val="22"/>
        </w:rPr>
        <w:t>→ Stage 4 — Budget-Constrained Optimization (Novel 2):</w:t>
        <w:br/>
      </w:r>
      <w:r>
        <w:rPr>
          <w:rFonts w:ascii="Calibri" w:hAnsi="Calibri"/>
          <w:color w:val="1F2937"/>
          <w:sz w:val="22"/>
        </w:rPr>
        <w:t xml:space="preserve">     All (employee, intervention, uplift, ELV, cost) tuples are passed to the Knapsack Optimizer which returns the optimal assignment {employee → intervention} that maximises total retained ELV within budget B. Intervention Efficiency Ratio is computed and reported.</w:t>
      </w:r>
    </w:p>
    <w:p>
      <w:pPr>
        <w:spacing w:before="160" w:after="80"/>
      </w:pPr>
      <w:r>
        <w:rPr>
          <w:rFonts w:ascii="Calibri" w:hAnsi="Calibri"/>
          <w:b/>
          <w:color w:val="0D1B3E"/>
          <w:sz w:val="22"/>
        </w:rPr>
        <w:t>→ Stage 5 — Manager Action Card Dispatch (Existing Executor Agent):</w:t>
        <w:br/>
      </w:r>
      <w:r>
        <w:rPr>
          <w:rFonts w:ascii="Calibri" w:hAnsi="Calibri"/>
          <w:color w:val="1F2937"/>
          <w:sz w:val="22"/>
        </w:rPr>
        <w:t xml:space="preserve">     The Executor Agent generates personalized action cards. Cards now include: causal uplift estimate, exit type classification, budget slot consumed, and counterfactual narrative (e.g., 'Without intervention, 68% probability of departure in 90 days; with Salary Review, estimated increase to 81% retention probability — a +13% causal uplift').</w:t>
      </w:r>
    </w:p>
    <w:p>
      <w:pPr>
        <w:spacing w:before="160" w:after="80"/>
      </w:pPr>
      <w:r>
        <w:rPr>
          <w:rFonts w:ascii="Calibri" w:hAnsi="Calibri"/>
          <w:b/>
          <w:color w:val="0D1B3E"/>
          <w:sz w:val="22"/>
        </w:rPr>
        <w:t>→ Stage 6 — Feedback &amp; T-Learner Retraining (Novel 1 Feedback Loop):</w:t>
        <w:br/>
      </w:r>
      <w:r>
        <w:rPr>
          <w:rFonts w:ascii="Calibri" w:hAnsi="Calibri"/>
          <w:color w:val="1F2937"/>
          <w:sz w:val="22"/>
        </w:rPr>
        <w:t xml:space="preserve">     When 30-day outcomes are recorded, feedback updates BOTH the LinUCB bandit matrices AND the T-Learner RSF treatment models. As data accumulates, the system transitions from the bandit (phase 1) to the T-Learner (phase 2) automatically via the alpha decay schedule.</w:t>
      </w:r>
    </w:p>
    <w:p>
      <w:r>
        <w:br w:type="page"/>
      </w:r>
    </w:p>
    <w:p>
      <w:pPr>
        <w:spacing w:before="320" w:after="120"/>
      </w:pPr>
      <w:r>
        <w:rPr>
          <w:rFonts w:ascii="Calibri" w:hAnsi="Calibri"/>
          <w:b/>
          <w:color w:val="0D1B3E"/>
          <w:sz w:val="40"/>
        </w:rPr>
        <w:t>7. Comparison: Original Nexus Novelties vs NEXUS-C Novelties</w:t>
      </w:r>
    </w:p>
    <w:p>
      <w:pPr>
        <w:spacing w:before="80" w:after="80"/>
        <w:pBdr>
          <w:bottom w:val="single" w:sz="6" w:space="1" w:color="1A56DB"/>
        </w:pBdr>
      </w:pP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0D1B3E"/>
          </w:tcPr>
          <w:p>
            <w:r>
              <w:rPr>
                <w:rFonts w:ascii="Calibri" w:hAnsi="Calibri"/>
                <w:b/>
                <w:color w:val="FFFFFF"/>
                <w:sz w:val="20"/>
              </w:rPr>
              <w:t>Dimension</w:t>
            </w:r>
          </w:p>
        </w:tc>
        <w:tc>
          <w:tcPr>
            <w:tcW w:type="dxa" w:w="2232"/>
            <w:shd w:val="clear" w:color="auto" w:fill="0D1B3E"/>
          </w:tcPr>
          <w:p>
            <w:r>
              <w:rPr>
                <w:rFonts w:ascii="Calibri" w:hAnsi="Calibri"/>
                <w:b/>
                <w:color w:val="FFFFFF"/>
                <w:sz w:val="20"/>
              </w:rPr>
              <w:t>Original Nexus (N1–N4)</w:t>
            </w:r>
          </w:p>
        </w:tc>
        <w:tc>
          <w:tcPr>
            <w:tcW w:type="dxa" w:w="2232"/>
            <w:shd w:val="clear" w:color="auto" w:fill="0D1B3E"/>
          </w:tcPr>
          <w:p>
            <w:r>
              <w:rPr>
                <w:rFonts w:ascii="Calibri" w:hAnsi="Calibri"/>
                <w:b/>
                <w:color w:val="FFFFFF"/>
                <w:sz w:val="20"/>
              </w:rPr>
              <w:t>NEXUS-C Extension (C1–C3)</w:t>
            </w:r>
          </w:p>
        </w:tc>
        <w:tc>
          <w:tcPr>
            <w:tcW w:type="dxa" w:w="2232"/>
            <w:shd w:val="clear" w:color="auto" w:fill="0D1B3E"/>
          </w:tcPr>
          <w:p>
            <w:r>
              <w:rPr>
                <w:rFonts w:ascii="Calibri" w:hAnsi="Calibri"/>
                <w:b/>
                <w:color w:val="FFFFFF"/>
                <w:sz w:val="20"/>
              </w:rPr>
              <w:t>Improvement</w:t>
            </w:r>
          </w:p>
        </w:tc>
      </w:tr>
      <w:tr>
        <w:tc>
          <w:tcPr>
            <w:tcW w:type="dxa" w:w="2232"/>
            <w:shd w:val="clear" w:color="auto" w:fill="F3F4F6"/>
          </w:tcPr>
          <w:p>
            <w:r>
              <w:rPr>
                <w:rFonts w:ascii="Calibri" w:hAnsi="Calibri"/>
                <w:color w:val="1F2937"/>
                <w:sz w:val="20"/>
              </w:rPr>
              <w:t>Prediction type</w:t>
            </w:r>
          </w:p>
        </w:tc>
        <w:tc>
          <w:tcPr>
            <w:tcW w:type="dxa" w:w="2232"/>
            <w:shd w:val="clear" w:color="auto" w:fill="F3F4F6"/>
          </w:tcPr>
          <w:p>
            <w:r>
              <w:rPr>
                <w:rFonts w:ascii="Calibri" w:hAnsi="Calibri"/>
                <w:color w:val="1F2937"/>
                <w:sz w:val="20"/>
              </w:rPr>
              <w:t>Observational survival prediction</w:t>
            </w:r>
          </w:p>
        </w:tc>
        <w:tc>
          <w:tcPr>
            <w:tcW w:type="dxa" w:w="2232"/>
            <w:shd w:val="clear" w:color="auto" w:fill="F3F4F6"/>
          </w:tcPr>
          <w:p>
            <w:r>
              <w:rPr>
                <w:rFonts w:ascii="Calibri" w:hAnsi="Calibri"/>
                <w:color w:val="1F2937"/>
                <w:sz w:val="20"/>
              </w:rPr>
              <w:t>Causal potential outcome estimation</w:t>
            </w:r>
          </w:p>
        </w:tc>
        <w:tc>
          <w:tcPr>
            <w:tcW w:type="dxa" w:w="2232"/>
            <w:shd w:val="clear" w:color="auto" w:fill="F3F4F6"/>
          </w:tcPr>
          <w:p>
            <w:r>
              <w:rPr>
                <w:rFonts w:ascii="Calibri" w:hAnsi="Calibri"/>
                <w:color w:val="1F2937"/>
                <w:sz w:val="20"/>
              </w:rPr>
              <w:t>Removes confounding bias</w:t>
            </w:r>
          </w:p>
        </w:tc>
      </w:tr>
      <w:tr>
        <w:tc>
          <w:tcPr>
            <w:tcW w:type="dxa" w:w="2232"/>
            <w:shd w:val="clear" w:color="auto" w:fill="FFFFFF"/>
          </w:tcPr>
          <w:p>
            <w:r>
              <w:rPr>
                <w:rFonts w:ascii="Calibri" w:hAnsi="Calibri"/>
                <w:color w:val="1F2937"/>
                <w:sz w:val="20"/>
              </w:rPr>
              <w:t>Intervention selection</w:t>
            </w:r>
          </w:p>
        </w:tc>
        <w:tc>
          <w:tcPr>
            <w:tcW w:type="dxa" w:w="2232"/>
            <w:shd w:val="clear" w:color="auto" w:fill="FFFFFF"/>
          </w:tcPr>
          <w:p>
            <w:r>
              <w:rPr>
                <w:rFonts w:ascii="Calibri" w:hAnsi="Calibri"/>
                <w:color w:val="1F2937"/>
                <w:sz w:val="20"/>
              </w:rPr>
              <w:t>LinUCB associative bandit</w:t>
            </w:r>
          </w:p>
        </w:tc>
        <w:tc>
          <w:tcPr>
            <w:tcW w:type="dxa" w:w="2232"/>
            <w:shd w:val="clear" w:color="auto" w:fill="FFFFFF"/>
          </w:tcPr>
          <w:p>
            <w:r>
              <w:rPr>
                <w:rFonts w:ascii="Calibri" w:hAnsi="Calibri"/>
                <w:color w:val="1F2937"/>
                <w:sz w:val="20"/>
              </w:rPr>
              <w:t>T-Learner ITE + Knapsack optimizer</w:t>
            </w:r>
          </w:p>
        </w:tc>
        <w:tc>
          <w:tcPr>
            <w:tcW w:type="dxa" w:w="2232"/>
            <w:shd w:val="clear" w:color="auto" w:fill="FFFFFF"/>
          </w:tcPr>
          <w:p>
            <w:r>
              <w:rPr>
                <w:rFonts w:ascii="Calibri" w:hAnsi="Calibri"/>
                <w:color w:val="1F2937"/>
                <w:sz w:val="20"/>
              </w:rPr>
              <w:t>Causally optimal selection</w:t>
            </w:r>
          </w:p>
        </w:tc>
      </w:tr>
      <w:tr>
        <w:tc>
          <w:tcPr>
            <w:tcW w:type="dxa" w:w="2232"/>
            <w:shd w:val="clear" w:color="auto" w:fill="F3F4F6"/>
          </w:tcPr>
          <w:p>
            <w:r>
              <w:rPr>
                <w:rFonts w:ascii="Calibri" w:hAnsi="Calibri"/>
                <w:color w:val="1F2937"/>
                <w:sz w:val="20"/>
              </w:rPr>
              <w:t>Budget handling</w:t>
            </w:r>
          </w:p>
        </w:tc>
        <w:tc>
          <w:tcPr>
            <w:tcW w:type="dxa" w:w="2232"/>
            <w:shd w:val="clear" w:color="auto" w:fill="F3F4F6"/>
          </w:tcPr>
          <w:p>
            <w:r>
              <w:rPr>
                <w:rFonts w:ascii="Calibri" w:hAnsi="Calibri"/>
                <w:color w:val="1F2937"/>
                <w:sz w:val="20"/>
              </w:rPr>
              <w:t>No budget constraint modeled</w:t>
            </w:r>
          </w:p>
        </w:tc>
        <w:tc>
          <w:tcPr>
            <w:tcW w:type="dxa" w:w="2232"/>
            <w:shd w:val="clear" w:color="auto" w:fill="F3F4F6"/>
          </w:tcPr>
          <w:p>
            <w:r>
              <w:rPr>
                <w:rFonts w:ascii="Calibri" w:hAnsi="Calibri"/>
                <w:color w:val="1F2937"/>
                <w:sz w:val="20"/>
              </w:rPr>
              <w:t>Budget B explicitly constrained</w:t>
            </w:r>
          </w:p>
        </w:tc>
        <w:tc>
          <w:tcPr>
            <w:tcW w:type="dxa" w:w="2232"/>
            <w:shd w:val="clear" w:color="auto" w:fill="F3F4F6"/>
          </w:tcPr>
          <w:p>
            <w:r>
              <w:rPr>
                <w:rFonts w:ascii="Calibri" w:hAnsi="Calibri"/>
                <w:color w:val="1F2937"/>
                <w:sz w:val="20"/>
              </w:rPr>
              <w:t>Real-world deployable</w:t>
            </w:r>
          </w:p>
        </w:tc>
      </w:tr>
      <w:tr>
        <w:tc>
          <w:tcPr>
            <w:tcW w:type="dxa" w:w="2232"/>
            <w:shd w:val="clear" w:color="auto" w:fill="FFFFFF"/>
          </w:tcPr>
          <w:p>
            <w:r>
              <w:rPr>
                <w:rFonts w:ascii="Calibri" w:hAnsi="Calibri"/>
                <w:color w:val="1F2937"/>
                <w:sz w:val="20"/>
              </w:rPr>
              <w:t>Exit type awareness</w:t>
            </w:r>
          </w:p>
        </w:tc>
        <w:tc>
          <w:tcPr>
            <w:tcW w:type="dxa" w:w="2232"/>
            <w:shd w:val="clear" w:color="auto" w:fill="FFFFFF"/>
          </w:tcPr>
          <w:p>
            <w:r>
              <w:rPr>
                <w:rFonts w:ascii="Calibri" w:hAnsi="Calibri"/>
                <w:color w:val="1F2937"/>
                <w:sz w:val="20"/>
              </w:rPr>
              <w:t>All exits treated identically</w:t>
            </w:r>
          </w:p>
        </w:tc>
        <w:tc>
          <w:tcPr>
            <w:tcW w:type="dxa" w:w="2232"/>
            <w:shd w:val="clear" w:color="auto" w:fill="FFFFFF"/>
          </w:tcPr>
          <w:p>
            <w:r>
              <w:rPr>
                <w:rFonts w:ascii="Calibri" w:hAnsi="Calibri"/>
                <w:color w:val="1F2937"/>
                <w:sz w:val="20"/>
              </w:rPr>
              <w:t>Voluntary vs involuntary separated</w:t>
            </w:r>
          </w:p>
        </w:tc>
        <w:tc>
          <w:tcPr>
            <w:tcW w:type="dxa" w:w="2232"/>
            <w:shd w:val="clear" w:color="auto" w:fill="FFFFFF"/>
          </w:tcPr>
          <w:p>
            <w:r>
              <w:rPr>
                <w:rFonts w:ascii="Calibri" w:hAnsi="Calibri"/>
                <w:color w:val="1F2937"/>
                <w:sz w:val="20"/>
              </w:rPr>
              <w:t>Correct intervention routing</w:t>
            </w:r>
          </w:p>
        </w:tc>
      </w:tr>
      <w:tr>
        <w:tc>
          <w:tcPr>
            <w:tcW w:type="dxa" w:w="2232"/>
            <w:shd w:val="clear" w:color="auto" w:fill="F3F4F6"/>
          </w:tcPr>
          <w:p>
            <w:r>
              <w:rPr>
                <w:rFonts w:ascii="Calibri" w:hAnsi="Calibri"/>
                <w:color w:val="1F2937"/>
                <w:sz w:val="20"/>
              </w:rPr>
              <w:t>Core claim metric</w:t>
            </w:r>
          </w:p>
        </w:tc>
        <w:tc>
          <w:tcPr>
            <w:tcW w:type="dxa" w:w="2232"/>
            <w:shd w:val="clear" w:color="auto" w:fill="F3F4F6"/>
          </w:tcPr>
          <w:p>
            <w:r>
              <w:rPr>
                <w:rFonts w:ascii="Calibri" w:hAnsi="Calibri"/>
                <w:color w:val="1F2937"/>
                <w:sz w:val="20"/>
              </w:rPr>
              <w:t>C-Index, IBS, Revenue Recall@K</w:t>
            </w:r>
          </w:p>
        </w:tc>
        <w:tc>
          <w:tcPr>
            <w:tcW w:type="dxa" w:w="2232"/>
            <w:shd w:val="clear" w:color="auto" w:fill="F3F4F6"/>
          </w:tcPr>
          <w:p>
            <w:r>
              <w:rPr>
                <w:rFonts w:ascii="Calibri" w:hAnsi="Calibri"/>
                <w:color w:val="1F2937"/>
                <w:sz w:val="20"/>
              </w:rPr>
              <w:t>AUUC, Qini, Intervention Efficiency Ratio</w:t>
            </w:r>
          </w:p>
        </w:tc>
        <w:tc>
          <w:tcPr>
            <w:tcW w:type="dxa" w:w="2232"/>
            <w:shd w:val="clear" w:color="auto" w:fill="F3F4F6"/>
          </w:tcPr>
          <w:p>
            <w:r>
              <w:rPr>
                <w:rFonts w:ascii="Calibri" w:hAnsi="Calibri"/>
                <w:color w:val="1F2937"/>
                <w:sz w:val="20"/>
              </w:rPr>
              <w:t>Novel causal metrics</w:t>
            </w:r>
          </w:p>
        </w:tc>
      </w:tr>
      <w:tr>
        <w:tc>
          <w:tcPr>
            <w:tcW w:type="dxa" w:w="2232"/>
            <w:shd w:val="clear" w:color="auto" w:fill="FFFFFF"/>
          </w:tcPr>
          <w:p>
            <w:r>
              <w:rPr>
                <w:rFonts w:ascii="Calibri" w:hAnsi="Calibri"/>
                <w:color w:val="1F2937"/>
                <w:sz w:val="20"/>
              </w:rPr>
              <w:t>Scientific framing</w:t>
            </w:r>
          </w:p>
        </w:tc>
        <w:tc>
          <w:tcPr>
            <w:tcW w:type="dxa" w:w="2232"/>
            <w:shd w:val="clear" w:color="auto" w:fill="FFFFFF"/>
          </w:tcPr>
          <w:p>
            <w:r>
              <w:rPr>
                <w:rFonts w:ascii="Calibri" w:hAnsi="Calibri"/>
                <w:color w:val="1F2937"/>
                <w:sz w:val="20"/>
              </w:rPr>
              <w:t>System design paper</w:t>
            </w:r>
          </w:p>
        </w:tc>
        <w:tc>
          <w:tcPr>
            <w:tcW w:type="dxa" w:w="2232"/>
            <w:shd w:val="clear" w:color="auto" w:fill="FFFFFF"/>
          </w:tcPr>
          <w:p>
            <w:r>
              <w:rPr>
                <w:rFonts w:ascii="Calibri" w:hAnsi="Calibri"/>
                <w:color w:val="1F2937"/>
                <w:sz w:val="20"/>
              </w:rPr>
              <w:t>Causal inference + combinatorial optimization</w:t>
            </w:r>
          </w:p>
        </w:tc>
        <w:tc>
          <w:tcPr>
            <w:tcW w:type="dxa" w:w="2232"/>
            <w:shd w:val="clear" w:color="auto" w:fill="FFFFFF"/>
          </w:tcPr>
          <w:p>
            <w:r>
              <w:rPr>
                <w:rFonts w:ascii="Calibri" w:hAnsi="Calibri"/>
                <w:color w:val="1F2937"/>
                <w:sz w:val="20"/>
              </w:rPr>
              <w:t>Journal Q1 strength</w:t>
            </w:r>
          </w:p>
        </w:tc>
      </w:tr>
      <w:tr>
        <w:tc>
          <w:tcPr>
            <w:tcW w:type="dxa" w:w="2232"/>
            <w:shd w:val="clear" w:color="auto" w:fill="F3F4F6"/>
          </w:tcPr>
          <w:p>
            <w:r>
              <w:rPr>
                <w:rFonts w:ascii="Calibri" w:hAnsi="Calibri"/>
                <w:color w:val="1F2937"/>
                <w:sz w:val="20"/>
              </w:rPr>
              <w:t>Counterfactual output</w:t>
            </w:r>
          </w:p>
        </w:tc>
        <w:tc>
          <w:tcPr>
            <w:tcW w:type="dxa" w:w="2232"/>
            <w:shd w:val="clear" w:color="auto" w:fill="F3F4F6"/>
          </w:tcPr>
          <w:p>
            <w:r>
              <w:rPr>
                <w:rFonts w:ascii="Calibri" w:hAnsi="Calibri"/>
                <w:color w:val="1F2937"/>
                <w:sz w:val="20"/>
              </w:rPr>
              <w:t>SHAP attribution (descriptive)</w:t>
            </w:r>
          </w:p>
        </w:tc>
        <w:tc>
          <w:tcPr>
            <w:tcW w:type="dxa" w:w="2232"/>
            <w:shd w:val="clear" w:color="auto" w:fill="F3F4F6"/>
          </w:tcPr>
          <w:p>
            <w:r>
              <w:rPr>
                <w:rFonts w:ascii="Calibri" w:hAnsi="Calibri"/>
                <w:color w:val="1F2937"/>
                <w:sz w:val="20"/>
              </w:rPr>
              <w:t>τ_a(i) = S_a − S_0 per employee per arm</w:t>
            </w:r>
          </w:p>
        </w:tc>
        <w:tc>
          <w:tcPr>
            <w:tcW w:type="dxa" w:w="2232"/>
            <w:shd w:val="clear" w:color="auto" w:fill="F3F4F6"/>
          </w:tcPr>
          <w:p>
            <w:r>
              <w:rPr>
                <w:rFonts w:ascii="Calibri" w:hAnsi="Calibri"/>
                <w:color w:val="1F2937"/>
                <w:sz w:val="20"/>
              </w:rPr>
              <w:t>True counterfactual</w:t>
            </w:r>
          </w:p>
        </w:tc>
      </w:tr>
      <w:tr>
        <w:tc>
          <w:tcPr>
            <w:tcW w:type="dxa" w:w="2232"/>
            <w:shd w:val="clear" w:color="auto" w:fill="FFFFFF"/>
          </w:tcPr>
          <w:p>
            <w:r>
              <w:rPr>
                <w:rFonts w:ascii="Calibri" w:hAnsi="Calibri"/>
                <w:color w:val="1F2937"/>
                <w:sz w:val="20"/>
              </w:rPr>
              <w:t>Self-improvement</w:t>
            </w:r>
          </w:p>
        </w:tc>
        <w:tc>
          <w:tcPr>
            <w:tcW w:type="dxa" w:w="2232"/>
            <w:shd w:val="clear" w:color="auto" w:fill="FFFFFF"/>
          </w:tcPr>
          <w:p>
            <w:r>
              <w:rPr>
                <w:rFonts w:ascii="Calibri" w:hAnsi="Calibri"/>
                <w:color w:val="1F2937"/>
                <w:sz w:val="20"/>
              </w:rPr>
              <w:t>Bandit learns correlations</w:t>
            </w:r>
          </w:p>
        </w:tc>
        <w:tc>
          <w:tcPr>
            <w:tcW w:type="dxa" w:w="2232"/>
            <w:shd w:val="clear" w:color="auto" w:fill="FFFFFF"/>
          </w:tcPr>
          <w:p>
            <w:r>
              <w:rPr>
                <w:rFonts w:ascii="Calibri" w:hAnsi="Calibri"/>
                <w:color w:val="1F2937"/>
                <w:sz w:val="20"/>
              </w:rPr>
              <w:t>T-Learner learns causal effects</w:t>
            </w:r>
          </w:p>
        </w:tc>
        <w:tc>
          <w:tcPr>
            <w:tcW w:type="dxa" w:w="2232"/>
            <w:shd w:val="clear" w:color="auto" w:fill="FFFFFF"/>
          </w:tcPr>
          <w:p>
            <w:r>
              <w:rPr>
                <w:rFonts w:ascii="Calibri" w:hAnsi="Calibri"/>
                <w:color w:val="1F2937"/>
                <w:sz w:val="20"/>
              </w:rPr>
              <w:t>Stronger generalization</w:t>
            </w:r>
          </w:p>
        </w:tc>
      </w:tr>
    </w:tbl>
    <w:p>
      <w:r>
        <w:br w:type="page"/>
      </w:r>
    </w:p>
    <w:p>
      <w:pPr>
        <w:spacing w:before="320" w:after="120"/>
      </w:pPr>
      <w:r>
        <w:rPr>
          <w:rFonts w:ascii="Calibri" w:hAnsi="Calibri"/>
          <w:b/>
          <w:color w:val="0D1B3E"/>
          <w:sz w:val="40"/>
        </w:rPr>
        <w:t>8. Journal Novelty Statement &amp; Contribution Claims</w:t>
      </w:r>
    </w:p>
    <w:p>
      <w:pPr>
        <w:spacing w:before="80" w:after="80"/>
        <w:pBdr>
          <w:bottom w:val="single" w:sz="6" w:space="1" w:color="1A56DB"/>
        </w:pBdr>
      </w:pPr>
    </w:p>
    <w:p>
      <w:pPr>
        <w:spacing w:before="320" w:after="120"/>
      </w:pPr>
      <w:r>
        <w:rPr>
          <w:rFonts w:ascii="Calibri" w:hAnsi="Calibri"/>
          <w:b/>
          <w:color w:val="1A56DB"/>
          <w:sz w:val="30"/>
        </w:rPr>
        <w:t>8.1 Proposed Title</w:t>
      </w:r>
    </w:p>
    <w:p>
      <w:pPr>
        <w:spacing w:after="100" w:before="40"/>
      </w:pPr>
      <w:r>
        <w:rPr>
          <w:rFonts w:ascii="Calibri" w:hAnsi="Calibri"/>
          <w:b/>
          <w:i w:val="0"/>
          <w:color w:val="0D1B3E"/>
          <w:sz w:val="24"/>
        </w:rPr>
        <w:t>"NEXUS-C: Causal Survival Uplift Modeling with Budget-Constrained Intervention Optimization for Autonomous Employee Retention Intelligence"</w:t>
      </w:r>
    </w:p>
    <w:p>
      <w:pPr>
        <w:spacing w:before="320" w:after="120"/>
      </w:pPr>
      <w:r>
        <w:rPr>
          <w:rFonts w:ascii="Calibri" w:hAnsi="Calibri"/>
          <w:b/>
          <w:color w:val="1A56DB"/>
          <w:sz w:val="30"/>
        </w:rPr>
        <w:t>8.2 Novelty Statement for Journal Submission</w:t>
      </w:r>
    </w:p>
    <w:p>
      <w:pPr>
        <w:spacing w:after="100" w:before="40"/>
      </w:pPr>
      <w:r>
        <w:rPr>
          <w:rFonts w:ascii="Calibri" w:hAnsi="Calibri"/>
          <w:b w:val="0"/>
          <w:i w:val="0"/>
          <w:color w:val="1F2937"/>
          <w:sz w:val="22"/>
        </w:rPr>
        <w:t>This paper presents NEXUS-C, the first framework to apply causal survival uplift modeling to employee retention, estimating Individual Treatment Effects (ITE) of five discrete retention interventions on 90-day departure probability using a T-Learner Random Survival Forest meta-architecture. Unlike prior observational work that predicts who will leave or associates retention actions with historical outcomes, NEXUS-C estimates the counterfactual survival probability under each intervention for each employee, enabling genuine causal prioritisation. We further introduce a budget-constrained greedy knapsack optimizer that selects the optimal portfolio of employee-intervention assignments maximising total retained Employee Lifetime Value under a fixed HR spend B, quantified by the new Intervention Efficiency Ratio (IER) metric. A competing-risks Fine-Gray model separates voluntary resignation risk from involuntary exit risk, routing employees to causally appropriate intervention sets and preventing misallocation of financial retention resources. Evaluated on the IBM HR Analytics benchmark with simulated intervention outcomes and the Watson Healthcare dataset for cross-domain validation, NEXUS-C demonstrates X% improvement in Area Under the Uplift Curve over the associative LinUCB baseline and Y% higher Intervention Efficiency Ratio compared to urgency-score ranked triage under identical budget constraints.</w:t>
      </w:r>
    </w:p>
    <w:p>
      <w:pPr>
        <w:spacing w:before="320" w:after="120"/>
      </w:pPr>
      <w:r>
        <w:rPr>
          <w:rFonts w:ascii="Calibri" w:hAnsi="Calibri"/>
          <w:b/>
          <w:color w:val="1A56DB"/>
          <w:sz w:val="30"/>
        </w:rPr>
        <w:t>8.3 Core Contributions Summary</w:t>
      </w:r>
    </w:p>
    <w:p>
      <w:pPr>
        <w:spacing w:before="60" w:after="60"/>
      </w:pPr>
      <w:r>
        <w:rPr>
          <w:rFonts w:ascii="Calibri" w:hAnsi="Calibri"/>
          <w:b/>
          <w:color w:val="1A56DB"/>
          <w:sz w:val="22"/>
        </w:rPr>
        <w:t xml:space="preserve">  [C1]  </w:t>
      </w:r>
      <w:r>
        <w:rPr>
          <w:rFonts w:ascii="Calibri" w:hAnsi="Calibri"/>
          <w:color w:val="1F2937"/>
          <w:sz w:val="22"/>
        </w:rPr>
        <w:t>First application of survival uplift modeling (T-Learner RSF) to employee retention ITE estimation.</w:t>
      </w:r>
    </w:p>
    <w:p>
      <w:pPr>
        <w:spacing w:before="60" w:after="60"/>
      </w:pPr>
      <w:r>
        <w:rPr>
          <w:rFonts w:ascii="Calibri" w:hAnsi="Calibri"/>
          <w:b/>
          <w:color w:val="1A56DB"/>
          <w:sz w:val="22"/>
        </w:rPr>
        <w:t xml:space="preserve">  [C2]  </w:t>
      </w:r>
      <w:r>
        <w:rPr>
          <w:rFonts w:ascii="Calibri" w:hAnsi="Calibri"/>
          <w:color w:val="1F2937"/>
          <w:sz w:val="22"/>
        </w:rPr>
        <w:t>First budget-constrained knapsack intervention optimizer for HR retention with provable approximation guarantees.</w:t>
      </w:r>
    </w:p>
    <w:p>
      <w:pPr>
        <w:spacing w:before="60" w:after="60"/>
      </w:pPr>
      <w:r>
        <w:rPr>
          <w:rFonts w:ascii="Calibri" w:hAnsi="Calibri"/>
          <w:b/>
          <w:color w:val="1A56DB"/>
          <w:sz w:val="22"/>
        </w:rPr>
        <w:t xml:space="preserve">  [C3]  </w:t>
      </w:r>
      <w:r>
        <w:rPr>
          <w:rFonts w:ascii="Calibri" w:hAnsi="Calibri"/>
          <w:color w:val="1F2937"/>
          <w:sz w:val="22"/>
        </w:rPr>
        <w:t>First integration of competing risks triage with autonomous intervention routing and selection.</w:t>
      </w:r>
    </w:p>
    <w:p>
      <w:pPr>
        <w:spacing w:before="60" w:after="60"/>
      </w:pPr>
      <w:r>
        <w:rPr>
          <w:rFonts w:ascii="Calibri" w:hAnsi="Calibri"/>
          <w:b/>
          <w:color w:val="1A56DB"/>
          <w:sz w:val="22"/>
        </w:rPr>
        <w:t xml:space="preserve">  [C4]  </w:t>
      </w:r>
      <w:r>
        <w:rPr>
          <w:rFonts w:ascii="Calibri" w:hAnsi="Calibri"/>
          <w:color w:val="1F2937"/>
          <w:sz w:val="22"/>
        </w:rPr>
        <w:t>New causal evaluation metrics: AUUC, Qini Coefficient, Intervention Efficiency Ratio (IER).</w:t>
      </w:r>
    </w:p>
    <w:p>
      <w:pPr>
        <w:spacing w:before="60" w:after="60"/>
      </w:pPr>
      <w:r>
        <w:rPr>
          <w:rFonts w:ascii="Calibri" w:hAnsi="Calibri"/>
          <w:b/>
          <w:color w:val="1A56DB"/>
          <w:sz w:val="22"/>
        </w:rPr>
        <w:t xml:space="preserve">  [C5]  </w:t>
      </w:r>
      <w:r>
        <w:rPr>
          <w:rFonts w:ascii="Calibri" w:hAnsi="Calibri"/>
          <w:color w:val="1F2937"/>
          <w:sz w:val="22"/>
        </w:rPr>
        <w:t>Hybrid bandit-to-causal transition with propensity score correction for non-random intervention assignment.</w:t>
      </w:r>
    </w:p>
    <w:p>
      <w:pPr>
        <w:spacing w:before="320" w:after="120"/>
      </w:pPr>
      <w:r>
        <w:rPr>
          <w:rFonts w:ascii="Calibri" w:hAnsi="Calibri"/>
          <w:b/>
          <w:color w:val="0D1B3E"/>
          <w:sz w:val="40"/>
        </w:rPr>
        <w:t>9. Implementation Roadmap</w:t>
      </w:r>
    </w:p>
    <w:p>
      <w:pPr>
        <w:spacing w:before="80" w:after="80"/>
        <w:pBdr>
          <w:bottom w:val="single" w:sz="6" w:space="1" w:color="1A56DB"/>
        </w:pBdr>
      </w:pP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val="clear" w:color="auto" w:fill="0D1B3E"/>
          </w:tcPr>
          <w:p>
            <w:r>
              <w:rPr>
                <w:rFonts w:ascii="Calibri" w:hAnsi="Calibri"/>
                <w:b/>
                <w:color w:val="FFFFFF"/>
                <w:sz w:val="20"/>
              </w:rPr>
              <w:t>Task</w:t>
            </w:r>
          </w:p>
        </w:tc>
        <w:tc>
          <w:tcPr>
            <w:tcW w:type="dxa" w:w="1786"/>
            <w:shd w:val="clear" w:color="auto" w:fill="0D1B3E"/>
          </w:tcPr>
          <w:p>
            <w:r>
              <w:rPr>
                <w:rFonts w:ascii="Calibri" w:hAnsi="Calibri"/>
                <w:b/>
                <w:color w:val="FFFFFF"/>
                <w:sz w:val="20"/>
              </w:rPr>
              <w:t>Novel</w:t>
            </w:r>
          </w:p>
        </w:tc>
        <w:tc>
          <w:tcPr>
            <w:tcW w:type="dxa" w:w="1786"/>
            <w:shd w:val="clear" w:color="auto" w:fill="0D1B3E"/>
          </w:tcPr>
          <w:p>
            <w:r>
              <w:rPr>
                <w:rFonts w:ascii="Calibri" w:hAnsi="Calibri"/>
                <w:b/>
                <w:color w:val="FFFFFF"/>
                <w:sz w:val="20"/>
              </w:rPr>
              <w:t>Library/Tool</w:t>
            </w:r>
          </w:p>
        </w:tc>
        <w:tc>
          <w:tcPr>
            <w:tcW w:type="dxa" w:w="1786"/>
            <w:shd w:val="clear" w:color="auto" w:fill="0D1B3E"/>
          </w:tcPr>
          <w:p>
            <w:r>
              <w:rPr>
                <w:rFonts w:ascii="Calibri" w:hAnsi="Calibri"/>
                <w:b/>
                <w:color w:val="FFFFFF"/>
                <w:sz w:val="20"/>
              </w:rPr>
              <w:t>Est. Time</w:t>
            </w:r>
          </w:p>
        </w:tc>
        <w:tc>
          <w:tcPr>
            <w:tcW w:type="dxa" w:w="1786"/>
            <w:shd w:val="clear" w:color="auto" w:fill="0D1B3E"/>
          </w:tcPr>
          <w:p>
            <w:r>
              <w:rPr>
                <w:rFonts w:ascii="Calibri" w:hAnsi="Calibri"/>
                <w:b/>
                <w:color w:val="FFFFFF"/>
                <w:sz w:val="20"/>
              </w:rPr>
              <w:t>Output File</w:t>
            </w:r>
          </w:p>
        </w:tc>
      </w:tr>
      <w:tr>
        <w:tc>
          <w:tcPr>
            <w:tcW w:type="dxa" w:w="1786"/>
            <w:shd w:val="clear" w:color="auto" w:fill="F3F4F6"/>
          </w:tcPr>
          <w:p>
            <w:r>
              <w:rPr>
                <w:rFonts w:ascii="Calibri" w:hAnsi="Calibri"/>
                <w:color w:val="1F2937"/>
                <w:sz w:val="20"/>
              </w:rPr>
              <w:t>Simulate exit_type labels from IBM dataset proxy rules</w:t>
            </w:r>
          </w:p>
        </w:tc>
        <w:tc>
          <w:tcPr>
            <w:tcW w:type="dxa" w:w="1786"/>
            <w:shd w:val="clear" w:color="auto" w:fill="F3F4F6"/>
          </w:tcPr>
          <w:p>
            <w:r>
              <w:rPr>
                <w:rFonts w:ascii="Calibri" w:hAnsi="Calibri"/>
                <w:color w:val="1F2937"/>
                <w:sz w:val="20"/>
              </w:rPr>
              <w:t>C3</w:t>
            </w:r>
          </w:p>
        </w:tc>
        <w:tc>
          <w:tcPr>
            <w:tcW w:type="dxa" w:w="1786"/>
            <w:shd w:val="clear" w:color="auto" w:fill="F3F4F6"/>
          </w:tcPr>
          <w:p>
            <w:r>
              <w:rPr>
                <w:rFonts w:ascii="Calibri" w:hAnsi="Calibri"/>
                <w:color w:val="1F2937"/>
                <w:sz w:val="20"/>
              </w:rPr>
              <w:t>pandas</w:t>
            </w:r>
          </w:p>
        </w:tc>
        <w:tc>
          <w:tcPr>
            <w:tcW w:type="dxa" w:w="1786"/>
            <w:shd w:val="clear" w:color="auto" w:fill="F3F4F6"/>
          </w:tcPr>
          <w:p>
            <w:r>
              <w:rPr>
                <w:rFonts w:ascii="Calibri" w:hAnsi="Calibri"/>
                <w:color w:val="1F2937"/>
                <w:sz w:val="20"/>
              </w:rPr>
              <w:t>0.5 days</w:t>
            </w:r>
          </w:p>
        </w:tc>
        <w:tc>
          <w:tcPr>
            <w:tcW w:type="dxa" w:w="1786"/>
            <w:shd w:val="clear" w:color="auto" w:fill="F3F4F6"/>
          </w:tcPr>
          <w:p>
            <w:r>
              <w:rPr>
                <w:rFonts w:ascii="Calibri" w:hAnsi="Calibri"/>
                <w:color w:val="1F2937"/>
                <w:sz w:val="20"/>
              </w:rPr>
              <w:t>models/exit_type_simulator.py</w:t>
            </w:r>
          </w:p>
        </w:tc>
      </w:tr>
      <w:tr>
        <w:tc>
          <w:tcPr>
            <w:tcW w:type="dxa" w:w="1786"/>
            <w:shd w:val="clear" w:color="auto" w:fill="FFFFFF"/>
          </w:tcPr>
          <w:p>
            <w:r>
              <w:rPr>
                <w:rFonts w:ascii="Calibri" w:hAnsi="Calibri"/>
                <w:color w:val="1F2937"/>
                <w:sz w:val="20"/>
              </w:rPr>
              <w:t>Fit Fine-Gray competing risks model</w:t>
            </w:r>
          </w:p>
        </w:tc>
        <w:tc>
          <w:tcPr>
            <w:tcW w:type="dxa" w:w="1786"/>
            <w:shd w:val="clear" w:color="auto" w:fill="FFFFFF"/>
          </w:tcPr>
          <w:p>
            <w:r>
              <w:rPr>
                <w:rFonts w:ascii="Calibri" w:hAnsi="Calibri"/>
                <w:color w:val="1F2937"/>
                <w:sz w:val="20"/>
              </w:rPr>
              <w:t>C3</w:t>
            </w:r>
          </w:p>
        </w:tc>
        <w:tc>
          <w:tcPr>
            <w:tcW w:type="dxa" w:w="1786"/>
            <w:shd w:val="clear" w:color="auto" w:fill="FFFFFF"/>
          </w:tcPr>
          <w:p>
            <w:r>
              <w:rPr>
                <w:rFonts w:ascii="Calibri" w:hAnsi="Calibri"/>
                <w:color w:val="1F2937"/>
                <w:sz w:val="20"/>
              </w:rPr>
              <w:t>lifelines.CauseSpecificFitter</w:t>
            </w:r>
          </w:p>
        </w:tc>
        <w:tc>
          <w:tcPr>
            <w:tcW w:type="dxa" w:w="1786"/>
            <w:shd w:val="clear" w:color="auto" w:fill="FFFFFF"/>
          </w:tcPr>
          <w:p>
            <w:r>
              <w:rPr>
                <w:rFonts w:ascii="Calibri" w:hAnsi="Calibri"/>
                <w:color w:val="1F2937"/>
                <w:sz w:val="20"/>
              </w:rPr>
              <w:t>0.5 days</w:t>
            </w:r>
          </w:p>
        </w:tc>
        <w:tc>
          <w:tcPr>
            <w:tcW w:type="dxa" w:w="1786"/>
            <w:shd w:val="clear" w:color="auto" w:fill="FFFFFF"/>
          </w:tcPr>
          <w:p>
            <w:r>
              <w:rPr>
                <w:rFonts w:ascii="Calibri" w:hAnsi="Calibri"/>
                <w:color w:val="1F2937"/>
                <w:sz w:val="20"/>
              </w:rPr>
              <w:t>models/competing_risks.py</w:t>
            </w:r>
          </w:p>
        </w:tc>
      </w:tr>
      <w:tr>
        <w:tc>
          <w:tcPr>
            <w:tcW w:type="dxa" w:w="1786"/>
            <w:shd w:val="clear" w:color="auto" w:fill="F3F4F6"/>
          </w:tcPr>
          <w:p>
            <w:r>
              <w:rPr>
                <w:rFonts w:ascii="Calibri" w:hAnsi="Calibri"/>
                <w:color w:val="1F2937"/>
                <w:sz w:val="20"/>
              </w:rPr>
              <w:t>Add exit type routing to Analyst Agent</w:t>
            </w:r>
          </w:p>
        </w:tc>
        <w:tc>
          <w:tcPr>
            <w:tcW w:type="dxa" w:w="1786"/>
            <w:shd w:val="clear" w:color="auto" w:fill="F3F4F6"/>
          </w:tcPr>
          <w:p>
            <w:r>
              <w:rPr>
                <w:rFonts w:ascii="Calibri" w:hAnsi="Calibri"/>
                <w:color w:val="1F2937"/>
                <w:sz w:val="20"/>
              </w:rPr>
              <w:t>C3</w:t>
            </w:r>
          </w:p>
        </w:tc>
        <w:tc>
          <w:tcPr>
            <w:tcW w:type="dxa" w:w="1786"/>
            <w:shd w:val="clear" w:color="auto" w:fill="F3F4F6"/>
          </w:tcPr>
          <w:p>
            <w:r>
              <w:rPr>
                <w:rFonts w:ascii="Calibri" w:hAnsi="Calibri"/>
                <w:color w:val="1F2937"/>
                <w:sz w:val="20"/>
              </w:rPr>
              <w:t>agents/analyst.py</w:t>
            </w:r>
          </w:p>
        </w:tc>
        <w:tc>
          <w:tcPr>
            <w:tcW w:type="dxa" w:w="1786"/>
            <w:shd w:val="clear" w:color="auto" w:fill="F3F4F6"/>
          </w:tcPr>
          <w:p>
            <w:r>
              <w:rPr>
                <w:rFonts w:ascii="Calibri" w:hAnsi="Calibri"/>
                <w:color w:val="1F2937"/>
                <w:sz w:val="20"/>
              </w:rPr>
              <w:t>0.5 days</w:t>
            </w:r>
          </w:p>
        </w:tc>
        <w:tc>
          <w:tcPr>
            <w:tcW w:type="dxa" w:w="1786"/>
            <w:shd w:val="clear" w:color="auto" w:fill="F3F4F6"/>
          </w:tcPr>
          <w:p>
            <w:r>
              <w:rPr>
                <w:rFonts w:ascii="Calibri" w:hAnsi="Calibri"/>
                <w:color w:val="1F2937"/>
                <w:sz w:val="20"/>
              </w:rPr>
              <w:t>agents/analyst.py update</w:t>
            </w:r>
          </w:p>
        </w:tc>
      </w:tr>
      <w:tr>
        <w:tc>
          <w:tcPr>
            <w:tcW w:type="dxa" w:w="1786"/>
            <w:shd w:val="clear" w:color="auto" w:fill="FFFFFF"/>
          </w:tcPr>
          <w:p>
            <w:r>
              <w:rPr>
                <w:rFonts w:ascii="Calibri" w:hAnsi="Calibri"/>
                <w:color w:val="1F2937"/>
                <w:sz w:val="20"/>
              </w:rPr>
              <w:t>Simulate intervention outcome labels for T-Learner training data</w:t>
            </w:r>
          </w:p>
        </w:tc>
        <w:tc>
          <w:tcPr>
            <w:tcW w:type="dxa" w:w="1786"/>
            <w:shd w:val="clear" w:color="auto" w:fill="FFFFFF"/>
          </w:tcPr>
          <w:p>
            <w:r>
              <w:rPr>
                <w:rFonts w:ascii="Calibri" w:hAnsi="Calibri"/>
                <w:color w:val="1F2937"/>
                <w:sz w:val="20"/>
              </w:rPr>
              <w:t>C1</w:t>
            </w:r>
          </w:p>
        </w:tc>
        <w:tc>
          <w:tcPr>
            <w:tcW w:type="dxa" w:w="1786"/>
            <w:shd w:val="clear" w:color="auto" w:fill="FFFFFF"/>
          </w:tcPr>
          <w:p>
            <w:r>
              <w:rPr>
                <w:rFonts w:ascii="Calibri" w:hAnsi="Calibri"/>
                <w:color w:val="1F2937"/>
                <w:sz w:val="20"/>
              </w:rPr>
              <w:t>numpy, pandas</w:t>
            </w:r>
          </w:p>
        </w:tc>
        <w:tc>
          <w:tcPr>
            <w:tcW w:type="dxa" w:w="1786"/>
            <w:shd w:val="clear" w:color="auto" w:fill="FFFFFF"/>
          </w:tcPr>
          <w:p>
            <w:r>
              <w:rPr>
                <w:rFonts w:ascii="Calibri" w:hAnsi="Calibri"/>
                <w:color w:val="1F2937"/>
                <w:sz w:val="20"/>
              </w:rPr>
              <w:t>1 day</w:t>
            </w:r>
          </w:p>
        </w:tc>
        <w:tc>
          <w:tcPr>
            <w:tcW w:type="dxa" w:w="1786"/>
            <w:shd w:val="clear" w:color="auto" w:fill="FFFFFF"/>
          </w:tcPr>
          <w:p>
            <w:r>
              <w:rPr>
                <w:rFonts w:ascii="Calibri" w:hAnsi="Calibri"/>
                <w:color w:val="1F2937"/>
                <w:sz w:val="20"/>
              </w:rPr>
              <w:t>core/outcome_simulator.py</w:t>
            </w:r>
          </w:p>
        </w:tc>
      </w:tr>
      <w:tr>
        <w:tc>
          <w:tcPr>
            <w:tcW w:type="dxa" w:w="1786"/>
            <w:shd w:val="clear" w:color="auto" w:fill="F3F4F6"/>
          </w:tcPr>
          <w:p>
            <w:r>
              <w:rPr>
                <w:rFonts w:ascii="Calibri" w:hAnsi="Calibri"/>
                <w:color w:val="1F2937"/>
                <w:sz w:val="20"/>
              </w:rPr>
              <w:t>Implement T-Learner RSF control + treatment models</w:t>
            </w:r>
          </w:p>
        </w:tc>
        <w:tc>
          <w:tcPr>
            <w:tcW w:type="dxa" w:w="1786"/>
            <w:shd w:val="clear" w:color="auto" w:fill="F3F4F6"/>
          </w:tcPr>
          <w:p>
            <w:r>
              <w:rPr>
                <w:rFonts w:ascii="Calibri" w:hAnsi="Calibri"/>
                <w:color w:val="1F2937"/>
                <w:sz w:val="20"/>
              </w:rPr>
              <w:t>C1</w:t>
            </w:r>
          </w:p>
        </w:tc>
        <w:tc>
          <w:tcPr>
            <w:tcW w:type="dxa" w:w="1786"/>
            <w:shd w:val="clear" w:color="auto" w:fill="F3F4F6"/>
          </w:tcPr>
          <w:p>
            <w:r>
              <w:rPr>
                <w:rFonts w:ascii="Calibri" w:hAnsi="Calibri"/>
                <w:color w:val="1F2937"/>
                <w:sz w:val="20"/>
              </w:rPr>
              <w:t>sksurv, scikit-learn</w:t>
            </w:r>
          </w:p>
        </w:tc>
        <w:tc>
          <w:tcPr>
            <w:tcW w:type="dxa" w:w="1786"/>
            <w:shd w:val="clear" w:color="auto" w:fill="F3F4F6"/>
          </w:tcPr>
          <w:p>
            <w:r>
              <w:rPr>
                <w:rFonts w:ascii="Calibri" w:hAnsi="Calibri"/>
                <w:color w:val="1F2937"/>
                <w:sz w:val="20"/>
              </w:rPr>
              <w:t>1.5 days</w:t>
            </w:r>
          </w:p>
        </w:tc>
        <w:tc>
          <w:tcPr>
            <w:tcW w:type="dxa" w:w="1786"/>
            <w:shd w:val="clear" w:color="auto" w:fill="F3F4F6"/>
          </w:tcPr>
          <w:p>
            <w:r>
              <w:rPr>
                <w:rFonts w:ascii="Calibri" w:hAnsi="Calibri"/>
                <w:color w:val="1F2937"/>
                <w:sz w:val="20"/>
              </w:rPr>
              <w:t>models/causal_uplift.py</w:t>
            </w:r>
          </w:p>
        </w:tc>
      </w:tr>
      <w:tr>
        <w:tc>
          <w:tcPr>
            <w:tcW w:type="dxa" w:w="1786"/>
            <w:shd w:val="clear" w:color="auto" w:fill="FFFFFF"/>
          </w:tcPr>
          <w:p>
            <w:r>
              <w:rPr>
                <w:rFonts w:ascii="Calibri" w:hAnsi="Calibri"/>
                <w:color w:val="1F2937"/>
                <w:sz w:val="20"/>
              </w:rPr>
              <w:t>Propensity score overlap correction</w:t>
            </w:r>
          </w:p>
        </w:tc>
        <w:tc>
          <w:tcPr>
            <w:tcW w:type="dxa" w:w="1786"/>
            <w:shd w:val="clear" w:color="auto" w:fill="FFFFFF"/>
          </w:tcPr>
          <w:p>
            <w:r>
              <w:rPr>
                <w:rFonts w:ascii="Calibri" w:hAnsi="Calibri"/>
                <w:color w:val="1F2937"/>
                <w:sz w:val="20"/>
              </w:rPr>
              <w:t>C1</w:t>
            </w:r>
          </w:p>
        </w:tc>
        <w:tc>
          <w:tcPr>
            <w:tcW w:type="dxa" w:w="1786"/>
            <w:shd w:val="clear" w:color="auto" w:fill="FFFFFF"/>
          </w:tcPr>
          <w:p>
            <w:r>
              <w:rPr>
                <w:rFonts w:ascii="Calibri" w:hAnsi="Calibri"/>
                <w:color w:val="1F2937"/>
                <w:sz w:val="20"/>
              </w:rPr>
              <w:t>sklearn.linear_model</w:t>
            </w:r>
          </w:p>
        </w:tc>
        <w:tc>
          <w:tcPr>
            <w:tcW w:type="dxa" w:w="1786"/>
            <w:shd w:val="clear" w:color="auto" w:fill="FFFFFF"/>
          </w:tcPr>
          <w:p>
            <w:r>
              <w:rPr>
                <w:rFonts w:ascii="Calibri" w:hAnsi="Calibri"/>
                <w:color w:val="1F2937"/>
                <w:sz w:val="20"/>
              </w:rPr>
              <w:t>0.5 days</w:t>
            </w:r>
          </w:p>
        </w:tc>
        <w:tc>
          <w:tcPr>
            <w:tcW w:type="dxa" w:w="1786"/>
            <w:shd w:val="clear" w:color="auto" w:fill="FFFFFF"/>
          </w:tcPr>
          <w:p>
            <w:r>
              <w:rPr>
                <w:rFonts w:ascii="Calibri" w:hAnsi="Calibri"/>
                <w:color w:val="1F2937"/>
                <w:sz w:val="20"/>
              </w:rPr>
              <w:t>models/causal_uplift.py</w:t>
            </w:r>
          </w:p>
        </w:tc>
      </w:tr>
      <w:tr>
        <w:tc>
          <w:tcPr>
            <w:tcW w:type="dxa" w:w="1786"/>
            <w:shd w:val="clear" w:color="auto" w:fill="F3F4F6"/>
          </w:tcPr>
          <w:p>
            <w:r>
              <w:rPr>
                <w:rFonts w:ascii="Calibri" w:hAnsi="Calibri"/>
                <w:color w:val="1F2937"/>
                <w:sz w:val="20"/>
              </w:rPr>
              <w:t>Implement Greedy Knapsack Optimizer</w:t>
            </w:r>
          </w:p>
        </w:tc>
        <w:tc>
          <w:tcPr>
            <w:tcW w:type="dxa" w:w="1786"/>
            <w:shd w:val="clear" w:color="auto" w:fill="F3F4F6"/>
          </w:tcPr>
          <w:p>
            <w:r>
              <w:rPr>
                <w:rFonts w:ascii="Calibri" w:hAnsi="Calibri"/>
                <w:color w:val="1F2937"/>
                <w:sz w:val="20"/>
              </w:rPr>
              <w:t>C2</w:t>
            </w:r>
          </w:p>
        </w:tc>
        <w:tc>
          <w:tcPr>
            <w:tcW w:type="dxa" w:w="1786"/>
            <w:shd w:val="clear" w:color="auto" w:fill="F3F4F6"/>
          </w:tcPr>
          <w:p>
            <w:r>
              <w:rPr>
                <w:rFonts w:ascii="Calibri" w:hAnsi="Calibri"/>
                <w:color w:val="1F2937"/>
                <w:sz w:val="20"/>
              </w:rPr>
              <w:t>pure Python</w:t>
            </w:r>
          </w:p>
        </w:tc>
        <w:tc>
          <w:tcPr>
            <w:tcW w:type="dxa" w:w="1786"/>
            <w:shd w:val="clear" w:color="auto" w:fill="F3F4F6"/>
          </w:tcPr>
          <w:p>
            <w:r>
              <w:rPr>
                <w:rFonts w:ascii="Calibri" w:hAnsi="Calibri"/>
                <w:color w:val="1F2937"/>
                <w:sz w:val="20"/>
              </w:rPr>
              <w:t>0.5 days</w:t>
            </w:r>
          </w:p>
        </w:tc>
        <w:tc>
          <w:tcPr>
            <w:tcW w:type="dxa" w:w="1786"/>
            <w:shd w:val="clear" w:color="auto" w:fill="F3F4F6"/>
          </w:tcPr>
          <w:p>
            <w:r>
              <w:rPr>
                <w:rFonts w:ascii="Calibri" w:hAnsi="Calibri"/>
                <w:color w:val="1F2937"/>
                <w:sz w:val="20"/>
              </w:rPr>
              <w:t>models/knapsack_optimizer.py</w:t>
            </w:r>
          </w:p>
        </w:tc>
      </w:tr>
      <w:tr>
        <w:tc>
          <w:tcPr>
            <w:tcW w:type="dxa" w:w="1786"/>
            <w:shd w:val="clear" w:color="auto" w:fill="FFFFFF"/>
          </w:tcPr>
          <w:p>
            <w:r>
              <w:rPr>
                <w:rFonts w:ascii="Calibri" w:hAnsi="Calibri"/>
                <w:color w:val="1F2937"/>
                <w:sz w:val="20"/>
              </w:rPr>
              <w:t>Add AUUC, Qini, IER evaluation metrics</w:t>
            </w:r>
          </w:p>
        </w:tc>
        <w:tc>
          <w:tcPr>
            <w:tcW w:type="dxa" w:w="1786"/>
            <w:shd w:val="clear" w:color="auto" w:fill="FFFFFF"/>
          </w:tcPr>
          <w:p>
            <w:r>
              <w:rPr>
                <w:rFonts w:ascii="Calibri" w:hAnsi="Calibri"/>
                <w:color w:val="1F2937"/>
                <w:sz w:val="20"/>
              </w:rPr>
              <w:t>C1+C2</w:t>
            </w:r>
          </w:p>
        </w:tc>
        <w:tc>
          <w:tcPr>
            <w:tcW w:type="dxa" w:w="1786"/>
            <w:shd w:val="clear" w:color="auto" w:fill="FFFFFF"/>
          </w:tcPr>
          <w:p>
            <w:r>
              <w:rPr>
                <w:rFonts w:ascii="Calibri" w:hAnsi="Calibri"/>
                <w:color w:val="1F2937"/>
                <w:sz w:val="20"/>
              </w:rPr>
              <w:t>numpy, sklearn</w:t>
            </w:r>
          </w:p>
        </w:tc>
        <w:tc>
          <w:tcPr>
            <w:tcW w:type="dxa" w:w="1786"/>
            <w:shd w:val="clear" w:color="auto" w:fill="FFFFFF"/>
          </w:tcPr>
          <w:p>
            <w:r>
              <w:rPr>
                <w:rFonts w:ascii="Calibri" w:hAnsi="Calibri"/>
                <w:color w:val="1F2937"/>
                <w:sz w:val="20"/>
              </w:rPr>
              <w:t>0.5 days</w:t>
            </w:r>
          </w:p>
        </w:tc>
        <w:tc>
          <w:tcPr>
            <w:tcW w:type="dxa" w:w="1786"/>
            <w:shd w:val="clear" w:color="auto" w:fill="FFFFFF"/>
          </w:tcPr>
          <w:p>
            <w:r>
              <w:rPr>
                <w:rFonts w:ascii="Calibri" w:hAnsi="Calibri"/>
                <w:color w:val="1F2937"/>
                <w:sz w:val="20"/>
              </w:rPr>
              <w:t>models/causal_metrics.py</w:t>
            </w:r>
          </w:p>
        </w:tc>
      </w:tr>
    </w:tbl>
    <w:p>
      <w:pPr>
        <w:spacing w:after="240" w:before="40"/>
      </w:pPr>
      <w:r>
        <w:rPr>
          <w:rFonts w:ascii="Calibri" w:hAnsi="Calibri"/>
          <w:b/>
          <w:i w:val="0"/>
          <w:color w:val="0D1B3E"/>
          <w:sz w:val="22"/>
        </w:rPr>
        <w:t>Total estimated implementation time: 5–6 working days.</w:t>
      </w:r>
    </w:p>
    <w:p>
      <w:pPr>
        <w:spacing w:before="320" w:after="120"/>
      </w:pPr>
      <w:r>
        <w:rPr>
          <w:rFonts w:ascii="Calibri" w:hAnsi="Calibri"/>
          <w:b/>
          <w:color w:val="0D1B3E"/>
          <w:sz w:val="40"/>
        </w:rPr>
        <w:t>10. Conclusion</w:t>
      </w:r>
    </w:p>
    <w:p>
      <w:pPr>
        <w:spacing w:before="80" w:after="80"/>
        <w:pBdr>
          <w:bottom w:val="single" w:sz="6" w:space="1" w:color="1A56DB"/>
        </w:pBdr>
      </w:pPr>
    </w:p>
    <w:p>
      <w:pPr>
        <w:spacing w:after="100" w:before="40"/>
      </w:pPr>
      <w:r>
        <w:rPr>
          <w:rFonts w:ascii="Calibri" w:hAnsi="Calibri"/>
          <w:b w:val="0"/>
          <w:i w:val="0"/>
          <w:color w:val="1F2937"/>
          <w:sz w:val="22"/>
        </w:rPr>
        <w:t>The NEXUS-C extension addresses the fundamental limitation shared by all 31 reviewed papers — observational prediction without causal intervention effect estimation. By introducing a T-Learner Random Survival Forest architecture, a budget-constrained knapsack optimizer, and a competing-risks differentiated triage mechanism, NEXUS-C transforms the Nexus AI framework from a state-of-the-art predictive analytics system into a causally-grounded, financially-optimized, and budget-aware retention intelligence platform.</w:t>
      </w:r>
    </w:p>
    <w:p>
      <w:pPr>
        <w:spacing w:after="100" w:before="40"/>
      </w:pPr>
      <w:r>
        <w:rPr>
          <w:rFonts w:ascii="Calibri" w:hAnsi="Calibri"/>
          <w:b w:val="0"/>
          <w:i w:val="0"/>
          <w:color w:val="1F2937"/>
          <w:sz w:val="22"/>
        </w:rPr>
        <w:t>The resulting system answers the full decision chain that no prior work has addressed end-to-end:</w:t>
      </w:r>
    </w:p>
    <w:p>
      <w:pPr>
        <w:pStyle w:val="ListBullet"/>
        <w:spacing w:after="60" w:before="20"/>
      </w:pPr>
      <w:r>
        <w:rPr>
          <w:rFonts w:ascii="Calibri" w:hAnsi="Calibri"/>
          <w:color w:val="1F2937"/>
          <w:sz w:val="22"/>
        </w:rPr>
        <w:t>WHO is at risk?  →  Survival ensemble prediction (existing)</w:t>
      </w:r>
    </w:p>
    <w:p>
      <w:pPr>
        <w:pStyle w:val="ListBullet"/>
        <w:spacing w:after="60" w:before="20"/>
      </w:pPr>
      <w:r>
        <w:rPr>
          <w:rFonts w:ascii="Calibri" w:hAnsi="Calibri"/>
          <w:color w:val="1F2937"/>
          <w:sz w:val="22"/>
        </w:rPr>
        <w:t>WHEN will they leave?  →  Multi-horizon 30/60/90-day survival curves (existing)</w:t>
      </w:r>
    </w:p>
    <w:p>
      <w:pPr>
        <w:pStyle w:val="ListBullet"/>
        <w:spacing w:after="60" w:before="20"/>
      </w:pPr>
      <w:r>
        <w:rPr>
          <w:rFonts w:ascii="Calibri" w:hAnsi="Calibri"/>
          <w:color w:val="1F2937"/>
          <w:sz w:val="22"/>
        </w:rPr>
        <w:t>WHY are they at risk?  →  SHAP-to-LLM diagnostic narrative (existing)</w:t>
      </w:r>
    </w:p>
    <w:p>
      <w:pPr>
        <w:pStyle w:val="ListBullet"/>
        <w:spacing w:after="60" w:before="20"/>
      </w:pPr>
      <w:r>
        <w:rPr>
          <w:rFonts w:ascii="Calibri" w:hAnsi="Calibri"/>
          <w:color w:val="1F2937"/>
          <w:sz w:val="22"/>
        </w:rPr>
        <w:t>HOW MUCH does it cost?  →  ELV confidence-weighted Revenue at Risk (existing)</w:t>
      </w:r>
    </w:p>
    <w:p>
      <w:pPr>
        <w:pStyle w:val="ListBullet"/>
        <w:spacing w:after="60" w:before="20"/>
      </w:pPr>
      <w:r>
        <w:rPr>
          <w:rFonts w:ascii="Calibri" w:hAnsi="Calibri"/>
          <w:color w:val="1F2937"/>
          <w:sz w:val="22"/>
        </w:rPr>
        <w:t>WHAT type of exit?  →  Competing-risks voluntary vs involuntary triage (Novel 3 — new)</w:t>
      </w:r>
    </w:p>
    <w:p>
      <w:pPr>
        <w:pStyle w:val="ListBullet"/>
        <w:spacing w:after="60" w:before="20"/>
      </w:pPr>
      <w:r>
        <w:rPr>
          <w:rFonts w:ascii="Calibri" w:hAnsi="Calibri"/>
          <w:color w:val="1F2937"/>
          <w:sz w:val="22"/>
        </w:rPr>
        <w:t>WHAT ACTION has the highest CAUSAL impact?  →  T-Learner ITE uplift estimation (Novel 1 — new)</w:t>
      </w:r>
    </w:p>
    <w:p>
      <w:pPr>
        <w:pStyle w:val="ListBullet"/>
        <w:spacing w:after="60" w:before="20"/>
      </w:pPr>
      <w:r>
        <w:rPr>
          <w:rFonts w:ascii="Calibri" w:hAnsi="Calibri"/>
          <w:color w:val="1F2937"/>
          <w:sz w:val="22"/>
        </w:rPr>
        <w:t>GIVEN WHAT BUDGET, WHICH PORTFOLIO?  →  Knapsack intervention optimizer (Novel 2 — new)</w:t>
      </w:r>
    </w:p>
    <w:p>
      <w:pPr>
        <w:spacing w:after="240" w:before="40"/>
      </w:pPr>
      <w:r>
        <w:rPr>
          <w:rFonts w:ascii="Calibri" w:hAnsi="Calibri"/>
          <w:b w:val="0"/>
          <w:i w:val="0"/>
          <w:color w:val="1F2937"/>
          <w:sz w:val="22"/>
        </w:rPr>
        <w:t>Together, these contributions form a complete, causally-grounded, and operationally deployable autonomous retention intelligence framework that we believe is publishable in Q1 journals including Decision Support Systems, Expert Systems with Applications, and IEEE Transactions on Neural Networks and Learning Systems.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