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0D1B3E"/>
          <w:sz w:val="64"/>
        </w:rPr>
        <w:t>NEXUS AI</w:t>
      </w:r>
    </w:p>
    <w:p>
      <w:pPr>
        <w:spacing w:after="80"/>
        <w:jc w:val="center"/>
      </w:pPr>
      <w:r>
        <w:rPr>
          <w:rFonts w:ascii="Calibri" w:hAnsi="Calibri"/>
          <w:i/>
          <w:color w:val="1A56DB"/>
          <w:sz w:val="30"/>
        </w:rPr>
        <w:t>Autonomous Attrition Prediction &amp; Retention Intelligence Framework</w:t>
      </w:r>
    </w:p>
    <w:p>
      <w:pPr>
        <w:spacing w:after="1200"/>
        <w:jc w:val="center"/>
      </w:pPr>
      <w:r>
        <w:rPr>
          <w:rFonts w:ascii="Calibri" w:hAnsi="Calibri"/>
          <w:color w:val="4B5563"/>
          <w:sz w:val="22"/>
        </w:rPr>
        <w:t>A Multi-Horizon Survival Analysis + Explainable AI + Closed-Loop Multi-Agent System</w:t>
      </w:r>
    </w:p>
    <w:p>
      <w:pPr>
        <w:jc w:val="center"/>
      </w:pPr>
      <w:r>
        <w:rPr>
          <w:rFonts w:ascii="Calibri" w:hAnsi="Calibri"/>
          <w:color w:val="4B5563"/>
          <w:sz w:val="20"/>
        </w:rPr>
        <w:t>Technical Project Documentation  |  Version 2.0  |  August 2026</w:t>
      </w:r>
    </w:p>
    <w:p>
      <w:r>
        <w:br w:type="page"/>
      </w:r>
    </w:p>
    <w:p>
      <w:pPr>
        <w:spacing w:before="360" w:after="160"/>
      </w:pPr>
      <w:r>
        <w:rPr>
          <w:rFonts w:ascii="Calibri" w:hAnsi="Calibri"/>
          <w:b/>
          <w:color w:val="0D1B3E"/>
          <w:sz w:val="40"/>
        </w:rPr>
        <w:t>1. Introduction</w:t>
      </w:r>
    </w:p>
    <w:p>
      <w:pPr>
        <w:spacing w:before="80" w:after="80"/>
        <w:pBdr>
          <w:bottom w:val="single" w:sz="6" w:space="1" w:color="1A56DB"/>
        </w:pBdr>
      </w:pPr>
    </w:p>
    <w:p>
      <w:pPr>
        <w:spacing w:after="120" w:before="40"/>
      </w:pPr>
      <w:r>
        <w:rPr>
          <w:rFonts w:ascii="Calibri" w:hAnsi="Calibri"/>
          <w:b w:val="0"/>
          <w:i w:val="0"/>
          <w:color w:val="1F2937"/>
          <w:sz w:val="22"/>
        </w:rPr>
        <w:t>Employee attrition is one of the most persistent and financially damaging challenges facing modern organisations. According to industry estimates, the fully-loaded cost of replacing a single mid-level employee can range between 50% and 200% of their annual salary when accounting for recruitment, onboarding, productivity loss, and knowledge transfer. For a company with 1,000 employees and a 16% annual attrition rate, this translates into millions of dollars of preventable expenditure each year.</w:t>
      </w:r>
    </w:p>
    <w:p>
      <w:pPr>
        <w:spacing w:after="120" w:before="40"/>
      </w:pPr>
      <w:r>
        <w:rPr>
          <w:rFonts w:ascii="Calibri" w:hAnsi="Calibri"/>
          <w:b w:val="0"/>
          <w:i w:val="0"/>
          <w:color w:val="1F2937"/>
          <w:sz w:val="22"/>
        </w:rPr>
        <w:t>Despite the scale of this problem, most organisations still rely on reactive approaches — conducting exit interviews only after resignation letters have been submitted, by which point the departure decision is virtually irreversible. The few organisations employing predictive analytics have typically deployed binary classification models that answer a single yes/no question ('Will this employee leave?'), without addressing the far more operationally critical questions of when they will leave and how much financial exposure that departure represents.</w:t>
      </w:r>
    </w:p>
    <w:p>
      <w:pPr>
        <w:spacing w:after="120" w:before="40"/>
      </w:pPr>
      <w:r>
        <w:rPr>
          <w:rFonts w:ascii="Calibri" w:hAnsi="Calibri"/>
          <w:b w:val="0"/>
          <w:i w:val="0"/>
          <w:color w:val="1F2937"/>
          <w:sz w:val="22"/>
        </w:rPr>
        <w:t>Nexus AI was designed to close this gap. It is a fully integrated, production-grade Autonomous Attrition Prediction and Retention Intelligence Framework that combines four tiers of technical novelty — multi-horizon survival analysis, economic risk triage, explainable AI diagnostics, and a closed-loop autonomous multi-agent retention system — into a single deployable platform backed by a FastAPI server, React-based interactive dashboard, and real-time Swagger API documentation.</w:t>
      </w:r>
    </w:p>
    <w:p>
      <w:pPr>
        <w:spacing w:before="200" w:after="160"/>
      </w:pPr>
      <w:r>
        <w:rPr>
          <w:b/>
          <w:color w:val="1A56DB"/>
          <w:sz w:val="32"/>
        </w:rPr>
        <w:t>1.1 Research Gap Addressed</w:t>
      </w:r>
    </w:p>
    <w:p>
      <w:pPr>
        <w:spacing w:after="120" w:before="40"/>
      </w:pPr>
      <w:r>
        <w:rPr>
          <w:rFonts w:ascii="Calibri" w:hAnsi="Calibri"/>
          <w:b w:val="0"/>
          <w:i w:val="0"/>
          <w:color w:val="1F2937"/>
          <w:sz w:val="22"/>
        </w:rPr>
        <w:t>A comprehensive review of 31 research papers in the domain of employee attrition, churn prediction, and survival analysis revealed the following recurring limitations in the state-of-the-art:</w:t>
      </w:r>
    </w:p>
    <w:p>
      <w:pPr>
        <w:pStyle w:val="ListBullet"/>
        <w:spacing w:after="60" w:before="20"/>
      </w:pPr>
      <w:r>
        <w:rPr>
          <w:rFonts w:ascii="Calibri" w:hAnsi="Calibri"/>
          <w:color w:val="1F2937"/>
          <w:sz w:val="22"/>
        </w:rPr>
        <w:t>Binary-only framing: Papers 2, 3, 5, 9, 12, 21, 22, 24 all treat attrition as a static yes/no label, losing all temporal dynamics.</w:t>
      </w:r>
    </w:p>
    <w:p>
      <w:pPr>
        <w:pStyle w:val="ListBullet"/>
        <w:spacing w:after="60" w:before="20"/>
      </w:pPr>
      <w:r>
        <w:rPr>
          <w:rFonts w:ascii="Calibri" w:hAnsi="Calibri"/>
          <w:color w:val="1F2937"/>
          <w:sz w:val="22"/>
        </w:rPr>
        <w:t>No financial quantification: None of the surveyed papers translate predicted churn probability into a monetary impact figure that HR or finance leadership could act upon directly.</w:t>
      </w:r>
    </w:p>
    <w:p>
      <w:pPr>
        <w:pStyle w:val="ListBullet"/>
        <w:spacing w:after="60" w:before="20"/>
      </w:pPr>
      <w:r>
        <w:rPr>
          <w:rFonts w:ascii="Calibri" w:hAnsi="Calibri"/>
          <w:color w:val="1F2937"/>
          <w:sz w:val="22"/>
        </w:rPr>
        <w:t>Absence of autonomous intervention: Papers 30, 31 include XAI but stop at explanation — no system autonomously selects and learns from retention interventions.</w:t>
      </w:r>
    </w:p>
    <w:p>
      <w:pPr>
        <w:pStyle w:val="ListBullet"/>
        <w:spacing w:after="60" w:before="20"/>
      </w:pPr>
      <w:r>
        <w:rPr>
          <w:rFonts w:ascii="Calibri" w:hAnsi="Calibri"/>
          <w:color w:val="1F2937"/>
          <w:sz w:val="22"/>
        </w:rPr>
        <w:t>Single-model benchmarking: Papers 8, 10, 23, 25 use survival analysis but fit only one model (Cox PH or RSF), missing the ensemble calibration advantage.</w:t>
      </w:r>
    </w:p>
    <w:p>
      <w:pPr>
        <w:pStyle w:val="ListBullet"/>
        <w:spacing w:after="60" w:before="20"/>
      </w:pPr>
      <w:r>
        <w:rPr>
          <w:rFonts w:ascii="Calibri" w:hAnsi="Calibri"/>
          <w:color w:val="1F2937"/>
          <w:sz w:val="22"/>
        </w:rPr>
        <w:t>No closed-loop learning: Even the most advanced reviewed systems (Papers 7, 11, 13, 19) do not feed real-world intervention outcomes back into the decision-making model.</w:t>
      </w:r>
    </w:p>
    <w:p>
      <w:pPr>
        <w:spacing w:after="160" w:before="40"/>
      </w:pPr>
      <w:r>
        <w:rPr>
          <w:rFonts w:ascii="Calibri" w:hAnsi="Calibri"/>
          <w:b w:val="0"/>
          <w:i w:val="0"/>
          <w:color w:val="1F2937"/>
          <w:sz w:val="22"/>
        </w:rPr>
        <w:t>Nexus AI directly addresses every one of these gaps through its four core novelties, described in detail in Section 3.</w:t>
      </w:r>
    </w:p>
    <w:p>
      <w:r>
        <w:br w:type="page"/>
      </w:r>
    </w:p>
    <w:p>
      <w:pPr>
        <w:spacing w:before="360" w:after="160"/>
      </w:pPr>
      <w:r>
        <w:rPr>
          <w:rFonts w:ascii="Calibri" w:hAnsi="Calibri"/>
          <w:b/>
          <w:color w:val="0D1B3E"/>
          <w:sz w:val="40"/>
        </w:rPr>
        <w:t>2. Research Foundation &amp; Literature Review</w:t>
      </w:r>
    </w:p>
    <w:p>
      <w:pPr>
        <w:spacing w:before="80" w:after="80"/>
        <w:pBdr>
          <w:bottom w:val="single" w:sz="6" w:space="1" w:color="1A56DB"/>
        </w:pBdr>
      </w:pPr>
    </w:p>
    <w:p>
      <w:pPr>
        <w:spacing w:after="120" w:before="40"/>
      </w:pPr>
      <w:r>
        <w:rPr>
          <w:rFonts w:ascii="Calibri" w:hAnsi="Calibri"/>
          <w:b w:val="0"/>
          <w:i w:val="0"/>
          <w:color w:val="1F2937"/>
          <w:sz w:val="22"/>
        </w:rPr>
        <w:t>The Nexus AI framework was developed with direct reference to 31 peer-reviewed research papers spanning employee attrition, customer churn prediction, survival analysis, explainable AI, and federated learning. The table below summarises the most technically influential contributions and their role in informing this system's architecture.</w:t>
      </w:r>
    </w:p>
    <w:tbl>
      <w:tblPr>
        <w:tblStyle w:val="TableGrid"/>
        <w:tblW w:type="auto" w:w="0"/>
        <w:jc w:val="center"/>
        <w:tblLook w:firstColumn="1" w:firstRow="1" w:lastColumn="0" w:lastRow="0" w:noHBand="0" w:noVBand="1" w:val="04A0"/>
      </w:tblPr>
      <w:tblGrid>
        <w:gridCol w:w="3024"/>
        <w:gridCol w:w="3024"/>
        <w:gridCol w:w="3024"/>
      </w:tblGrid>
      <w:tr>
        <w:tc>
          <w:tcPr>
            <w:tcW w:type="dxa" w:w="2736"/>
            <w:shd w:val="clear" w:color="auto" w:fill="0D1B3E"/>
          </w:tcPr>
          <w:p>
            <w:r>
              <w:rPr>
                <w:rFonts w:ascii="Calibri" w:hAnsi="Calibri"/>
                <w:b/>
                <w:color w:val="FFFFFF"/>
                <w:sz w:val="20"/>
              </w:rPr>
              <w:t>Paper / Authors</w:t>
            </w:r>
          </w:p>
        </w:tc>
        <w:tc>
          <w:tcPr>
            <w:tcW w:type="dxa" w:w="3600"/>
            <w:shd w:val="clear" w:color="auto" w:fill="0D1B3E"/>
          </w:tcPr>
          <w:p>
            <w:r>
              <w:rPr>
                <w:rFonts w:ascii="Calibri" w:hAnsi="Calibri"/>
                <w:b/>
                <w:color w:val="FFFFFF"/>
                <w:sz w:val="20"/>
              </w:rPr>
              <w:t>Core Contribution</w:t>
            </w:r>
          </w:p>
        </w:tc>
        <w:tc>
          <w:tcPr>
            <w:tcW w:type="dxa" w:w="3312"/>
            <w:shd w:val="clear" w:color="auto" w:fill="0D1B3E"/>
          </w:tcPr>
          <w:p>
            <w:r>
              <w:rPr>
                <w:rFonts w:ascii="Calibri" w:hAnsi="Calibri"/>
                <w:b/>
                <w:color w:val="FFFFFF"/>
                <w:sz w:val="20"/>
              </w:rPr>
              <w:t>Nexus AI Relationship</w:t>
            </w:r>
          </w:p>
        </w:tc>
      </w:tr>
      <w:tr>
        <w:tc>
          <w:tcPr>
            <w:tcW w:type="dxa" w:w="2736"/>
          </w:tcPr>
          <w:p>
            <w:r>
              <w:rPr>
                <w:rFonts w:ascii="Calibri" w:hAnsi="Calibri"/>
                <w:color w:val="1F2937"/>
                <w:sz w:val="18"/>
              </w:rPr>
              <w:t>Ahmad &amp; Khalid (Paper 8)</w:t>
              <w:br/>
              <w:t>Kaplan-Meier &amp; Cox PH Survival Analysis</w:t>
            </w:r>
          </w:p>
        </w:tc>
        <w:tc>
          <w:tcPr>
            <w:tcW w:type="dxa" w:w="3600"/>
          </w:tcPr>
          <w:p>
            <w:r>
              <w:rPr>
                <w:rFonts w:ascii="Calibri" w:hAnsi="Calibri"/>
                <w:color w:val="1F2937"/>
                <w:sz w:val="18"/>
              </w:rPr>
              <w:t>Applied classical survival analysis to track employee tenure and hazard rates, establishing survival modeling as the right framework for 'when will they leave' questions.</w:t>
            </w:r>
          </w:p>
        </w:tc>
        <w:tc>
          <w:tcPr>
            <w:tcW w:type="dxa" w:w="3312"/>
          </w:tcPr>
          <w:p>
            <w:r>
              <w:rPr>
                <w:rFonts w:ascii="Calibri" w:hAnsi="Calibri"/>
                <w:color w:val="1F2937"/>
                <w:sz w:val="18"/>
              </w:rPr>
              <w:t>Nexus adopts Cox PH as one of two ensemble components; extends it with non-parametric RSF and a self-calibrating weighting layer.</w:t>
            </w:r>
          </w:p>
        </w:tc>
      </w:tr>
      <w:tr>
        <w:tc>
          <w:tcPr>
            <w:tcW w:type="dxa" w:w="2736"/>
          </w:tcPr>
          <w:p>
            <w:r>
              <w:rPr>
                <w:rFonts w:ascii="Calibri" w:hAnsi="Calibri"/>
                <w:color w:val="1F2937"/>
                <w:sz w:val="18"/>
              </w:rPr>
              <w:t>Sari, Kurniawan &amp; Ana (Paper 10)</w:t>
              <w:br/>
              <w:t>Cox Proportional Hazard Regression</w:t>
            </w:r>
          </w:p>
        </w:tc>
        <w:tc>
          <w:tcPr>
            <w:tcW w:type="dxa" w:w="3600"/>
          </w:tcPr>
          <w:p>
            <w:r>
              <w:rPr>
                <w:rFonts w:ascii="Calibri" w:hAnsi="Calibri"/>
                <w:color w:val="1F2937"/>
                <w:sz w:val="18"/>
              </w:rPr>
              <w:t>Demonstrates semiparametric Cox regression for time-to-resignation probability estimation, quantifying covariate hazard ratios.</w:t>
            </w:r>
          </w:p>
        </w:tc>
        <w:tc>
          <w:tcPr>
            <w:tcW w:type="dxa" w:w="3312"/>
          </w:tcPr>
          <w:p>
            <w:r>
              <w:rPr>
                <w:rFonts w:ascii="Calibri" w:hAnsi="Calibri"/>
                <w:color w:val="1F2937"/>
                <w:sz w:val="18"/>
              </w:rPr>
              <w:t>Directly informed the Cox PH implementation in models/survival_models.py and hazard ratio reporting in the Model Performance tab.</w:t>
            </w:r>
          </w:p>
        </w:tc>
      </w:tr>
      <w:tr>
        <w:tc>
          <w:tcPr>
            <w:tcW w:type="dxa" w:w="2736"/>
          </w:tcPr>
          <w:p>
            <w:r>
              <w:rPr>
                <w:rFonts w:ascii="Calibri" w:hAnsi="Calibri"/>
                <w:color w:val="1F2937"/>
                <w:sz w:val="18"/>
              </w:rPr>
              <w:t>de Ruijt &amp; Kobayashi (Paper 16)</w:t>
              <w:br/>
              <w:t>Machine-Learned Survival Models (RSF, DeepSurv)</w:t>
            </w:r>
          </w:p>
        </w:tc>
        <w:tc>
          <w:tcPr>
            <w:tcW w:type="dxa" w:w="3600"/>
          </w:tcPr>
          <w:p>
            <w:r>
              <w:rPr>
                <w:rFonts w:ascii="Calibri" w:hAnsi="Calibri"/>
                <w:color w:val="1F2937"/>
                <w:sz w:val="18"/>
              </w:rPr>
              <w:t>Benchmarks Random Survival Forests against DeepSurv for tenure prediction, showing RSF's superior non-linear feature handling.</w:t>
            </w:r>
          </w:p>
        </w:tc>
        <w:tc>
          <w:tcPr>
            <w:tcW w:type="dxa" w:w="3312"/>
          </w:tcPr>
          <w:p>
            <w:r>
              <w:rPr>
                <w:rFonts w:ascii="Calibri" w:hAnsi="Calibri"/>
                <w:color w:val="1F2937"/>
                <w:sz w:val="18"/>
              </w:rPr>
              <w:t>Nexus integrates RSF as the second ensemble arm in its weighted survival ensemble, with randomized hyperparameter tuning.</w:t>
            </w:r>
          </w:p>
        </w:tc>
      </w:tr>
      <w:tr>
        <w:tc>
          <w:tcPr>
            <w:tcW w:type="dxa" w:w="2736"/>
          </w:tcPr>
          <w:p>
            <w:r>
              <w:rPr>
                <w:rFonts w:ascii="Calibri" w:hAnsi="Calibri"/>
                <w:color w:val="1F2937"/>
                <w:sz w:val="18"/>
              </w:rPr>
              <w:t>AL-Ali et al. (Paper 30)</w:t>
              <w:br/>
              <w:t>ML + XAI (SHAP, LIME) for Attrition Prediction</w:t>
            </w:r>
          </w:p>
        </w:tc>
        <w:tc>
          <w:tcPr>
            <w:tcW w:type="dxa" w:w="3600"/>
          </w:tcPr>
          <w:p>
            <w:r>
              <w:rPr>
                <w:rFonts w:ascii="Calibri" w:hAnsi="Calibri"/>
                <w:color w:val="1F2937"/>
                <w:sz w:val="18"/>
              </w:rPr>
              <w:t>Integrates SHAP and LIME into attrition prediction pipelines to provide transparent, interpretable risk scores for HR decision-making.</w:t>
            </w:r>
          </w:p>
        </w:tc>
        <w:tc>
          <w:tcPr>
            <w:tcW w:type="dxa" w:w="3312"/>
          </w:tcPr>
          <w:p>
            <w:r>
              <w:rPr>
                <w:rFonts w:ascii="Calibri" w:hAnsi="Calibri"/>
                <w:color w:val="1F2937"/>
                <w:sz w:val="18"/>
              </w:rPr>
              <w:t>Directly motivated Nexus Novelty 3: the SHAP-to-LLM Diagnostic Pipeline (models/explainability.py + agents/diagnostic.py).</w:t>
            </w:r>
          </w:p>
        </w:tc>
      </w:tr>
      <w:tr>
        <w:tc>
          <w:tcPr>
            <w:tcW w:type="dxa" w:w="2736"/>
          </w:tcPr>
          <w:p>
            <w:r>
              <w:rPr>
                <w:rFonts w:ascii="Calibri" w:hAnsi="Calibri"/>
                <w:color w:val="1F2937"/>
                <w:sz w:val="18"/>
              </w:rPr>
              <w:t>Saparia (Paper 23)</w:t>
              <w:br/>
              <w:t>ML Classification + Survival Analysis Combined</w:t>
            </w:r>
          </w:p>
        </w:tc>
        <w:tc>
          <w:tcPr>
            <w:tcW w:type="dxa" w:w="3600"/>
          </w:tcPr>
          <w:p>
            <w:r>
              <w:rPr>
                <w:rFonts w:ascii="Calibri" w:hAnsi="Calibri"/>
                <w:color w:val="1F2937"/>
                <w:sz w:val="18"/>
              </w:rPr>
              <w:t>Combines binary classification ('will leave') with survival models ('when they leave') for holistic attrition forecasting.</w:t>
            </w:r>
          </w:p>
        </w:tc>
        <w:tc>
          <w:tcPr>
            <w:tcW w:type="dxa" w:w="3312"/>
          </w:tcPr>
          <w:p>
            <w:r>
              <w:rPr>
                <w:rFonts w:ascii="Calibri" w:hAnsi="Calibri"/>
                <w:color w:val="1F2937"/>
                <w:sz w:val="18"/>
              </w:rPr>
              <w:t>Nexus fulfills both dimensions: multi-horizon churn curves (S(t) at 30/60/90 days) from survival models and financial triage scoring.</w:t>
            </w:r>
          </w:p>
        </w:tc>
      </w:tr>
      <w:tr>
        <w:tc>
          <w:tcPr>
            <w:tcW w:type="dxa" w:w="2736"/>
          </w:tcPr>
          <w:p>
            <w:r>
              <w:rPr>
                <w:rFonts w:ascii="Calibri" w:hAnsi="Calibri"/>
                <w:color w:val="1F2937"/>
                <w:sz w:val="18"/>
              </w:rPr>
              <w:t>Buyuktanir et al. (Paper 28)</w:t>
              <w:br/>
              <w:t>Federated Learning for Privacy-Preserving HR Analytics</w:t>
            </w:r>
          </w:p>
        </w:tc>
        <w:tc>
          <w:tcPr>
            <w:tcW w:type="dxa" w:w="3600"/>
          </w:tcPr>
          <w:p>
            <w:r>
              <w:rPr>
                <w:rFonts w:ascii="Calibri" w:hAnsi="Calibri"/>
                <w:color w:val="1F2937"/>
                <w:sz w:val="18"/>
              </w:rPr>
              <w:t>Introduces federated multi-organisation HR collaboration with associative classification, addressing privacy in HR data sharing.</w:t>
            </w:r>
          </w:p>
        </w:tc>
        <w:tc>
          <w:tcPr>
            <w:tcW w:type="dxa" w:w="3312"/>
          </w:tcPr>
          <w:p>
            <w:r>
              <w:rPr>
                <w:rFonts w:ascii="Calibri" w:hAnsi="Calibri"/>
                <w:color w:val="1F2937"/>
                <w:sz w:val="18"/>
              </w:rPr>
              <w:t>Informed the modular backend architecture enabling future federation; privacy-by-design in data handling.</w:t>
            </w:r>
          </w:p>
        </w:tc>
      </w:tr>
      <w:tr>
        <w:tc>
          <w:tcPr>
            <w:tcW w:type="dxa" w:w="2736"/>
          </w:tcPr>
          <w:p>
            <w:r>
              <w:rPr>
                <w:rFonts w:ascii="Calibri" w:hAnsi="Calibri"/>
                <w:color w:val="1F2937"/>
                <w:sz w:val="18"/>
              </w:rPr>
              <w:t>Swamy &amp; Adarsh (Paper 19)</w:t>
              <w:br/>
              <w:t>HDLF: DNN + LSTM Hybrid Framework</w:t>
            </w:r>
          </w:p>
        </w:tc>
        <w:tc>
          <w:tcPr>
            <w:tcW w:type="dxa" w:w="3600"/>
          </w:tcPr>
          <w:p>
            <w:r>
              <w:rPr>
                <w:rFonts w:ascii="Calibri" w:hAnsi="Calibri"/>
                <w:color w:val="1F2937"/>
                <w:sz w:val="18"/>
              </w:rPr>
              <w:t>Proposes hybrid static-demographic + temporal-performance processing for workforce sustainability prediction.</w:t>
            </w:r>
          </w:p>
        </w:tc>
        <w:tc>
          <w:tcPr>
            <w:tcW w:type="dxa" w:w="3312"/>
          </w:tcPr>
          <w:p>
            <w:r>
              <w:rPr>
                <w:rFonts w:ascii="Calibri" w:hAnsi="Calibri"/>
                <w:color w:val="1F2937"/>
                <w:sz w:val="18"/>
              </w:rPr>
              <w:t>Contrasted with Nexus survival approach; LSTM's temporal advantage partially addressed by Nexus survival curves capturing time dynamics.</w:t>
            </w:r>
          </w:p>
        </w:tc>
      </w:tr>
      <w:tr>
        <w:tc>
          <w:tcPr>
            <w:tcW w:type="dxa" w:w="2736"/>
          </w:tcPr>
          <w:p>
            <w:r>
              <w:rPr>
                <w:rFonts w:ascii="Calibri" w:hAnsi="Calibri"/>
                <w:color w:val="1F2937"/>
                <w:sz w:val="18"/>
              </w:rPr>
              <w:t>Folorunso et al. (Paper 25)</w:t>
              <w:br/>
              <w:t>AI + Survival Analysis for Employee Retention</w:t>
            </w:r>
          </w:p>
        </w:tc>
        <w:tc>
          <w:tcPr>
            <w:tcW w:type="dxa" w:w="3600"/>
          </w:tcPr>
          <w:p>
            <w:r>
              <w:rPr>
                <w:rFonts w:ascii="Calibri" w:hAnsi="Calibri"/>
                <w:color w:val="1F2937"/>
                <w:sz w:val="18"/>
              </w:rPr>
              <w:t>Integrates AI classification with survival functions to project long-term retention dynamics and employee tenure distributions.</w:t>
            </w:r>
          </w:p>
        </w:tc>
        <w:tc>
          <w:tcPr>
            <w:tcW w:type="dxa" w:w="3312"/>
          </w:tcPr>
          <w:p>
            <w:r>
              <w:rPr>
                <w:rFonts w:ascii="Calibri" w:hAnsi="Calibri"/>
                <w:color w:val="1F2937"/>
                <w:sz w:val="18"/>
              </w:rPr>
              <w:t>Most closely aligned with Nexus architecture; Nexus extends this with ELV financial monetization, LLM diagnostics, and autonomous agent pipeline.</w:t>
            </w:r>
          </w:p>
        </w:tc>
      </w:tr>
      <w:tr>
        <w:tc>
          <w:tcPr>
            <w:tcW w:type="dxa" w:w="2736"/>
          </w:tcPr>
          <w:p>
            <w:r>
              <w:rPr>
                <w:rFonts w:ascii="Calibri" w:hAnsi="Calibri"/>
                <w:color w:val="1F2937"/>
                <w:sz w:val="18"/>
              </w:rPr>
              <w:t>Regasse &amp; Venier (Paper 2)</w:t>
              <w:br/>
              <w:t>Empirical ML for Employee Turnover</w:t>
            </w:r>
          </w:p>
        </w:tc>
        <w:tc>
          <w:tcPr>
            <w:tcW w:type="dxa" w:w="3600"/>
          </w:tcPr>
          <w:p>
            <w:r>
              <w:rPr>
                <w:rFonts w:ascii="Calibri" w:hAnsi="Calibri"/>
                <w:color w:val="1F2937"/>
                <w:sz w:val="18"/>
              </w:rPr>
              <w:t>Identifies salary, overtime, and job satisfaction as primary drivers via Decision Tree, Random Forest, and Logistic Regression.</w:t>
            </w:r>
          </w:p>
        </w:tc>
        <w:tc>
          <w:tcPr>
            <w:tcW w:type="dxa" w:w="3312"/>
          </w:tcPr>
          <w:p>
            <w:r>
              <w:rPr>
                <w:rFonts w:ascii="Calibri" w:hAnsi="Calibri"/>
                <w:color w:val="1F2937"/>
                <w:sz w:val="18"/>
              </w:rPr>
              <w:t>Validated the key feature set encoded in Nexus's 10-dimensional context vector for the LinUCB Contextual Bandit strategist.</w:t>
            </w:r>
          </w:p>
        </w:tc>
      </w:tr>
      <w:tr>
        <w:tc>
          <w:tcPr>
            <w:tcW w:type="dxa" w:w="2736"/>
          </w:tcPr>
          <w:p>
            <w:r>
              <w:rPr>
                <w:rFonts w:ascii="Calibri" w:hAnsi="Calibri"/>
                <w:color w:val="1F2937"/>
                <w:sz w:val="18"/>
              </w:rPr>
              <w:t>Varkiani et al. (Paper 26)</w:t>
              <w:br/>
              <w:t>Predicting Attrition + Explaining Determinants via XAI</w:t>
            </w:r>
          </w:p>
        </w:tc>
        <w:tc>
          <w:tcPr>
            <w:tcW w:type="dxa" w:w="3600"/>
          </w:tcPr>
          <w:p>
            <w:r>
              <w:rPr>
                <w:rFonts w:ascii="Calibri" w:hAnsi="Calibri"/>
                <w:color w:val="1F2937"/>
                <w:sz w:val="18"/>
              </w:rPr>
              <w:t>Combines predictive ML with Explainable AI to reveal actionable causal drivers for HR policy, bridging prediction and decision-making.</w:t>
            </w:r>
          </w:p>
        </w:tc>
        <w:tc>
          <w:tcPr>
            <w:tcW w:type="dxa" w:w="3312"/>
          </w:tcPr>
          <w:p>
            <w:r>
              <w:rPr>
                <w:rFonts w:ascii="Calibri" w:hAnsi="Calibri"/>
                <w:color w:val="1F2937"/>
                <w:sz w:val="18"/>
              </w:rPr>
              <w:t>Direct inspiration for the SHAP-to-LLM diagnostic narrative system and the Manager Action Card generated by the Executor Agent.</w:t>
            </w:r>
          </w:p>
        </w:tc>
      </w:tr>
    </w:tbl>
    <w:p>
      <w:r>
        <w:br w:type="page"/>
      </w:r>
    </w:p>
    <w:p>
      <w:pPr>
        <w:spacing w:before="360" w:after="160"/>
      </w:pPr>
      <w:r>
        <w:rPr>
          <w:rFonts w:ascii="Calibri" w:hAnsi="Calibri"/>
          <w:b/>
          <w:color w:val="0D1B3E"/>
          <w:sz w:val="40"/>
        </w:rPr>
        <w:t>3. Core Technical Novelties</w:t>
      </w:r>
    </w:p>
    <w:p>
      <w:pPr>
        <w:spacing w:before="80" w:after="80"/>
        <w:pBdr>
          <w:bottom w:val="single" w:sz="6" w:space="1" w:color="1A56DB"/>
        </w:pBdr>
      </w:pPr>
    </w:p>
    <w:p>
      <w:pPr>
        <w:spacing w:after="120" w:before="40"/>
      </w:pPr>
      <w:r>
        <w:rPr>
          <w:rFonts w:ascii="Calibri" w:hAnsi="Calibri"/>
          <w:b w:val="0"/>
          <w:i w:val="0"/>
          <w:color w:val="1F2937"/>
          <w:sz w:val="22"/>
        </w:rPr>
        <w:t>Nexus AI introduces four distinct, stackable technical novelties that together form a system with no direct equivalent in the published research literature. Each novelty layer is evaluated independently in the Section 10 Ablation Study (Section 6) to demonstrate its measurable incremental contribution to both predictive and financial performance.</w:t>
      </w:r>
    </w:p>
    <w:p>
      <w:pPr>
        <w:spacing w:before="240" w:after="160"/>
      </w:pPr>
      <w:r>
        <w:rPr>
          <w:b/>
          <w:color w:val="1A56DB"/>
          <w:sz w:val="32"/>
        </w:rPr>
        <w:t>Novelty 1: Self-Calibrating Cox PH + RSF Weighted Survival Ensemble</w:t>
      </w:r>
    </w:p>
    <w:p>
      <w:pPr>
        <w:spacing w:after="120" w:before="40"/>
      </w:pPr>
      <w:r>
        <w:rPr>
          <w:rFonts w:ascii="Calibri" w:hAnsi="Calibri"/>
          <w:b w:val="0"/>
          <w:i w:val="0"/>
          <w:color w:val="1F2937"/>
          <w:sz w:val="22"/>
        </w:rPr>
        <w:t>Prior work (Papers 8, 10, 23) applies Cox Proportional Hazards or Random Survival Forests individually. Nexus trains both simultaneously on an 80/20 stratified split and combines them into a dynamically-weighted ensemble whose blend coefficients are automatically calibrated based on held-out test Concordance Index (C-index):</w:t>
      </w:r>
    </w:p>
    <w:p>
      <w:pPr>
        <w:spacing w:after="120" w:before="40"/>
      </w:pPr>
      <w:r>
        <w:rPr>
          <w:rFonts w:ascii="Calibri" w:hAnsi="Calibri"/>
          <w:b/>
          <w:i w:val="0"/>
          <w:color w:val="1F2937"/>
          <w:sz w:val="22"/>
        </w:rPr>
        <w:t xml:space="preserve">    S_ensemble(t) = w_Cox × S_Cox(t) + w_RSF × S_RSF(t)</w:t>
      </w:r>
    </w:p>
    <w:p>
      <w:pPr>
        <w:spacing w:after="120" w:before="40"/>
      </w:pPr>
      <w:r>
        <w:rPr>
          <w:rFonts w:ascii="Calibri" w:hAnsi="Calibri"/>
          <w:b w:val="0"/>
          <w:i w:val="0"/>
          <w:color w:val="1F2937"/>
          <w:sz w:val="22"/>
        </w:rPr>
        <w:t>where the weights are computed as w_a = (C_a - 0.5) / Σ(C_a - 0.5), ensuring that the model with superior discrimination always contributes more to the ensemble. This eliminates manual weight-tuning and adapts to dataset characteristics automatically.</w:t>
      </w:r>
    </w:p>
    <w:p>
      <w:pPr>
        <w:spacing w:after="120" w:before="40"/>
      </w:pPr>
      <w:r>
        <w:rPr>
          <w:rFonts w:ascii="Calibri" w:hAnsi="Calibri"/>
          <w:b w:val="0"/>
          <w:i w:val="0"/>
          <w:color w:val="1F2937"/>
          <w:sz w:val="22"/>
        </w:rPr>
        <w:t>From the ensemble, three clinically actionable multi-horizon churn curves are derived:</w:t>
      </w:r>
    </w:p>
    <w:p>
      <w:pPr>
        <w:pStyle w:val="ListBullet"/>
        <w:spacing w:after="60" w:before="20"/>
      </w:pPr>
      <w:r>
        <w:rPr>
          <w:rFonts w:ascii="Calibri" w:hAnsi="Calibri"/>
          <w:color w:val="1F2937"/>
          <w:sz w:val="22"/>
        </w:rPr>
        <w:t>P(departure | t ≤ 30 days) — Immediate flight risk indicator</w:t>
      </w:r>
    </w:p>
    <w:p>
      <w:pPr>
        <w:pStyle w:val="ListBullet"/>
        <w:spacing w:after="60" w:before="20"/>
      </w:pPr>
      <w:r>
        <w:rPr>
          <w:rFonts w:ascii="Calibri" w:hAnsi="Calibri"/>
          <w:color w:val="1F2937"/>
          <w:sz w:val="22"/>
        </w:rPr>
        <w:t>P(departure | t ≤ 60 days) — Mid-term risk for resource planning</w:t>
      </w:r>
    </w:p>
    <w:p>
      <w:pPr>
        <w:pStyle w:val="ListBullet"/>
        <w:spacing w:after="60" w:before="20"/>
      </w:pPr>
      <w:r>
        <w:rPr>
          <w:rFonts w:ascii="Calibri" w:hAnsi="Calibri"/>
          <w:color w:val="1F2937"/>
          <w:sz w:val="22"/>
        </w:rPr>
        <w:t>P(departure | t ≤ 90 days) — Primary risk window for retention budget allocation</w:t>
      </w:r>
    </w:p>
    <w:p>
      <w:pPr>
        <w:spacing w:after="120" w:before="40"/>
      </w:pPr>
      <w:r>
        <w:rPr>
          <w:rFonts w:ascii="Calibri" w:hAnsi="Calibri"/>
          <w:b w:val="0"/>
          <w:i w:val="0"/>
          <w:color w:val="1F2937"/>
          <w:sz w:val="22"/>
        </w:rPr>
        <w:t>RSF hyperparameters are selected via a randomized grid search over 5 candidate configurations on a 75/25 internal validation split of the training data. Cross-validation uses a 5-fold stratified scheme on both Cox PH and RSF independently, reporting fold-wise C-index distribution and standard deviation.</w:t>
      </w:r>
    </w:p>
    <w:p>
      <w:pPr>
        <w:spacing w:before="240" w:after="160"/>
      </w:pPr>
      <w:r>
        <w:rPr>
          <w:b/>
          <w:color w:val="1A56DB"/>
          <w:sz w:val="32"/>
        </w:rPr>
        <w:t>Novelty 2: Employee Lifetime Value (ELV) Confidence-Weighted Revenue at Risk Engine</w:t>
      </w:r>
    </w:p>
    <w:p>
      <w:pPr>
        <w:spacing w:after="120" w:before="40"/>
      </w:pPr>
      <w:r>
        <w:rPr>
          <w:rFonts w:ascii="Calibri" w:hAnsi="Calibri"/>
          <w:b w:val="0"/>
          <w:i w:val="0"/>
          <w:color w:val="1F2937"/>
          <w:sz w:val="22"/>
        </w:rPr>
        <w:t>Transforming a probability score into a financial priority ranking is Nexus's most operationally impactful novelty. No reviewed paper provides a monetary-exposure-based HR intervention triage mechanism.</w:t>
      </w:r>
    </w:p>
    <w:p>
      <w:pPr>
        <w:spacing w:after="120" w:before="40"/>
      </w:pPr>
      <w:r>
        <w:rPr>
          <w:rFonts w:ascii="Calibri" w:hAnsi="Calibri"/>
          <w:b w:val="0"/>
          <w:i w:val="0"/>
          <w:color w:val="1F2937"/>
          <w:sz w:val="22"/>
        </w:rPr>
        <w:t>The ELV formula is defined as:</w:t>
      </w:r>
    </w:p>
    <w:p>
      <w:pPr>
        <w:spacing w:after="120" w:before="40"/>
      </w:pPr>
      <w:r>
        <w:rPr>
          <w:rFonts w:ascii="Calibri" w:hAnsi="Calibri"/>
          <w:b/>
          <w:i w:val="0"/>
          <w:color w:val="1F2937"/>
          <w:sz w:val="22"/>
        </w:rPr>
        <w:t xml:space="preserve">    ELV = Monthly Income × 3 × (Remaining Career Months / 12)</w:t>
      </w:r>
    </w:p>
    <w:p>
      <w:pPr>
        <w:spacing w:after="120" w:before="40"/>
      </w:pPr>
      <w:r>
        <w:rPr>
          <w:rFonts w:ascii="Calibri" w:hAnsi="Calibri"/>
          <w:b w:val="0"/>
          <w:i w:val="0"/>
          <w:color w:val="1F2937"/>
          <w:sz w:val="22"/>
        </w:rPr>
        <w:t>where Remaining Career Months is derived from the model's predicted median survival time (ensemble-averaged across Cox PH and RSF). The factor of 3 approximates total compensated cost including benefits, training, and productivity overhead.</w:t>
      </w:r>
    </w:p>
    <w:p>
      <w:pPr>
        <w:spacing w:after="120" w:before="40"/>
      </w:pPr>
      <w:r>
        <w:rPr>
          <w:rFonts w:ascii="Calibri" w:hAnsi="Calibri"/>
          <w:b w:val="0"/>
          <w:i w:val="0"/>
          <w:color w:val="1F2937"/>
          <w:sz w:val="22"/>
        </w:rPr>
        <w:t>A novel Confidence-Weighted Revenue at Risk formula was developed to prevent low-signal employees from inflating total exposure:</w:t>
      </w:r>
    </w:p>
    <w:p>
      <w:pPr>
        <w:spacing w:after="120" w:before="40"/>
      </w:pPr>
      <w:r>
        <w:rPr>
          <w:rFonts w:ascii="Calibri" w:hAnsi="Calibri"/>
          <w:b/>
          <w:i w:val="0"/>
          <w:color w:val="1F2937"/>
          <w:sz w:val="22"/>
        </w:rPr>
        <w:t xml:space="preserve">    Revenue at Risk = ELV × P(churn_90d) × confidence_weight</w:t>
      </w:r>
    </w:p>
    <w:p>
      <w:pPr>
        <w:spacing w:after="120" w:before="40"/>
      </w:pPr>
      <w:r>
        <w:rPr>
          <w:rFonts w:ascii="Calibri" w:hAnsi="Calibri"/>
          <w:b w:val="0"/>
          <w:i w:val="0"/>
          <w:color w:val="1F2937"/>
          <w:sz w:val="22"/>
        </w:rPr>
        <w:t>where the confidence weight is assigned by probability band: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1B3E"/>
          </w:tcPr>
          <w:p>
            <w:r>
              <w:rPr>
                <w:rFonts w:ascii="Calibri" w:hAnsi="Calibri"/>
                <w:b/>
                <w:color w:val="FFFFFF"/>
                <w:sz w:val="20"/>
              </w:rPr>
              <w:t>Churn Probability Band</w:t>
            </w:r>
          </w:p>
        </w:tc>
        <w:tc>
          <w:tcPr>
            <w:tcW w:type="dxa" w:w="3024"/>
            <w:shd w:val="clear" w:color="auto" w:fill="0D1B3E"/>
          </w:tcPr>
          <w:p>
            <w:r>
              <w:rPr>
                <w:rFonts w:ascii="Calibri" w:hAnsi="Calibri"/>
                <w:b/>
                <w:color w:val="FFFFFF"/>
                <w:sz w:val="20"/>
              </w:rPr>
              <w:t>Confidence Weight</w:t>
            </w:r>
          </w:p>
        </w:tc>
        <w:tc>
          <w:tcPr>
            <w:tcW w:type="dxa" w:w="3024"/>
            <w:shd w:val="clear" w:color="auto" w:fill="0D1B3E"/>
          </w:tcPr>
          <w:p>
            <w:r>
              <w:rPr>
                <w:rFonts w:ascii="Calibri" w:hAnsi="Calibri"/>
                <w:b/>
                <w:color w:val="FFFFFF"/>
                <w:sz w:val="20"/>
              </w:rPr>
              <w:t>Interpretation</w:t>
            </w:r>
          </w:p>
        </w:tc>
      </w:tr>
      <w:tr>
        <w:tc>
          <w:tcPr>
            <w:tcW w:type="dxa" w:w="3024"/>
            <w:shd w:val="clear" w:color="auto" w:fill="FFFFFF"/>
          </w:tcPr>
          <w:p>
            <w:r>
              <w:rPr>
                <w:rFonts w:ascii="Calibri" w:hAnsi="Calibri"/>
                <w:color w:val="1F2937"/>
                <w:sz w:val="20"/>
              </w:rPr>
              <w:t>≥ 80%</w:t>
            </w:r>
          </w:p>
        </w:tc>
        <w:tc>
          <w:tcPr>
            <w:tcW w:type="dxa" w:w="3024"/>
            <w:shd w:val="clear" w:color="auto" w:fill="FFFFFF"/>
          </w:tcPr>
          <w:p>
            <w:r>
              <w:rPr>
                <w:rFonts w:ascii="Calibri" w:hAnsi="Calibri"/>
                <w:color w:val="1F2937"/>
                <w:sz w:val="20"/>
              </w:rPr>
              <w:t>1.00×</w:t>
            </w:r>
          </w:p>
        </w:tc>
        <w:tc>
          <w:tcPr>
            <w:tcW w:type="dxa" w:w="3024"/>
            <w:shd w:val="clear" w:color="auto" w:fill="FFFFFF"/>
          </w:tcPr>
          <w:p>
            <w:r>
              <w:rPr>
                <w:rFonts w:ascii="Calibri" w:hAnsi="Calibri"/>
                <w:color w:val="1F2937"/>
                <w:sz w:val="20"/>
              </w:rPr>
              <w:t>Near-certain departure — full exposure counted</w:t>
            </w:r>
          </w:p>
        </w:tc>
      </w:tr>
      <w:tr>
        <w:tc>
          <w:tcPr>
            <w:tcW w:type="dxa" w:w="3024"/>
            <w:shd w:val="clear" w:color="auto" w:fill="F3F4F6"/>
          </w:tcPr>
          <w:p>
            <w:r>
              <w:rPr>
                <w:rFonts w:ascii="Calibri" w:hAnsi="Calibri"/>
                <w:color w:val="1F2937"/>
                <w:sz w:val="20"/>
              </w:rPr>
              <w:t>40% – 79%</w:t>
            </w:r>
          </w:p>
        </w:tc>
        <w:tc>
          <w:tcPr>
            <w:tcW w:type="dxa" w:w="3024"/>
            <w:shd w:val="clear" w:color="auto" w:fill="F3F4F6"/>
          </w:tcPr>
          <w:p>
            <w:r>
              <w:rPr>
                <w:rFonts w:ascii="Calibri" w:hAnsi="Calibri"/>
                <w:color w:val="1F2937"/>
                <w:sz w:val="20"/>
              </w:rPr>
              <w:t>0.70×</w:t>
            </w:r>
          </w:p>
        </w:tc>
        <w:tc>
          <w:tcPr>
            <w:tcW w:type="dxa" w:w="3024"/>
            <w:shd w:val="clear" w:color="auto" w:fill="F3F4F6"/>
          </w:tcPr>
          <w:p>
            <w:r>
              <w:rPr>
                <w:rFonts w:ascii="Calibri" w:hAnsi="Calibri"/>
                <w:color w:val="1F2937"/>
                <w:sz w:val="20"/>
              </w:rPr>
              <w:t>Probable but uncertain — 30% haircut applied</w:t>
            </w:r>
          </w:p>
        </w:tc>
      </w:tr>
      <w:tr>
        <w:tc>
          <w:tcPr>
            <w:tcW w:type="dxa" w:w="3024"/>
            <w:shd w:val="clear" w:color="auto" w:fill="FFFFFF"/>
          </w:tcPr>
          <w:p>
            <w:r>
              <w:rPr>
                <w:rFonts w:ascii="Calibri" w:hAnsi="Calibri"/>
                <w:color w:val="1F2937"/>
                <w:sz w:val="20"/>
              </w:rPr>
              <w:t>&lt; 40%</w:t>
            </w:r>
          </w:p>
        </w:tc>
        <w:tc>
          <w:tcPr>
            <w:tcW w:type="dxa" w:w="3024"/>
            <w:shd w:val="clear" w:color="auto" w:fill="FFFFFF"/>
          </w:tcPr>
          <w:p>
            <w:r>
              <w:rPr>
                <w:rFonts w:ascii="Calibri" w:hAnsi="Calibri"/>
                <w:color w:val="1F2937"/>
                <w:sz w:val="20"/>
              </w:rPr>
              <w:t>0.40×</w:t>
            </w:r>
          </w:p>
        </w:tc>
        <w:tc>
          <w:tcPr>
            <w:tcW w:type="dxa" w:w="3024"/>
            <w:shd w:val="clear" w:color="auto" w:fill="FFFFFF"/>
          </w:tcPr>
          <w:p>
            <w:r>
              <w:rPr>
                <w:rFonts w:ascii="Calibri" w:hAnsi="Calibri"/>
                <w:color w:val="1F2937"/>
                <w:sz w:val="20"/>
              </w:rPr>
              <w:t>Low signal / model noise — 60% haircut applied</w:t>
            </w:r>
          </w:p>
        </w:tc>
      </w:tr>
    </w:tbl>
    <w:p>
      <w:pPr>
        <w:spacing w:after="120" w:before="40"/>
      </w:pPr>
      <w:r>
        <w:rPr>
          <w:rFonts w:ascii="Calibri" w:hAnsi="Calibri"/>
          <w:b w:val="0"/>
          <w:i w:val="0"/>
          <w:color w:val="1F2937"/>
          <w:sz w:val="22"/>
        </w:rPr>
      </w:r>
    </w:p>
    <w:p>
      <w:pPr>
        <w:spacing w:after="120" w:before="40"/>
      </w:pPr>
      <w:r>
        <w:rPr>
          <w:rFonts w:ascii="Calibri" w:hAnsi="Calibri"/>
          <w:b w:val="0"/>
          <w:i w:val="0"/>
          <w:color w:val="1F2937"/>
          <w:sz w:val="22"/>
        </w:rPr>
        <w:t>The system also computes Revenue Recall@K — the percentage of total company financial exposure captured by triaging only the top K% of employees by urgency score. This metric quantifies how much more efficiently ELV-weighted triage identifies at-risk value versus sorting by raw churn probability alone.</w:t>
      </w:r>
    </w:p>
    <w:p>
      <w:pPr>
        <w:spacing w:after="120" w:before="40"/>
      </w:pPr>
      <w:r>
        <w:rPr>
          <w:rFonts w:ascii="Calibri" w:hAnsi="Calibri"/>
          <w:b w:val="0"/>
          <w:i w:val="0"/>
          <w:color w:val="1F2937"/>
          <w:sz w:val="22"/>
        </w:rPr>
        <w:t>Employees are ranked by a composite Urgency Score = 0.6 × P(churn_90d) + 0.4 × normalised_RAR, ensuring that a high-probability low-earner outranks a low-probability high-earner in the intervention queue — a critical correction absent from all reviewed literature.</w:t>
      </w:r>
    </w:p>
    <w:p>
      <w:pPr>
        <w:spacing w:before="240" w:after="160"/>
      </w:pPr>
      <w:r>
        <w:rPr>
          <w:b/>
          <w:color w:val="1A56DB"/>
          <w:sz w:val="32"/>
        </w:rPr>
        <w:t>Novelty 3: TreeSHAP-to-LLM Natural Language Diagnostic Pipeline</w:t>
      </w:r>
    </w:p>
    <w:p>
      <w:pPr>
        <w:spacing w:after="120" w:before="40"/>
      </w:pPr>
      <w:r>
        <w:rPr>
          <w:rFonts w:ascii="Calibri" w:hAnsi="Calibri"/>
          <w:b w:val="0"/>
          <w:i w:val="0"/>
          <w:color w:val="1F2937"/>
          <w:sz w:val="22"/>
        </w:rPr>
        <w:t>Paper 26 and Paper 30 both incorporate SHAP values to explain attrition predictions, but neither translates those attributions into human-readable natural language that a people manager could directly act upon. Nexus closes this gap with a two-stage explainability architecture:</w:t>
      </w:r>
    </w:p>
    <w:p>
      <w:pPr>
        <w:pStyle w:val="ListBullet"/>
        <w:spacing w:after="60" w:before="20"/>
      </w:pPr>
      <w:r>
        <w:rPr>
          <w:rFonts w:ascii="Calibri" w:hAnsi="Calibri"/>
          <w:color w:val="1F2937"/>
          <w:sz w:val="22"/>
        </w:rPr>
        <w:t>Stage 1 — TreeSHAP Extraction: The trained RSF model produces per-employee SHAP value vectors, ranking each feature's signed contribution to the individual departure risk score. Features are mapped to human-readable labels (e.g., 'Overtime_enc' → 'Overtime Frequency') and sorted by absolute SHAP magnitude.</w:t>
      </w:r>
    </w:p>
    <w:p>
      <w:pPr>
        <w:pStyle w:val="ListBullet"/>
        <w:spacing w:after="60" w:before="20"/>
      </w:pPr>
      <w:r>
        <w:rPr>
          <w:rFonts w:ascii="Calibri" w:hAnsi="Calibri"/>
          <w:color w:val="1F2937"/>
          <w:sz w:val="22"/>
        </w:rPr>
        <w:t>Stage 2 — LLM Diagnostic Synthesis: The top-5 SHAP attributions, the 90-day churn probability, and the Revenue at Risk figure are passed to a structured natural language generation pipeline (models/llm_diagnostics.py) that produces a complete executive diagnostic narrative. This narrative identifies the primary departure drivers, contextualises the financial exposure, and pre-frames the recommended retention intervention.</w:t>
      </w:r>
    </w:p>
    <w:p>
      <w:pPr>
        <w:spacing w:after="120" w:before="40"/>
      </w:pPr>
      <w:r>
        <w:rPr>
          <w:rFonts w:ascii="Calibri" w:hAnsi="Calibri"/>
          <w:b w:val="0"/>
          <w:i w:val="0"/>
          <w:color w:val="1F2937"/>
          <w:sz w:val="22"/>
        </w:rPr>
        <w:t>The resulting diagnostic is embedded directly in the per-employee detail panel of the dashboard, providing managers with context-aware, human-language summaries rather than raw probability scores or unexplained feature lists.</w:t>
      </w:r>
    </w:p>
    <w:p>
      <w:pPr>
        <w:spacing w:before="240" w:after="160"/>
      </w:pPr>
      <w:r>
        <w:rPr>
          <w:b/>
          <w:color w:val="1A56DB"/>
          <w:sz w:val="32"/>
        </w:rPr>
        <w:t>Novelty 4: Autonomous 6-Stage Closed-Loop Multi-Agent Retention System</w:t>
      </w:r>
    </w:p>
    <w:p>
      <w:pPr>
        <w:spacing w:after="120" w:before="40"/>
      </w:pPr>
      <w:r>
        <w:rPr>
          <w:rFonts w:ascii="Calibri" w:hAnsi="Calibri"/>
          <w:b w:val="0"/>
          <w:i w:val="0"/>
          <w:color w:val="1F2937"/>
          <w:sz w:val="22"/>
        </w:rPr>
        <w:t>No reviewed paper implements a fully autonomous, feedback-learning agent pipeline for employee retention. Nexus's most architecturally sophisticated novelty is a 6-agent orchestrated system that executes end-to-end from data ingestion through intervention dispatch and policy learning:</w:t>
      </w:r>
    </w:p>
    <w:p>
      <w:pPr>
        <w:spacing w:after="80" w:before="40"/>
      </w:pPr>
      <w:r>
        <w:rPr>
          <w:rFonts w:ascii="Calibri" w:hAnsi="Calibri"/>
          <w:b/>
          <w:color w:val="1A56DB"/>
          <w:sz w:val="22"/>
        </w:rPr>
        <w:t xml:space="preserve">Agent 1 — Observer: </w:t>
      </w:r>
      <w:r>
        <w:rPr>
          <w:rFonts w:ascii="Calibri" w:hAnsi="Calibri"/>
          <w:color w:val="1F2937"/>
          <w:sz w:val="22"/>
        </w:rPr>
        <w:t>Ingests raw employee records, normalises schema, and initiates telemetry monitoring.</w:t>
      </w:r>
    </w:p>
    <w:p>
      <w:pPr>
        <w:spacing w:after="80" w:before="40"/>
      </w:pPr>
      <w:r>
        <w:rPr>
          <w:rFonts w:ascii="Calibri" w:hAnsi="Calibri"/>
          <w:b/>
          <w:color w:val="1A56DB"/>
          <w:sz w:val="22"/>
        </w:rPr>
        <w:t xml:space="preserve">Agent 2 — Analyst: </w:t>
      </w:r>
      <w:r>
        <w:rPr>
          <w:rFonts w:ascii="Calibri" w:hAnsi="Calibri"/>
          <w:color w:val="1F2937"/>
          <w:sz w:val="22"/>
        </w:rPr>
        <w:t>Computes Employee Lifetime Value and Confidence-Weighted Revenue at Risk per employee.</w:t>
      </w:r>
    </w:p>
    <w:p>
      <w:pPr>
        <w:spacing w:after="80" w:before="40"/>
      </w:pPr>
      <w:r>
        <w:rPr>
          <w:rFonts w:ascii="Calibri" w:hAnsi="Calibri"/>
          <w:b/>
          <w:color w:val="1A56DB"/>
          <w:sz w:val="22"/>
        </w:rPr>
        <w:t xml:space="preserve">Agent 3 — Diagnostic: </w:t>
      </w:r>
      <w:r>
        <w:rPr>
          <w:rFonts w:ascii="Calibri" w:hAnsi="Calibri"/>
          <w:color w:val="1F2937"/>
          <w:sz w:val="22"/>
        </w:rPr>
        <w:t>Extracts TreeSHAP attributions and synthesises natural language risk narratives.</w:t>
      </w:r>
    </w:p>
    <w:p>
      <w:pPr>
        <w:spacing w:after="80" w:before="40"/>
      </w:pPr>
      <w:r>
        <w:rPr>
          <w:rFonts w:ascii="Calibri" w:hAnsi="Calibri"/>
          <w:b/>
          <w:color w:val="1A56DB"/>
          <w:sz w:val="22"/>
        </w:rPr>
        <w:t xml:space="preserve">Agent 4 — Strategist (LinUCB Bandit): </w:t>
      </w:r>
      <w:r>
        <w:rPr>
          <w:rFonts w:ascii="Calibri" w:hAnsi="Calibri"/>
          <w:color w:val="1F2937"/>
          <w:sz w:val="22"/>
        </w:rPr>
        <w:t>Selects the optimal retention intervention arm from {Salary Review, L&amp;D Offer, Managerial 1:1, Flexible Work, Retention Bonus} using a Linear Upper Confidence Bound contextual bandit policy.</w:t>
      </w:r>
    </w:p>
    <w:p>
      <w:pPr>
        <w:spacing w:after="80" w:before="40"/>
      </w:pPr>
      <w:r>
        <w:rPr>
          <w:rFonts w:ascii="Calibri" w:hAnsi="Calibri"/>
          <w:b/>
          <w:color w:val="1A56DB"/>
          <w:sz w:val="22"/>
        </w:rPr>
        <w:t xml:space="preserve">Agent 5 — Executor: </w:t>
      </w:r>
      <w:r>
        <w:rPr>
          <w:rFonts w:ascii="Calibri" w:hAnsi="Calibri"/>
          <w:color w:val="1F2937"/>
          <w:sz w:val="22"/>
        </w:rPr>
        <w:t>Compiles a structured Manager Action Card with concrete action steps and dispatches it for delivery.</w:t>
      </w:r>
    </w:p>
    <w:p>
      <w:pPr>
        <w:spacing w:after="80" w:before="40"/>
      </w:pPr>
      <w:r>
        <w:rPr>
          <w:rFonts w:ascii="Calibri" w:hAnsi="Calibri"/>
          <w:b/>
          <w:color w:val="1A56DB"/>
          <w:sz w:val="22"/>
        </w:rPr>
        <w:t xml:space="preserve">Agent 6 — Feedback: </w:t>
      </w:r>
      <w:r>
        <w:rPr>
          <w:rFonts w:ascii="Calibri" w:hAnsi="Calibri"/>
          <w:color w:val="1F2937"/>
          <w:sz w:val="22"/>
        </w:rPr>
        <w:t>Receives 30-day post-intervention outcomes (Retained / Churned) and updates the LinUCB bandit policy matrices A_a and b_a with a +1.0 / −1.0 reward signal, enabling the system to improve intervention selection over time.</w:t>
      </w:r>
    </w:p>
    <w:p>
      <w:pPr>
        <w:spacing w:after="120" w:before="40"/>
      </w:pPr>
      <w:r>
        <w:rPr>
          <w:rFonts w:ascii="Calibri" w:hAnsi="Calibri"/>
          <w:b w:val="0"/>
          <w:i w:val="0"/>
          <w:color w:val="1F2937"/>
          <w:sz w:val="22"/>
        </w:rPr>
        <w:t>The LinUCB policy update rule maximises expected reward using the formula:</w:t>
      </w:r>
    </w:p>
    <w:p>
      <w:pPr>
        <w:spacing w:after="120" w:before="40"/>
      </w:pPr>
      <w:r>
        <w:rPr>
          <w:rFonts w:ascii="Calibri" w:hAnsi="Calibri"/>
          <w:b/>
          <w:i w:val="0"/>
          <w:color w:val="1F2937"/>
          <w:sz w:val="22"/>
        </w:rPr>
        <w:t xml:space="preserve">    UCB_a = θ_a^T x_i + α √(x_i^T A_a^{-1} x_i)</w:t>
      </w:r>
    </w:p>
    <w:p>
      <w:pPr>
        <w:spacing w:after="120" w:before="40"/>
      </w:pPr>
      <w:r>
        <w:rPr>
          <w:rFonts w:ascii="Calibri" w:hAnsi="Calibri"/>
          <w:b w:val="0"/>
          <w:i w:val="0"/>
          <w:color w:val="1F2937"/>
          <w:sz w:val="22"/>
        </w:rPr>
        <w:t>where x_i is the 10-dimensional context vector (salary, tenure, overtime, job satisfaction, work-life balance, promotion history, distance from home, churn probability, revenue at risk, and a bias term), A_a is the feature covariance matrix for arm a, θ_a = A_a^{-1} b_a is the learned weight vector, and α controls the exploration-exploitation trade-off.</w:t>
      </w:r>
    </w:p>
    <w:p>
      <w:r>
        <w:br w:type="page"/>
      </w:r>
    </w:p>
    <w:p>
      <w:pPr>
        <w:spacing w:before="360" w:after="160"/>
      </w:pPr>
      <w:r>
        <w:rPr>
          <w:rFonts w:ascii="Calibri" w:hAnsi="Calibri"/>
          <w:b/>
          <w:color w:val="0D1B3E"/>
          <w:sz w:val="40"/>
        </w:rPr>
        <w:t>4. Technical Methodology</w:t>
      </w:r>
    </w:p>
    <w:p>
      <w:pPr>
        <w:spacing w:before="80" w:after="80"/>
        <w:pBdr>
          <w:bottom w:val="single" w:sz="6" w:space="1" w:color="1A56DB"/>
        </w:pBdr>
      </w:pPr>
    </w:p>
    <w:p>
      <w:pPr>
        <w:spacing w:before="200" w:after="160"/>
      </w:pPr>
      <w:r>
        <w:rPr>
          <w:b/>
          <w:color w:val="1A56DB"/>
          <w:sz w:val="32"/>
        </w:rPr>
        <w:t>4.1 Datasets</w:t>
      </w:r>
    </w:p>
    <w:p>
      <w:pPr>
        <w:spacing w:after="120" w:before="40"/>
      </w:pPr>
      <w:r>
        <w:rPr>
          <w:rFonts w:ascii="Calibri" w:hAnsi="Calibri"/>
          <w:b w:val="0"/>
          <w:i w:val="0"/>
          <w:color w:val="1F2937"/>
          <w:sz w:val="22"/>
        </w:rPr>
        <w:t>Nexus AI is evaluated on two benchmark datasets:</w:t>
      </w:r>
    </w:p>
    <w:p>
      <w:pPr>
        <w:pStyle w:val="ListBullet"/>
        <w:spacing w:after="60" w:before="20"/>
      </w:pPr>
      <w:r>
        <w:rPr>
          <w:rFonts w:ascii="Calibri" w:hAnsi="Calibri"/>
          <w:color w:val="1F2937"/>
          <w:sz w:val="22"/>
        </w:rPr>
        <w:t>Primary — IBM HR Analytics Employee Attrition Dataset (n=1,470): 35 features covering demographics, compensation, job characteristics, satisfaction ratings, and tenure. True attrition rate: 16.1%. This is the primary benchmark used in Papers 3, 9, 22, 24, 27.</w:t>
      </w:r>
    </w:p>
    <w:p>
      <w:pPr>
        <w:pStyle w:val="ListBullet"/>
        <w:spacing w:after="60" w:before="20"/>
      </w:pPr>
      <w:r>
        <w:rPr>
          <w:rFonts w:ascii="Calibri" w:hAnsi="Calibri"/>
          <w:color w:val="1F2937"/>
          <w:sz w:val="22"/>
        </w:rPr>
        <w:t>Validation — Watson Healthcare Employee Attrition Dataset (n=1,676): Analogous schema with healthcare-domain-specific features, enabling cross-domain generalisability testing of the trained survival ensemble.</w:t>
      </w:r>
    </w:p>
    <w:p>
      <w:pPr>
        <w:spacing w:before="200" w:after="160"/>
      </w:pPr>
      <w:r>
        <w:rPr>
          <w:b/>
          <w:color w:val="1A56DB"/>
          <w:sz w:val="32"/>
        </w:rPr>
        <w:t>4.2 Data Processing Pipeline</w:t>
      </w:r>
    </w:p>
    <w:p>
      <w:pPr>
        <w:spacing w:after="80" w:before="40"/>
      </w:pPr>
      <w:r>
        <w:rPr>
          <w:rFonts w:ascii="Calibri" w:hAnsi="Calibri"/>
          <w:b/>
          <w:color w:val="1F2937"/>
          <w:sz w:val="22"/>
        </w:rPr>
        <w:t xml:space="preserve">Schema Normalisation: </w:t>
      </w:r>
      <w:r>
        <w:rPr>
          <w:rFonts w:ascii="Calibri" w:hAnsi="Calibri"/>
          <w:color w:val="1F2937"/>
          <w:sz w:val="22"/>
        </w:rPr>
        <w:t>Automatic column mapping handles variant field names (e.g., 'OverTime'/'Overtime', 'MonthlyIncome'/'Salary') across datasets. Categorical features are ordinally or one-hot encoded. Numerical features are standardised using a fitted StandardScaler.</w:t>
      </w:r>
    </w:p>
    <w:p>
      <w:pPr>
        <w:spacing w:after="80" w:before="40"/>
      </w:pPr>
      <w:r>
        <w:rPr>
          <w:rFonts w:ascii="Calibri" w:hAnsi="Calibri"/>
          <w:b/>
          <w:color w:val="1F2937"/>
          <w:sz w:val="22"/>
        </w:rPr>
        <w:t xml:space="preserve">Survival Encoding: </w:t>
      </w:r>
      <w:r>
        <w:rPr>
          <w:rFonts w:ascii="Calibri" w:hAnsi="Calibri"/>
          <w:color w:val="1F2937"/>
          <w:sz w:val="22"/>
        </w:rPr>
        <w:t>Each employee record is transformed into a (T, E) pair where T = employment duration in months and E = 1 if the employee left (event observed) or 0 if still employed (right-censored). This encoding enables the full survival analysis machinery.</w:t>
      </w:r>
    </w:p>
    <w:p>
      <w:pPr>
        <w:spacing w:after="80" w:before="40"/>
      </w:pPr>
      <w:r>
        <w:rPr>
          <w:rFonts w:ascii="Calibri" w:hAnsi="Calibri"/>
          <w:b/>
          <w:color w:val="1F2937"/>
          <w:sz w:val="22"/>
        </w:rPr>
        <w:t xml:space="preserve">Feature Engineering: </w:t>
      </w:r>
      <w:r>
        <w:rPr>
          <w:rFonts w:ascii="Calibri" w:hAnsi="Calibri"/>
          <w:color w:val="1F2937"/>
          <w:sz w:val="22"/>
        </w:rPr>
        <w:t>40 derived features are constructed, including DaysSinceLastPromotion, OvertimeDaysPerMonth, Gender_enc, Overtime_enc, and interaction terms capturing compensation-satisfaction dynamics.</w:t>
      </w:r>
    </w:p>
    <w:p>
      <w:pPr>
        <w:spacing w:after="80" w:before="40"/>
      </w:pPr>
      <w:r>
        <w:rPr>
          <w:rFonts w:ascii="Calibri" w:hAnsi="Calibri"/>
          <w:b/>
          <w:color w:val="1F2937"/>
          <w:sz w:val="22"/>
        </w:rPr>
        <w:t xml:space="preserve">Train/Test Split: </w:t>
      </w:r>
      <w:r>
        <w:rPr>
          <w:rFonts w:ascii="Calibri" w:hAnsi="Calibri"/>
          <w:color w:val="1F2937"/>
          <w:sz w:val="22"/>
        </w:rPr>
        <w:t>Stratified 80/20 split on event indicator E ensures equal attrition representation in training and evaluation sets. Random seed fixed at 42 for reproducibility.</w:t>
      </w:r>
    </w:p>
    <w:p>
      <w:pPr>
        <w:spacing w:before="200" w:after="160"/>
      </w:pPr>
      <w:r>
        <w:rPr>
          <w:b/>
          <w:color w:val="1A56DB"/>
          <w:sz w:val="32"/>
        </w:rPr>
        <w:t>4.3 Model Architecture</w:t>
      </w:r>
    </w:p>
    <w:p>
      <w:pPr>
        <w:spacing w:after="120" w:before="40"/>
      </w:pPr>
      <w:r>
        <w:rPr>
          <w:rFonts w:ascii="Calibri" w:hAnsi="Calibri"/>
          <w:b/>
          <w:i w:val="0"/>
          <w:color w:val="1F2937"/>
          <w:sz w:val="22"/>
        </w:rPr>
        <w:t>Cox Proportional Hazards Model (Cox PH):</w:t>
      </w:r>
    </w:p>
    <w:p>
      <w:pPr>
        <w:spacing w:after="120" w:before="40"/>
      </w:pPr>
      <w:r>
        <w:rPr>
          <w:rFonts w:ascii="Calibri" w:hAnsi="Calibri"/>
          <w:b w:val="0"/>
          <w:i w:val="0"/>
          <w:color w:val="1F2937"/>
          <w:sz w:val="22"/>
        </w:rPr>
        <w:t>A semiparametric survival model that estimates the hazard function h(t|x) = h_0(t) × exp(β^T x), where h_0(t) is the baseline hazard and β is the coefficient vector. Cox PH excels at linear covariate relationships and provides interpretable hazard ratios. Implemented via lifelines with L1 penaliser (λ=0.001) for feature regularisation.</w:t>
      </w:r>
    </w:p>
    <w:p>
      <w:pPr>
        <w:spacing w:after="120" w:before="40"/>
      </w:pPr>
      <w:r>
        <w:rPr>
          <w:rFonts w:ascii="Calibri" w:hAnsi="Calibri"/>
          <w:b/>
          <w:i w:val="0"/>
          <w:color w:val="1F2937"/>
          <w:sz w:val="22"/>
        </w:rPr>
        <w:t>Random Survival Forest (RSF):</w:t>
      </w:r>
    </w:p>
    <w:p>
      <w:pPr>
        <w:spacing w:after="120" w:before="40"/>
      </w:pPr>
      <w:r>
        <w:rPr>
          <w:rFonts w:ascii="Calibri" w:hAnsi="Calibri"/>
          <w:b w:val="0"/>
          <w:i w:val="0"/>
          <w:color w:val="1F2937"/>
          <w:sz w:val="22"/>
        </w:rPr>
        <w:t>A non-parametric ensemble of survival trees (scikit-survival) capable of capturing non-linear interactions and high-dimensional feature spaces. RSF predicts the cumulative hazard function H(t|x) for each employee. Hyperparameters (n_estimators, min_samples_split, min_samples_leaf, max_features) are optimised via randomised search.</w:t>
      </w:r>
    </w:p>
    <w:p>
      <w:pPr>
        <w:spacing w:after="120" w:before="40"/>
      </w:pPr>
      <w:r>
        <w:rPr>
          <w:rFonts w:ascii="Calibri" w:hAnsi="Calibri"/>
          <w:b/>
          <w:i w:val="0"/>
          <w:color w:val="1F2937"/>
          <w:sz w:val="22"/>
        </w:rPr>
        <w:t>Kaplan-Meier Estimator:</w:t>
      </w:r>
    </w:p>
    <w:p>
      <w:pPr>
        <w:spacing w:after="120" w:before="40"/>
      </w:pPr>
      <w:r>
        <w:rPr>
          <w:rFonts w:ascii="Calibri" w:hAnsi="Calibri"/>
          <w:b w:val="0"/>
          <w:i w:val="0"/>
          <w:color w:val="1F2937"/>
          <w:sz w:val="22"/>
        </w:rPr>
        <w:t>A non-parametric product-limit estimator of the survival function S(t) = P(T &gt; t) fitted on the full population. Used as the baseline population survival reference curve displayed in the dashboard.</w:t>
      </w:r>
    </w:p>
    <w:p>
      <w:pPr>
        <w:spacing w:before="200" w:after="160"/>
      </w:pPr>
      <w:r>
        <w:rPr>
          <w:b/>
          <w:color w:val="1A56DB"/>
          <w:sz w:val="32"/>
        </w:rPr>
        <w:t>4.4 Evaluation Metrics</w:t>
      </w:r>
    </w:p>
    <w:p>
      <w:pPr>
        <w:spacing w:after="60" w:before="40"/>
      </w:pPr>
      <w:r>
        <w:rPr>
          <w:rFonts w:ascii="Calibri" w:hAnsi="Calibri"/>
          <w:b/>
          <w:color w:val="1F2937"/>
          <w:sz w:val="22"/>
        </w:rPr>
        <w:t xml:space="preserve">Concordance Index (C-Index): </w:t>
      </w:r>
      <w:r>
        <w:rPr>
          <w:rFonts w:ascii="Calibri" w:hAnsi="Calibri"/>
          <w:color w:val="1F2937"/>
          <w:sz w:val="22"/>
        </w:rPr>
        <w:t>Discrimination metric ranging from 0.5 (random) to 1.0 (perfect). Computed on the held-out test set for both Cox PH and RSF independently.</w:t>
      </w:r>
    </w:p>
    <w:p>
      <w:pPr>
        <w:spacing w:after="60" w:before="40"/>
      </w:pPr>
      <w:r>
        <w:rPr>
          <w:rFonts w:ascii="Calibri" w:hAnsi="Calibri"/>
          <w:b/>
          <w:color w:val="1F2937"/>
          <w:sz w:val="22"/>
        </w:rPr>
        <w:t xml:space="preserve">Integrated Brier Score (IBS): </w:t>
      </w:r>
      <w:r>
        <w:rPr>
          <w:rFonts w:ascii="Calibri" w:hAnsi="Calibri"/>
          <w:color w:val="1F2937"/>
          <w:sz w:val="22"/>
        </w:rPr>
        <w:t>Calibration metric measuring mean squared difference between predicted survival probabilities and actual outcomes across all time points. Lower is better.</w:t>
      </w:r>
    </w:p>
    <w:p>
      <w:pPr>
        <w:spacing w:after="60" w:before="40"/>
      </w:pPr>
      <w:r>
        <w:rPr>
          <w:rFonts w:ascii="Calibri" w:hAnsi="Calibri"/>
          <w:b/>
          <w:color w:val="1F2937"/>
          <w:sz w:val="22"/>
        </w:rPr>
        <w:t xml:space="preserve">5-Fold Stratified Cross-Validation: </w:t>
      </w:r>
      <w:r>
        <w:rPr>
          <w:rFonts w:ascii="Calibri" w:hAnsi="Calibri"/>
          <w:color w:val="1F2937"/>
          <w:sz w:val="22"/>
        </w:rPr>
        <w:t>Reports fold-wise C-index mean ± standard deviation for both Cox PH and RSF, ensuring stability estimates are not driven by a single train/test split.</w:t>
      </w:r>
    </w:p>
    <w:p>
      <w:pPr>
        <w:spacing w:after="60" w:before="40"/>
      </w:pPr>
      <w:r>
        <w:rPr>
          <w:rFonts w:ascii="Calibri" w:hAnsi="Calibri"/>
          <w:b/>
          <w:color w:val="1F2937"/>
          <w:sz w:val="22"/>
        </w:rPr>
        <w:t xml:space="preserve">Revenue Recall@K: </w:t>
      </w:r>
      <w:r>
        <w:rPr>
          <w:rFonts w:ascii="Calibri" w:hAnsi="Calibri"/>
          <w:color w:val="1F2937"/>
          <w:sz w:val="22"/>
        </w:rPr>
        <w:t>Custom business metric: the percentage of total company-wide Revenue at Risk captured by triaging only the top K% of employees. Measures the financial efficiency of ELV-weighted triage vs. raw probability sorting.</w:t>
      </w:r>
    </w:p>
    <w:p>
      <w:pPr>
        <w:spacing w:after="60" w:before="40"/>
      </w:pPr>
      <w:r>
        <w:rPr>
          <w:rFonts w:ascii="Calibri" w:hAnsi="Calibri"/>
          <w:b/>
          <w:color w:val="1F2937"/>
          <w:sz w:val="22"/>
        </w:rPr>
        <w:t xml:space="preserve">AUC-ROC (Ablation Baseline): </w:t>
      </w:r>
      <w:r>
        <w:rPr>
          <w:rFonts w:ascii="Calibri" w:hAnsi="Calibri"/>
          <w:color w:val="1F2937"/>
          <w:sz w:val="22"/>
        </w:rPr>
        <w:t>Used exclusively for the binary Logistic Regression baseline in the ablation study to provide a comparable metric for the non-survival model tier.</w:t>
      </w:r>
    </w:p>
    <w:p>
      <w:r>
        <w:br w:type="page"/>
      </w:r>
    </w:p>
    <w:p>
      <w:pPr>
        <w:spacing w:before="360" w:after="160"/>
      </w:pPr>
      <w:r>
        <w:rPr>
          <w:rFonts w:ascii="Calibri" w:hAnsi="Calibri"/>
          <w:b/>
          <w:color w:val="0D1B3E"/>
          <w:sz w:val="40"/>
        </w:rPr>
        <w:t>5. End-to-End System Workflow</w:t>
      </w:r>
    </w:p>
    <w:p>
      <w:pPr>
        <w:spacing w:before="80" w:after="80"/>
        <w:pBdr>
          <w:bottom w:val="single" w:sz="6" w:space="1" w:color="1A56DB"/>
        </w:pBdr>
      </w:pPr>
    </w:p>
    <w:p>
      <w:pPr>
        <w:spacing w:after="120" w:before="40"/>
      </w:pPr>
      <w:r>
        <w:rPr>
          <w:rFonts w:ascii="Calibri" w:hAnsi="Calibri"/>
          <w:b w:val="0"/>
          <w:i w:val="0"/>
          <w:color w:val="1F2937"/>
          <w:sz w:val="22"/>
        </w:rPr>
        <w:t>The Nexus AI platform is structured as a 7-phase autonomous pipeline. Each phase is implemented as a discrete software module and exposed as a REST API endpoint via FastAPI, accessible through either the interactive web dashboard or the Swagger API documentation at /docs.</w:t>
      </w:r>
    </w:p>
    <w:p>
      <w:pPr>
        <w:spacing w:before="200" w:after="160"/>
      </w:pPr>
      <w:r>
        <w:rPr>
          <w:b/>
          <w:color w:val="1A56DB"/>
          <w:sz w:val="32"/>
        </w:rPr>
        <w:t>Phase 1 — Data Ingestion</w:t>
      </w:r>
    </w:p>
    <w:p>
      <w:pPr>
        <w:spacing w:after="120" w:before="40"/>
      </w:pPr>
      <w:r>
        <w:rPr>
          <w:rFonts w:ascii="Calibri" w:hAnsi="Calibri"/>
          <w:b w:val="0"/>
          <w:i w:val="0"/>
          <w:color w:val="1F2937"/>
          <w:sz w:val="22"/>
        </w:rPr>
        <w:t>HR team uploads a CSV/Excel dataset via the dashboard Data Setup panel or selects a pre-loaded benchmark (IBM or Healthcare). The core/data_processor.py module validates schema, auto-maps column names, encodes categorical variables, and constructs the (T, E) survival encoding for each employee.</w:t>
      </w:r>
    </w:p>
    <w:p>
      <w:pPr>
        <w:spacing w:before="200" w:after="160"/>
      </w:pPr>
      <w:r>
        <w:rPr>
          <w:b/>
          <w:color w:val="1A56DB"/>
          <w:sz w:val="32"/>
        </w:rPr>
        <w:t>Phase 2 — Survival Ensemble Training</w:t>
      </w:r>
    </w:p>
    <w:p>
      <w:pPr>
        <w:spacing w:after="120" w:before="40"/>
      </w:pPr>
      <w:r>
        <w:rPr>
          <w:rFonts w:ascii="Calibri" w:hAnsi="Calibri"/>
          <w:b w:val="0"/>
          <w:i w:val="0"/>
          <w:color w:val="1F2937"/>
          <w:sz w:val="22"/>
        </w:rPr>
        <w:t>The backend/routes/training.py endpoint initiates the full training pipeline: (1) Kaplan-Meier baseline fitting, (2) RSF hyperparameter tuning via randomised grid search, (3) Cox PH fitting with L1 penalisation, (4) RSF fitting with optimal hyperparameters, (5) Held-out test evaluation (C-index + IBS), (6) 5-fold stratified cross-validation, (7) Dynamic ensemble weight computation from test C-index scores. Total training time on IBM dataset (n=1,470) is approximately 8–15 seconds.</w:t>
      </w:r>
    </w:p>
    <w:p>
      <w:pPr>
        <w:spacing w:before="200" w:after="160"/>
      </w:pPr>
      <w:r>
        <w:rPr>
          <w:b/>
          <w:color w:val="1A56DB"/>
          <w:sz w:val="32"/>
        </w:rPr>
        <w:t>Phase 3 — Multi-Horizon Prediction Generation</w:t>
      </w:r>
    </w:p>
    <w:p>
      <w:pPr>
        <w:spacing w:after="120" w:before="40"/>
      </w:pPr>
      <w:r>
        <w:rPr>
          <w:rFonts w:ascii="Calibri" w:hAnsi="Calibri"/>
          <w:b w:val="0"/>
          <w:i w:val="0"/>
          <w:color w:val="1F2937"/>
          <w:sz w:val="22"/>
        </w:rPr>
        <w:t>For all 1,470 employees, the weighted ensemble S_ens(t) is evaluated at t=1, 2, 3 months (30d/60d/90d) to produce per-employee churn probability vectors. Predicted median survival times are extracted from the ensemble cumulative hazard function. Each employee receives a risk category (Critical / High / Moderate / Low) based on data-driven quartile thresholds of the predicted median distribution.</w:t>
      </w:r>
    </w:p>
    <w:p>
      <w:pPr>
        <w:spacing w:before="200" w:after="160"/>
      </w:pPr>
      <w:r>
        <w:rPr>
          <w:b/>
          <w:color w:val="1A56DB"/>
          <w:sz w:val="32"/>
        </w:rPr>
        <w:t>Phase 4 — Economic Triage</w:t>
      </w:r>
    </w:p>
    <w:p>
      <w:pPr>
        <w:spacing w:after="120" w:before="40"/>
      </w:pPr>
      <w:r>
        <w:rPr>
          <w:rFonts w:ascii="Calibri" w:hAnsi="Calibri"/>
          <w:b w:val="0"/>
          <w:i w:val="0"/>
          <w:color w:val="1F2937"/>
          <w:sz w:val="22"/>
        </w:rPr>
        <w:t>The models/elv_calculator.py module computes Employee Lifetime Value (ELV) per employee using salary, predicted remaining tenure, and a replacement cost multiplier of 3×. Confidence-weighted Revenue at Risk is computed using the three-band weighting scheme. Employees are ranked by Urgency Score (0.6 × P(churn_90d) + 0.4 × normalised RAR) and assigned exposure tiers (Critical / High / Moderate / Watch / Stable).</w:t>
      </w:r>
    </w:p>
    <w:p>
      <w:pPr>
        <w:spacing w:before="200" w:after="160"/>
      </w:pPr>
      <w:r>
        <w:rPr>
          <w:b/>
          <w:color w:val="1A56DB"/>
          <w:sz w:val="32"/>
        </w:rPr>
        <w:t>Phase 5 — SHAP-LLM Diagnostic Generation</w:t>
      </w:r>
    </w:p>
    <w:p>
      <w:pPr>
        <w:spacing w:after="120" w:before="40"/>
      </w:pPr>
      <w:r>
        <w:rPr>
          <w:rFonts w:ascii="Calibri" w:hAnsi="Calibri"/>
          <w:b w:val="0"/>
          <w:i w:val="0"/>
          <w:color w:val="1F2937"/>
          <w:sz w:val="22"/>
        </w:rPr>
        <w:t>For each employee queried via the dashboard, TreeSHAP values are extracted from the trained RSF model (models/explainability.py). The top-5 features by absolute SHAP contribution are formatted with their actual values and direction (risk-increasing vs. risk-reducing). The agents/diagnostic.py module synthesises these attributions into a complete natural language executive diagnostic narrative.</w:t>
      </w:r>
    </w:p>
    <w:p>
      <w:pPr>
        <w:spacing w:before="200" w:after="160"/>
      </w:pPr>
      <w:r>
        <w:rPr>
          <w:b/>
          <w:color w:val="1A56DB"/>
          <w:sz w:val="32"/>
        </w:rPr>
        <w:t>Phase 6 — Autonomous Agent Pipeline Execution</w:t>
      </w:r>
    </w:p>
    <w:p>
      <w:pPr>
        <w:spacing w:after="120" w:before="40"/>
      </w:pPr>
      <w:r>
        <w:rPr>
          <w:rFonts w:ascii="Calibri" w:hAnsi="Calibri"/>
          <w:b w:val="0"/>
          <w:i w:val="0"/>
          <w:color w:val="1F2937"/>
          <w:sz w:val="22"/>
        </w:rPr>
        <w:t>Triggered per employee via the dashboard's Action Plan button or /api/agent/run endpoint. The NexusMultiAgentPipeline (agents/pipeline.py) orchestrates the 6-agent sequence: Observer → Analyst → Diagnostic → Strategist (LinUCB) → Executor → [Feedback when outcome is recorded]. The output is a complete Manager Action Card including the recommended intervention, diagnostic context, and three concrete action steps.</w:t>
      </w:r>
    </w:p>
    <w:p>
      <w:pPr>
        <w:spacing w:before="200" w:after="160"/>
      </w:pPr>
      <w:r>
        <w:rPr>
          <w:b/>
          <w:color w:val="1A56DB"/>
          <w:sz w:val="32"/>
        </w:rPr>
        <w:t>Phase 7 — Feedback Loop &amp; Policy Learning</w:t>
      </w:r>
    </w:p>
    <w:p>
      <w:pPr>
        <w:spacing w:after="120" w:before="40"/>
      </w:pPr>
      <w:r>
        <w:rPr>
          <w:rFonts w:ascii="Calibri" w:hAnsi="Calibri"/>
          <w:b w:val="0"/>
          <w:i w:val="0"/>
          <w:color w:val="1F2937"/>
          <w:sz w:val="22"/>
        </w:rPr>
        <w:t>30 days after an intervention is dispatched, the HR manager records the outcome (Retained or Churned) via the dashboard Retention Actions tab. The agents/feedback.py module maps the outcome to a reward signal (+1.0 retained / −1.0 churned) and updates the LinUCB bandit's A_a and b_a matrices for the selected action arm. Over time, the system learns which interventions work best for which employee context profiles.</w:t>
      </w:r>
    </w:p>
    <w:p>
      <w:r>
        <w:br w:type="page"/>
      </w:r>
    </w:p>
    <w:p>
      <w:pPr>
        <w:spacing w:before="360" w:after="160"/>
      </w:pPr>
      <w:r>
        <w:rPr>
          <w:rFonts w:ascii="Calibri" w:hAnsi="Calibri"/>
          <w:b/>
          <w:color w:val="0D1B3E"/>
          <w:sz w:val="40"/>
        </w:rPr>
        <w:t>6. Scientific Ablation Study (Section 10 Benchmark)</w:t>
      </w:r>
    </w:p>
    <w:p>
      <w:pPr>
        <w:spacing w:before="80" w:after="80"/>
        <w:pBdr>
          <w:bottom w:val="single" w:sz="6" w:space="1" w:color="1A56DB"/>
        </w:pBdr>
      </w:pPr>
    </w:p>
    <w:p>
      <w:pPr>
        <w:spacing w:after="120" w:before="40"/>
      </w:pPr>
      <w:r>
        <w:rPr>
          <w:rFonts w:ascii="Calibri" w:hAnsi="Calibri"/>
          <w:b w:val="0"/>
          <w:i w:val="0"/>
          <w:color w:val="1F2937"/>
          <w:sz w:val="22"/>
        </w:rPr>
        <w:t>A rigorous 7-configuration incremental ablation matrix was executed on the IBM HR Analytics dataset (n=1,470, 80/20 split) to quantify the exact contribution of each proposed system layer over the binary classification baseline. This methodology directly mirrors the ablation framework used in NLP and computer vision research applied to the HR analytics domain for the first time in the reviewed literature.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D1B3E"/>
          </w:tcPr>
          <w:p>
            <w:r>
              <w:rPr>
                <w:rFonts w:ascii="Calibri" w:hAnsi="Calibri"/>
                <w:b/>
                <w:color w:val="FFFFFF"/>
                <w:sz w:val="19"/>
              </w:rPr>
              <w:t>Configuration</w:t>
            </w:r>
          </w:p>
        </w:tc>
        <w:tc>
          <w:tcPr>
            <w:tcW w:type="dxa" w:w="1814"/>
            <w:shd w:val="clear" w:color="auto" w:fill="0D1B3E"/>
          </w:tcPr>
          <w:p>
            <w:r>
              <w:rPr>
                <w:rFonts w:ascii="Calibri" w:hAnsi="Calibri"/>
                <w:b/>
                <w:color w:val="FFFFFF"/>
                <w:sz w:val="19"/>
              </w:rPr>
              <w:t>C-Index / AUC</w:t>
            </w:r>
          </w:p>
        </w:tc>
        <w:tc>
          <w:tcPr>
            <w:tcW w:type="dxa" w:w="1814"/>
            <w:shd w:val="clear" w:color="auto" w:fill="0D1B3E"/>
          </w:tcPr>
          <w:p>
            <w:r>
              <w:rPr>
                <w:rFonts w:ascii="Calibri" w:hAnsi="Calibri"/>
                <w:b/>
                <w:color w:val="FFFFFF"/>
                <w:sz w:val="19"/>
              </w:rPr>
              <w:t>IBS / Brier</w:t>
            </w:r>
          </w:p>
        </w:tc>
        <w:tc>
          <w:tcPr>
            <w:tcW w:type="dxa" w:w="1814"/>
            <w:shd w:val="clear" w:color="auto" w:fill="0D1B3E"/>
          </w:tcPr>
          <w:p>
            <w:r>
              <w:rPr>
                <w:rFonts w:ascii="Calibri" w:hAnsi="Calibri"/>
                <w:b/>
                <w:color w:val="FFFFFF"/>
                <w:sz w:val="19"/>
              </w:rPr>
              <w:t>Revenue Recall @10%</w:t>
            </w:r>
          </w:p>
        </w:tc>
        <w:tc>
          <w:tcPr>
            <w:tcW w:type="dxa" w:w="1814"/>
            <w:shd w:val="clear" w:color="auto" w:fill="0D1B3E"/>
          </w:tcPr>
          <w:p>
            <w:r>
              <w:rPr>
                <w:rFonts w:ascii="Calibri" w:hAnsi="Calibri"/>
                <w:b/>
                <w:color w:val="FFFFFF"/>
                <w:sz w:val="19"/>
              </w:rPr>
              <w:t>Key Capability Added</w:t>
            </w:r>
          </w:p>
        </w:tc>
      </w:tr>
      <w:tr>
        <w:tc>
          <w:tcPr>
            <w:tcW w:type="dxa" w:w="1814"/>
            <w:shd w:val="clear" w:color="auto" w:fill="FFFFFF"/>
          </w:tcPr>
          <w:p>
            <w:r>
              <w:rPr>
                <w:rFonts w:ascii="Calibri" w:hAnsi="Calibri"/>
                <w:color w:val="1F2937"/>
                <w:sz w:val="19"/>
              </w:rPr>
              <w:t>Binary Logistic Regression (Baseline)</w:t>
            </w:r>
          </w:p>
        </w:tc>
        <w:tc>
          <w:tcPr>
            <w:tcW w:type="dxa" w:w="1814"/>
            <w:shd w:val="clear" w:color="auto" w:fill="FFFFFF"/>
          </w:tcPr>
          <w:p>
            <w:r>
              <w:rPr>
                <w:rFonts w:ascii="Calibri" w:hAnsi="Calibri"/>
                <w:color w:val="1F2937"/>
                <w:sz w:val="19"/>
              </w:rPr>
              <w:t>0.818 (AUC)</w:t>
            </w:r>
          </w:p>
        </w:tc>
        <w:tc>
          <w:tcPr>
            <w:tcW w:type="dxa" w:w="1814"/>
            <w:shd w:val="clear" w:color="auto" w:fill="FFFFFF"/>
          </w:tcPr>
          <w:p>
            <w:r>
              <w:rPr>
                <w:rFonts w:ascii="Calibri" w:hAnsi="Calibri"/>
                <w:color w:val="1F2937"/>
                <w:sz w:val="19"/>
              </w:rPr>
              <w:t>0.097 (Brier)</w:t>
            </w:r>
          </w:p>
        </w:tc>
        <w:tc>
          <w:tcPr>
            <w:tcW w:type="dxa" w:w="1814"/>
            <w:shd w:val="clear" w:color="auto" w:fill="FFFFFF"/>
          </w:tcPr>
          <w:p>
            <w:r>
              <w:rPr>
                <w:rFonts w:ascii="Calibri" w:hAnsi="Calibri"/>
                <w:color w:val="1F2937"/>
                <w:sz w:val="19"/>
              </w:rPr>
              <w:t>35.3%</w:t>
            </w:r>
          </w:p>
        </w:tc>
        <w:tc>
          <w:tcPr>
            <w:tcW w:type="dxa" w:w="1814"/>
            <w:shd w:val="clear" w:color="auto" w:fill="FFFFFF"/>
          </w:tcPr>
          <w:p>
            <w:r>
              <w:rPr>
                <w:rFonts w:ascii="Calibri" w:hAnsi="Calibri"/>
                <w:color w:val="1F2937"/>
                <w:sz w:val="19"/>
              </w:rPr>
              <w:t>Static binary classification</w:t>
            </w:r>
          </w:p>
        </w:tc>
      </w:tr>
      <w:tr>
        <w:tc>
          <w:tcPr>
            <w:tcW w:type="dxa" w:w="1814"/>
            <w:shd w:val="clear" w:color="auto" w:fill="F3F4F6"/>
          </w:tcPr>
          <w:p>
            <w:r>
              <w:rPr>
                <w:rFonts w:ascii="Calibri" w:hAnsi="Calibri"/>
                <w:color w:val="1F2937"/>
                <w:sz w:val="19"/>
              </w:rPr>
              <w:t>Cox PH Only</w:t>
            </w:r>
          </w:p>
        </w:tc>
        <w:tc>
          <w:tcPr>
            <w:tcW w:type="dxa" w:w="1814"/>
            <w:shd w:val="clear" w:color="auto" w:fill="F3F4F6"/>
          </w:tcPr>
          <w:p>
            <w:r>
              <w:rPr>
                <w:rFonts w:ascii="Calibri" w:hAnsi="Calibri"/>
                <w:color w:val="1F2937"/>
                <w:sz w:val="19"/>
              </w:rPr>
              <w:t>0.980</w:t>
            </w:r>
          </w:p>
        </w:tc>
        <w:tc>
          <w:tcPr>
            <w:tcW w:type="dxa" w:w="1814"/>
            <w:shd w:val="clear" w:color="auto" w:fill="F3F4F6"/>
          </w:tcPr>
          <w:p>
            <w:r>
              <w:rPr>
                <w:rFonts w:ascii="Calibri" w:hAnsi="Calibri"/>
                <w:color w:val="1F2937"/>
                <w:sz w:val="19"/>
              </w:rPr>
              <w:t>0.058</w:t>
            </w:r>
          </w:p>
        </w:tc>
        <w:tc>
          <w:tcPr>
            <w:tcW w:type="dxa" w:w="1814"/>
            <w:shd w:val="clear" w:color="auto" w:fill="F3F4F6"/>
          </w:tcPr>
          <w:p>
            <w:r>
              <w:rPr>
                <w:rFonts w:ascii="Calibri" w:hAnsi="Calibri"/>
                <w:color w:val="1F2937"/>
                <w:sz w:val="19"/>
              </w:rPr>
              <w:t>86.8%</w:t>
            </w:r>
          </w:p>
        </w:tc>
        <w:tc>
          <w:tcPr>
            <w:tcW w:type="dxa" w:w="1814"/>
            <w:shd w:val="clear" w:color="auto" w:fill="F3F4F6"/>
          </w:tcPr>
          <w:p>
            <w:r>
              <w:rPr>
                <w:rFonts w:ascii="Calibri" w:hAnsi="Calibri"/>
                <w:color w:val="1F2937"/>
                <w:sz w:val="19"/>
              </w:rPr>
              <w:t>+ Time-to-departure survival modeling</w:t>
            </w:r>
          </w:p>
        </w:tc>
      </w:tr>
      <w:tr>
        <w:tc>
          <w:tcPr>
            <w:tcW w:type="dxa" w:w="1814"/>
            <w:shd w:val="clear" w:color="auto" w:fill="FFFFFF"/>
          </w:tcPr>
          <w:p>
            <w:r>
              <w:rPr>
                <w:rFonts w:ascii="Calibri" w:hAnsi="Calibri"/>
                <w:color w:val="1F2937"/>
                <w:sz w:val="19"/>
              </w:rPr>
              <w:t>RSF Only</w:t>
            </w:r>
          </w:p>
        </w:tc>
        <w:tc>
          <w:tcPr>
            <w:tcW w:type="dxa" w:w="1814"/>
            <w:shd w:val="clear" w:color="auto" w:fill="FFFFFF"/>
          </w:tcPr>
          <w:p>
            <w:r>
              <w:rPr>
                <w:rFonts w:ascii="Calibri" w:hAnsi="Calibri"/>
                <w:color w:val="1F2937"/>
                <w:sz w:val="19"/>
              </w:rPr>
              <w:t>0.932</w:t>
            </w:r>
          </w:p>
        </w:tc>
        <w:tc>
          <w:tcPr>
            <w:tcW w:type="dxa" w:w="1814"/>
            <w:shd w:val="clear" w:color="auto" w:fill="FFFFFF"/>
          </w:tcPr>
          <w:p>
            <w:r>
              <w:rPr>
                <w:rFonts w:ascii="Calibri" w:hAnsi="Calibri"/>
                <w:color w:val="1F2937"/>
                <w:sz w:val="19"/>
              </w:rPr>
              <w:t>0.177</w:t>
            </w:r>
          </w:p>
        </w:tc>
        <w:tc>
          <w:tcPr>
            <w:tcW w:type="dxa" w:w="1814"/>
            <w:shd w:val="clear" w:color="auto" w:fill="FFFFFF"/>
          </w:tcPr>
          <w:p>
            <w:r>
              <w:rPr>
                <w:rFonts w:ascii="Calibri" w:hAnsi="Calibri"/>
                <w:color w:val="1F2937"/>
                <w:sz w:val="19"/>
              </w:rPr>
              <w:t>84.8%</w:t>
            </w:r>
          </w:p>
        </w:tc>
        <w:tc>
          <w:tcPr>
            <w:tcW w:type="dxa" w:w="1814"/>
            <w:shd w:val="clear" w:color="auto" w:fill="FFFFFF"/>
          </w:tcPr>
          <w:p>
            <w:r>
              <w:rPr>
                <w:rFonts w:ascii="Calibri" w:hAnsi="Calibri"/>
                <w:color w:val="1F2937"/>
                <w:sz w:val="19"/>
              </w:rPr>
              <w:t>+ Non-linear feature interactions</w:t>
            </w:r>
          </w:p>
        </w:tc>
      </w:tr>
      <w:tr>
        <w:tc>
          <w:tcPr>
            <w:tcW w:type="dxa" w:w="1814"/>
            <w:shd w:val="clear" w:color="auto" w:fill="E8F0FE"/>
          </w:tcPr>
          <w:p>
            <w:r>
              <w:rPr>
                <w:rFonts w:ascii="Calibri" w:hAnsi="Calibri"/>
                <w:b/>
                <w:color w:val="1A56DB"/>
                <w:sz w:val="19"/>
              </w:rPr>
              <w:t>Cox + RSF Weighted Ensemble</w:t>
            </w:r>
          </w:p>
        </w:tc>
        <w:tc>
          <w:tcPr>
            <w:tcW w:type="dxa" w:w="1814"/>
            <w:shd w:val="clear" w:color="auto" w:fill="E8F0FE"/>
          </w:tcPr>
          <w:p>
            <w:r>
              <w:rPr>
                <w:rFonts w:ascii="Calibri" w:hAnsi="Calibri"/>
                <w:b w:val="0"/>
                <w:color w:val="1A56DB"/>
                <w:sz w:val="19"/>
              </w:rPr>
              <w:t>0.957</w:t>
            </w:r>
          </w:p>
        </w:tc>
        <w:tc>
          <w:tcPr>
            <w:tcW w:type="dxa" w:w="1814"/>
            <w:shd w:val="clear" w:color="auto" w:fill="E8F0FE"/>
          </w:tcPr>
          <w:p>
            <w:r>
              <w:rPr>
                <w:rFonts w:ascii="Calibri" w:hAnsi="Calibri"/>
                <w:b w:val="0"/>
                <w:color w:val="1A56DB"/>
                <w:sz w:val="19"/>
              </w:rPr>
              <w:t>0.114</w:t>
            </w:r>
          </w:p>
        </w:tc>
        <w:tc>
          <w:tcPr>
            <w:tcW w:type="dxa" w:w="1814"/>
            <w:shd w:val="clear" w:color="auto" w:fill="E8F0FE"/>
          </w:tcPr>
          <w:p>
            <w:r>
              <w:rPr>
                <w:rFonts w:ascii="Calibri" w:hAnsi="Calibri"/>
                <w:b w:val="0"/>
                <w:color w:val="1A56DB"/>
                <w:sz w:val="19"/>
              </w:rPr>
              <w:t>85.5%</w:t>
            </w:r>
          </w:p>
        </w:tc>
        <w:tc>
          <w:tcPr>
            <w:tcW w:type="dxa" w:w="1814"/>
            <w:shd w:val="clear" w:color="auto" w:fill="E8F0FE"/>
          </w:tcPr>
          <w:p>
            <w:r>
              <w:rPr>
                <w:rFonts w:ascii="Calibri" w:hAnsi="Calibri"/>
                <w:b w:val="0"/>
                <w:color w:val="1A56DB"/>
                <w:sz w:val="19"/>
              </w:rPr>
              <w:t>+ Self-calibrating model fusion</w:t>
            </w:r>
          </w:p>
        </w:tc>
      </w:tr>
      <w:tr>
        <w:tc>
          <w:tcPr>
            <w:tcW w:type="dxa" w:w="1814"/>
            <w:shd w:val="clear" w:color="auto" w:fill="FFFFFF"/>
          </w:tcPr>
          <w:p>
            <w:r>
              <w:rPr>
                <w:rFonts w:ascii="Calibri" w:hAnsi="Calibri"/>
                <w:color w:val="1F2937"/>
                <w:sz w:val="19"/>
              </w:rPr>
              <w:t>+ ELV-Weighted Triage (Novelty 2)</w:t>
            </w:r>
          </w:p>
        </w:tc>
        <w:tc>
          <w:tcPr>
            <w:tcW w:type="dxa" w:w="1814"/>
            <w:shd w:val="clear" w:color="auto" w:fill="FFFFFF"/>
          </w:tcPr>
          <w:p>
            <w:r>
              <w:rPr>
                <w:rFonts w:ascii="Calibri" w:hAnsi="Calibri"/>
                <w:color w:val="1F2937"/>
                <w:sz w:val="19"/>
              </w:rPr>
              <w:t>0.957</w:t>
            </w:r>
          </w:p>
        </w:tc>
        <w:tc>
          <w:tcPr>
            <w:tcW w:type="dxa" w:w="1814"/>
            <w:shd w:val="clear" w:color="auto" w:fill="FFFFFF"/>
          </w:tcPr>
          <w:p>
            <w:r>
              <w:rPr>
                <w:rFonts w:ascii="Calibri" w:hAnsi="Calibri"/>
                <w:color w:val="1F2937"/>
                <w:sz w:val="19"/>
              </w:rPr>
              <w:t>0.114</w:t>
            </w:r>
          </w:p>
        </w:tc>
        <w:tc>
          <w:tcPr>
            <w:tcW w:type="dxa" w:w="1814"/>
            <w:shd w:val="clear" w:color="auto" w:fill="FFFFFF"/>
          </w:tcPr>
          <w:p>
            <w:r>
              <w:rPr>
                <w:rFonts w:ascii="Calibri" w:hAnsi="Calibri"/>
                <w:color w:val="1F2937"/>
                <w:sz w:val="19"/>
              </w:rPr>
              <w:t>86.6%</w:t>
            </w:r>
          </w:p>
        </w:tc>
        <w:tc>
          <w:tcPr>
            <w:tcW w:type="dxa" w:w="1814"/>
            <w:shd w:val="clear" w:color="auto" w:fill="FFFFFF"/>
          </w:tcPr>
          <w:p>
            <w:r>
              <w:rPr>
                <w:rFonts w:ascii="Calibri" w:hAnsi="Calibri"/>
                <w:color w:val="1F2937"/>
                <w:sz w:val="19"/>
              </w:rPr>
              <w:t>+ Financial exposure-ranked triage</w:t>
            </w:r>
          </w:p>
        </w:tc>
      </w:tr>
      <w:tr>
        <w:tc>
          <w:tcPr>
            <w:tcW w:type="dxa" w:w="1814"/>
            <w:shd w:val="clear" w:color="auto" w:fill="F3F4F6"/>
          </w:tcPr>
          <w:p>
            <w:r>
              <w:rPr>
                <w:rFonts w:ascii="Calibri" w:hAnsi="Calibri"/>
                <w:color w:val="1F2937"/>
                <w:sz w:val="19"/>
              </w:rPr>
              <w:t>+ SHAP-LLM Diagnostic (Novelty 3)</w:t>
            </w:r>
          </w:p>
        </w:tc>
        <w:tc>
          <w:tcPr>
            <w:tcW w:type="dxa" w:w="1814"/>
            <w:shd w:val="clear" w:color="auto" w:fill="F3F4F6"/>
          </w:tcPr>
          <w:p>
            <w:r>
              <w:rPr>
                <w:rFonts w:ascii="Calibri" w:hAnsi="Calibri"/>
                <w:color w:val="1F2937"/>
                <w:sz w:val="19"/>
              </w:rPr>
              <w:t>0.957</w:t>
            </w:r>
          </w:p>
        </w:tc>
        <w:tc>
          <w:tcPr>
            <w:tcW w:type="dxa" w:w="1814"/>
            <w:shd w:val="clear" w:color="auto" w:fill="F3F4F6"/>
          </w:tcPr>
          <w:p>
            <w:r>
              <w:rPr>
                <w:rFonts w:ascii="Calibri" w:hAnsi="Calibri"/>
                <w:color w:val="1F2937"/>
                <w:sz w:val="19"/>
              </w:rPr>
              <w:t>0.114</w:t>
            </w:r>
          </w:p>
        </w:tc>
        <w:tc>
          <w:tcPr>
            <w:tcW w:type="dxa" w:w="1814"/>
            <w:shd w:val="clear" w:color="auto" w:fill="F3F4F6"/>
          </w:tcPr>
          <w:p>
            <w:r>
              <w:rPr>
                <w:rFonts w:ascii="Calibri" w:hAnsi="Calibri"/>
                <w:color w:val="1F2937"/>
                <w:sz w:val="19"/>
              </w:rPr>
              <w:t>86.6%</w:t>
            </w:r>
          </w:p>
        </w:tc>
        <w:tc>
          <w:tcPr>
            <w:tcW w:type="dxa" w:w="1814"/>
            <w:shd w:val="clear" w:color="auto" w:fill="F3F4F6"/>
          </w:tcPr>
          <w:p>
            <w:r>
              <w:rPr>
                <w:rFonts w:ascii="Calibri" w:hAnsi="Calibri"/>
                <w:color w:val="1F2937"/>
                <w:sz w:val="19"/>
              </w:rPr>
              <w:t>+ Natural language risk explanation</w:t>
            </w:r>
          </w:p>
        </w:tc>
      </w:tr>
      <w:tr>
        <w:tc>
          <w:tcPr>
            <w:tcW w:type="dxa" w:w="1814"/>
            <w:shd w:val="clear" w:color="auto" w:fill="FFFFFF"/>
          </w:tcPr>
          <w:p>
            <w:r>
              <w:rPr>
                <w:rFonts w:ascii="Calibri" w:hAnsi="Calibri"/>
                <w:color w:val="1F2937"/>
                <w:sz w:val="19"/>
              </w:rPr>
              <w:t>+ Contextual Bandit Interventions (Novelty 4)</w:t>
            </w:r>
          </w:p>
        </w:tc>
        <w:tc>
          <w:tcPr>
            <w:tcW w:type="dxa" w:w="1814"/>
            <w:shd w:val="clear" w:color="auto" w:fill="FFFFFF"/>
          </w:tcPr>
          <w:p>
            <w:r>
              <w:rPr>
                <w:rFonts w:ascii="Calibri" w:hAnsi="Calibri"/>
                <w:color w:val="1F2937"/>
                <w:sz w:val="19"/>
              </w:rPr>
              <w:t>0.957</w:t>
            </w:r>
          </w:p>
        </w:tc>
        <w:tc>
          <w:tcPr>
            <w:tcW w:type="dxa" w:w="1814"/>
            <w:shd w:val="clear" w:color="auto" w:fill="FFFFFF"/>
          </w:tcPr>
          <w:p>
            <w:r>
              <w:rPr>
                <w:rFonts w:ascii="Calibri" w:hAnsi="Calibri"/>
                <w:color w:val="1F2937"/>
                <w:sz w:val="19"/>
              </w:rPr>
              <w:t>0.114</w:t>
            </w:r>
          </w:p>
        </w:tc>
        <w:tc>
          <w:tcPr>
            <w:tcW w:type="dxa" w:w="1814"/>
            <w:shd w:val="clear" w:color="auto" w:fill="FFFFFF"/>
          </w:tcPr>
          <w:p>
            <w:r>
              <w:rPr>
                <w:rFonts w:ascii="Calibri" w:hAnsi="Calibri"/>
                <w:color w:val="1F2937"/>
                <w:sz w:val="19"/>
              </w:rPr>
              <w:t>86.6%</w:t>
            </w:r>
          </w:p>
        </w:tc>
        <w:tc>
          <w:tcPr>
            <w:tcW w:type="dxa" w:w="1814"/>
            <w:shd w:val="clear" w:color="auto" w:fill="FFFFFF"/>
          </w:tcPr>
          <w:p>
            <w:r>
              <w:rPr>
                <w:rFonts w:ascii="Calibri" w:hAnsi="Calibri"/>
                <w:color w:val="1F2937"/>
                <w:sz w:val="19"/>
              </w:rPr>
              <w:t>+ Autonomous intervention learning (+98.0 ROI)</w:t>
            </w:r>
          </w:p>
        </w:tc>
      </w:tr>
    </w:tbl>
    <w:p>
      <w:pPr>
        <w:spacing w:after="120" w:before="40"/>
      </w:pPr>
      <w:r>
        <w:rPr>
          <w:rFonts w:ascii="Calibri" w:hAnsi="Calibri"/>
          <w:b w:val="0"/>
          <w:i w:val="0"/>
          <w:color w:val="1F2937"/>
          <w:sz w:val="22"/>
        </w:rPr>
      </w:r>
    </w:p>
    <w:p>
      <w:pPr>
        <w:spacing w:after="120" w:before="40"/>
      </w:pPr>
      <w:r>
        <w:rPr>
          <w:rFonts w:ascii="Calibri" w:hAnsi="Calibri"/>
          <w:b w:val="0"/>
          <w:i w:val="0"/>
          <w:color w:val="1F2937"/>
          <w:sz w:val="22"/>
        </w:rPr>
        <w:t>Key ablation findings: (1) Moving from binary logistic regression to Cox PH alone increases Revenue Recall@10% from 35.3% to 86.8% — demonstrating that survival modeling is not just theoretically superior but financially superior. (2) The ELV-weighted triage further improves Revenue Recall@10% by +1.1 percentage points, meaning more financial exposure is captured within the top-intervention budget. (3) The Contextual Bandit achieves a cumulative simulated ROI score of +98.0 over 100 simulated intervention episodes, demonstrating that autonomous policy learning outperforms static rule-based assignment.</w:t>
      </w:r>
    </w:p>
    <w:p>
      <w:r>
        <w:br w:type="page"/>
      </w:r>
    </w:p>
    <w:p>
      <w:pPr>
        <w:spacing w:before="360" w:after="160"/>
      </w:pPr>
      <w:r>
        <w:rPr>
          <w:rFonts w:ascii="Calibri" w:hAnsi="Calibri"/>
          <w:b/>
          <w:color w:val="0D1B3E"/>
          <w:sz w:val="40"/>
        </w:rPr>
        <w:t>7. Software Architecture &amp; Deployment</w:t>
      </w:r>
    </w:p>
    <w:p>
      <w:pPr>
        <w:spacing w:before="80" w:after="80"/>
        <w:pBdr>
          <w:bottom w:val="single" w:sz="6" w:space="1" w:color="1A56DB"/>
        </w:pBdr>
      </w:pPr>
    </w:p>
    <w:p>
      <w:pPr>
        <w:spacing w:before="200" w:after="160"/>
      </w:pPr>
      <w:r>
        <w:rPr>
          <w:b/>
          <w:color w:val="1A56DB"/>
          <w:sz w:val="32"/>
        </w:rPr>
        <w:t>7.1 Project Directory Structure</w:t>
      </w:r>
    </w:p>
    <w:p>
      <w:pPr>
        <w:spacing w:after="120" w:before="40"/>
      </w:pPr>
      <w:r>
        <w:rPr>
          <w:rFonts w:ascii="Calibri" w:hAnsi="Calibri"/>
          <w:b w:val="0"/>
          <w:i w:val="0"/>
          <w:color w:val="1F2937"/>
          <w:sz w:val="22"/>
        </w:rPr>
        <w:t>The Nexus AI codebase is organised into a clean, modular Python package hierarchy with strict separation of concerns:</w:t>
      </w:r>
    </w:p>
    <w:p>
      <w:pPr>
        <w:spacing w:before="80" w:after="160"/>
      </w:pPr>
      <w:r>
        <w:rPr>
          <w:rFonts w:ascii="Courier New" w:hAnsi="Courier New"/>
          <w:color w:val="1F2937"/>
          <w:sz w:val="17"/>
        </w:rPr>
        <w:t>Intern_task-1/</w:t>
        <w:br/>
        <w:t>├── backend/                   ← FastAPI REST API Server Layer</w:t>
        <w:br/>
        <w:t>│   ├── server.py              ← App entrypoint, CORS, static mounting, OpenAPI</w:t>
        <w:br/>
        <w:t>│   ├── state.py               ← Central in-memory runtime session store</w:t>
        <w:br/>
        <w:t>│   ├── schemas.py             ← Pydantic request/response type models</w:t>
        <w:br/>
        <w:t>│   └── routes/                ← Modular API Route Controllers</w:t>
        <w:br/>
        <w:t>│       ├── dataset.py         ← /api/upload, /api/load-preset, /api/generate-sample</w:t>
        <w:br/>
        <w:t>│       ├── training.py        ← /api/train (full ensemble pipeline)</w:t>
        <w:br/>
        <w:t>│       ├── analytics.py       ← /api/analytics, /api/triage, /api/employee/{id}</w:t>
        <w:br/>
        <w:t>│       ├── agents.py          ← /api/agent/run, /api/agent/feedback</w:t>
        <w:br/>
        <w:t>│       └── ablation.py        ← /api/ablation, /api/benchmark/dual</w:t>
        <w:br/>
        <w:t>│</w:t>
        <w:br/>
        <w:t>├── agents/                    ← Autonomous 6-Stage Multi-Agent System</w:t>
        <w:br/>
        <w:t>│   ├── observer.py            ← Agent 1: Data telemetry &amp; ingestion</w:t>
        <w:br/>
        <w:t>│   ├── analyst.py             ← Agent 2: ELV &amp; financial triage</w:t>
        <w:br/>
        <w:t>│   ├── diagnostic.py          ← Agent 3: SHAP-to-LLM narrative generation</w:t>
        <w:br/>
        <w:t>│   ├── strategist.py          ← Agent 4: LinUCB Contextual Bandit</w:t>
        <w:br/>
        <w:t>│   ├── executor.py            ← Agent 5: Manager Action Card dispatcher</w:t>
        <w:br/>
        <w:t>│   ├── feedback.py            ← Agent 6: Reward-based policy updater</w:t>
        <w:br/>
        <w:t>│   └── pipeline.py            ← NexusMultiAgentPipeline orchestrator</w:t>
        <w:br/>
        <w:t>│</w:t>
        <w:br/>
        <w:t>├── core/                      ← Data Ingestion, Processing &amp; I/O Utilities</w:t>
        <w:br/>
        <w:t>│   ├── data_processor.py      ← Schema normalisation &amp; survival encoding</w:t>
        <w:br/>
        <w:t>│   ├── dataset_generator.py   ← Synthetic HR dataset generator</w:t>
        <w:br/>
        <w:t>│   ├── persistence.py         ← joblib model serialisation/loading</w:t>
        <w:br/>
        <w:t>│   └── report_generator.py    ← HTML/JSON evaluation report generation</w:t>
        <w:br/>
        <w:t>│</w:t>
        <w:br/>
        <w:t>├── models/                    ← Machine Learning &amp; Financial Models</w:t>
        <w:br/>
        <w:t>│   ├── survival_models.py     ← Cox PH, RSF, Kaplan-Meier fitting</w:t>
        <w:br/>
        <w:t>│   ├── training.py            ← Full end-to-end training orchestration</w:t>
        <w:br/>
        <w:t>│   ├── prediction.py          ← Weighted ensemble S(t) curves &amp; probabilities</w:t>
        <w:br/>
        <w:t>│   ├── validation.py          ← Stratified 5-fold cross-validation</w:t>
        <w:br/>
        <w:t>│   ├── metrics.py             ← C-index, IBS, calibration, hazard ratios</w:t>
        <w:br/>
        <w:t>│   ├── elv_calculator.py      ← ELV, confidence-weighted RAR, Recall@K</w:t>
        <w:br/>
        <w:t>│   ├── explainability.py      ← TreeSHAP extraction &amp; waterfall plots</w:t>
        <w:br/>
        <w:t>│   ├── llm_diagnostics.py     ← Natural language diagnostic synthesis</w:t>
        <w:br/>
        <w:t>│   └── ablation.py            ← Section 10 scientific ablation matrix</w:t>
        <w:br/>
        <w:t>│</w:t>
        <w:br/>
        <w:t>├── frontend/                  ← User Interface Layer</w:t>
        <w:br/>
        <w:t>│   ├── templates/</w:t>
        <w:br/>
        <w:t>│   │   └── dashboard.html     ← SPA dashboard (React 18 + Chart.js, Light/Dark)</w:t>
        <w:br/>
        <w:t>│   └── static/</w:t>
        <w:br/>
        <w:t>│       ├── css/style.css      ← Design tokens, animations, glassmorphism</w:t>
        <w:br/>
        <w:t>│       └── js/app.js          ← State management, API bindings</w:t>
        <w:br/>
        <w:t>│</w:t>
        <w:br/>
        <w:t>├── Datasets/                  ← Benchmark HR Datasets</w:t>
        <w:br/>
        <w:t>│   ├── IBM-Dataset/           ← Primary: IBM HR Analytics (n=1,470)</w:t>
        <w:br/>
        <w:t>│   └── HealthCare-Dataset/    ← Validation: Watson Healthcare (n=1,676)</w:t>
        <w:br/>
        <w:t>│</w:t>
        <w:br/>
        <w:t>├── outputs/                   ← Saved model binaries &amp; evaluation reports</w:t>
        <w:br/>
        <w:t>├── main.py                    ← Unified application launcher</w:t>
        <w:br/>
        <w:t>└── requirements.txt           ← Python dependency specification</w:t>
      </w:r>
    </w:p>
    <w:p>
      <w:pPr>
        <w:spacing w:before="200" w:after="160"/>
      </w:pPr>
      <w:r>
        <w:rPr>
          <w:b/>
          <w:color w:val="1A56DB"/>
          <w:sz w:val="32"/>
        </w:rPr>
        <w:t>7.2 REST API Endpoints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56DB"/>
          </w:tcPr>
          <w:p>
            <w:r>
              <w:rPr>
                <w:rFonts w:ascii="Calibri" w:hAnsi="Calibri"/>
                <w:b/>
                <w:color w:val="FFFFFF"/>
                <w:sz w:val="20"/>
              </w:rPr>
              <w:t>Endpoint</w:t>
            </w:r>
          </w:p>
        </w:tc>
        <w:tc>
          <w:tcPr>
            <w:tcW w:type="dxa" w:w="3024"/>
            <w:shd w:val="clear" w:color="auto" w:fill="1A56DB"/>
          </w:tcPr>
          <w:p>
            <w:r>
              <w:rPr>
                <w:rFonts w:ascii="Calibri" w:hAnsi="Calibri"/>
                <w:b/>
                <w:color w:val="FFFFFF"/>
                <w:sz w:val="20"/>
              </w:rPr>
              <w:t>Description</w:t>
            </w:r>
          </w:p>
        </w:tc>
        <w:tc>
          <w:tcPr>
            <w:tcW w:type="dxa" w:w="3024"/>
            <w:shd w:val="clear" w:color="auto" w:fill="1A56DB"/>
          </w:tcPr>
          <w:p>
            <w:r>
              <w:rPr>
                <w:rFonts w:ascii="Calibri" w:hAnsi="Calibri"/>
                <w:b/>
                <w:color w:val="FFFFFF"/>
                <w:sz w:val="20"/>
              </w:rPr>
              <w:t>Request/Response</w:t>
            </w:r>
          </w:p>
        </w:tc>
      </w:tr>
      <w:tr>
        <w:tc>
          <w:tcPr>
            <w:tcW w:type="dxa" w:w="3024"/>
            <w:shd w:val="clear" w:color="auto" w:fill="FFFFFF"/>
          </w:tcPr>
          <w:p>
            <w:r>
              <w:rPr>
                <w:rFonts w:ascii="Courier New" w:hAnsi="Courier New"/>
                <w:color w:val="1F2937"/>
                <w:sz w:val="18"/>
              </w:rPr>
              <w:t>POST /api/load-preset</w:t>
            </w:r>
          </w:p>
        </w:tc>
        <w:tc>
          <w:tcPr>
            <w:tcW w:type="dxa" w:w="3024"/>
            <w:shd w:val="clear" w:color="auto" w:fill="FFFFFF"/>
          </w:tcPr>
          <w:p>
            <w:r>
              <w:rPr>
                <w:rFonts w:ascii="Calibri" w:hAnsi="Calibri"/>
                <w:color w:val="1F2937"/>
                <w:sz w:val="18"/>
              </w:rPr>
              <w:t>Load IBM or Healthcare benchmark dataset</w:t>
            </w:r>
          </w:p>
        </w:tc>
        <w:tc>
          <w:tcPr>
            <w:tcW w:type="dxa" w:w="3024"/>
            <w:shd w:val="clear" w:color="auto" w:fill="FFFFFF"/>
          </w:tcPr>
          <w:p>
            <w:r>
              <w:rPr>
                <w:rFonts w:ascii="Calibri" w:hAnsi="Calibri"/>
                <w:color w:val="1F2937"/>
                <w:sz w:val="18"/>
              </w:rPr>
              <w:t>{ preset: 'ibm' | 'healthcare' }</w:t>
            </w:r>
          </w:p>
        </w:tc>
      </w:tr>
      <w:tr>
        <w:tc>
          <w:tcPr>
            <w:tcW w:type="dxa" w:w="3024"/>
            <w:shd w:val="clear" w:color="auto" w:fill="F3F4F6"/>
          </w:tcPr>
          <w:p>
            <w:r>
              <w:rPr>
                <w:rFonts w:ascii="Courier New" w:hAnsi="Courier New"/>
                <w:color w:val="1F2937"/>
                <w:sz w:val="18"/>
              </w:rPr>
              <w:t>POST /api/upload</w:t>
            </w:r>
          </w:p>
        </w:tc>
        <w:tc>
          <w:tcPr>
            <w:tcW w:type="dxa" w:w="3024"/>
            <w:shd w:val="clear" w:color="auto" w:fill="F3F4F6"/>
          </w:tcPr>
          <w:p>
            <w:r>
              <w:rPr>
                <w:rFonts w:ascii="Calibri" w:hAnsi="Calibri"/>
                <w:color w:val="1F2937"/>
                <w:sz w:val="18"/>
              </w:rPr>
              <w:t>Upload custom CSV/Excel HR dataset</w:t>
            </w:r>
          </w:p>
        </w:tc>
        <w:tc>
          <w:tcPr>
            <w:tcW w:type="dxa" w:w="3024"/>
            <w:shd w:val="clear" w:color="auto" w:fill="F3F4F6"/>
          </w:tcPr>
          <w:p>
            <w:r>
              <w:rPr>
                <w:rFonts w:ascii="Calibri" w:hAnsi="Calibri"/>
                <w:color w:val="1F2937"/>
                <w:sz w:val="18"/>
              </w:rPr>
              <w:t>Multipart file upload</w:t>
            </w:r>
          </w:p>
        </w:tc>
      </w:tr>
      <w:tr>
        <w:tc>
          <w:tcPr>
            <w:tcW w:type="dxa" w:w="3024"/>
            <w:shd w:val="clear" w:color="auto" w:fill="FFFFFF"/>
          </w:tcPr>
          <w:p>
            <w:r>
              <w:rPr>
                <w:rFonts w:ascii="Courier New" w:hAnsi="Courier New"/>
                <w:color w:val="1F2937"/>
                <w:sz w:val="18"/>
              </w:rPr>
              <w:t>POST /api/train</w:t>
            </w:r>
          </w:p>
        </w:tc>
        <w:tc>
          <w:tcPr>
            <w:tcW w:type="dxa" w:w="3024"/>
            <w:shd w:val="clear" w:color="auto" w:fill="FFFFFF"/>
          </w:tcPr>
          <w:p>
            <w:r>
              <w:rPr>
                <w:rFonts w:ascii="Calibri" w:hAnsi="Calibri"/>
                <w:color w:val="1F2937"/>
                <w:sz w:val="18"/>
              </w:rPr>
              <w:t>Train Cox PH + RSF ensemble + auto-ablation</w:t>
            </w:r>
          </w:p>
        </w:tc>
        <w:tc>
          <w:tcPr>
            <w:tcW w:type="dxa" w:w="3024"/>
            <w:shd w:val="clear" w:color="auto" w:fill="FFFFFF"/>
          </w:tcPr>
          <w:p>
            <w:r>
              <w:rPr>
                <w:rFonts w:ascii="Calibri" w:hAnsi="Calibri"/>
                <w:color w:val="1F2937"/>
                <w:sz w:val="18"/>
              </w:rPr>
              <w:t>No body required</w:t>
            </w:r>
          </w:p>
        </w:tc>
      </w:tr>
      <w:tr>
        <w:tc>
          <w:tcPr>
            <w:tcW w:type="dxa" w:w="3024"/>
            <w:shd w:val="clear" w:color="auto" w:fill="F3F4F6"/>
          </w:tcPr>
          <w:p>
            <w:r>
              <w:rPr>
                <w:rFonts w:ascii="Courier New" w:hAnsi="Courier New"/>
                <w:color w:val="1F2937"/>
                <w:sz w:val="18"/>
              </w:rPr>
              <w:t>GET  /api/analytics</w:t>
            </w:r>
          </w:p>
        </w:tc>
        <w:tc>
          <w:tcPr>
            <w:tcW w:type="dxa" w:w="3024"/>
            <w:shd w:val="clear" w:color="auto" w:fill="F3F4F6"/>
          </w:tcPr>
          <w:p>
            <w:r>
              <w:rPr>
                <w:rFonts w:ascii="Calibri" w:hAnsi="Calibri"/>
                <w:color w:val="1F2937"/>
                <w:sz w:val="18"/>
              </w:rPr>
              <w:t>Get all chart-ready aggregated analytics</w:t>
            </w:r>
          </w:p>
        </w:tc>
        <w:tc>
          <w:tcPr>
            <w:tcW w:type="dxa" w:w="3024"/>
            <w:shd w:val="clear" w:color="auto" w:fill="F3F4F6"/>
          </w:tcPr>
          <w:p>
            <w:r>
              <w:rPr>
                <w:rFonts w:ascii="Calibri" w:hAnsi="Calibri"/>
                <w:color w:val="1F2937"/>
                <w:sz w:val="18"/>
              </w:rPr>
              <w:t>Returns risk distribution, tier breakdown, top employees</w:t>
            </w:r>
          </w:p>
        </w:tc>
      </w:tr>
      <w:tr>
        <w:tc>
          <w:tcPr>
            <w:tcW w:type="dxa" w:w="3024"/>
            <w:shd w:val="clear" w:color="auto" w:fill="FFFFFF"/>
          </w:tcPr>
          <w:p>
            <w:r>
              <w:rPr>
                <w:rFonts w:ascii="Courier New" w:hAnsi="Courier New"/>
                <w:color w:val="1F2937"/>
                <w:sz w:val="18"/>
              </w:rPr>
              <w:t>POST /api/triage</w:t>
            </w:r>
          </w:p>
        </w:tc>
        <w:tc>
          <w:tcPr>
            <w:tcW w:type="dxa" w:w="3024"/>
            <w:shd w:val="clear" w:color="auto" w:fill="FFFFFF"/>
          </w:tcPr>
          <w:p>
            <w:r>
              <w:rPr>
                <w:rFonts w:ascii="Calibri" w:hAnsi="Calibri"/>
                <w:color w:val="1F2937"/>
                <w:sz w:val="18"/>
              </w:rPr>
              <w:t>Get full ELV &amp; Revenue at Risk leaderboard</w:t>
            </w:r>
          </w:p>
        </w:tc>
        <w:tc>
          <w:tcPr>
            <w:tcW w:type="dxa" w:w="3024"/>
            <w:shd w:val="clear" w:color="auto" w:fill="FFFFFF"/>
          </w:tcPr>
          <w:p>
            <w:r>
              <w:rPr>
                <w:rFonts w:ascii="Calibri" w:hAnsi="Calibri"/>
                <w:color w:val="1F2937"/>
                <w:sz w:val="18"/>
              </w:rPr>
              <w:t>Returns urgency-ranked employee list</w:t>
            </w:r>
          </w:p>
        </w:tc>
      </w:tr>
      <w:tr>
        <w:tc>
          <w:tcPr>
            <w:tcW w:type="dxa" w:w="3024"/>
            <w:shd w:val="clear" w:color="auto" w:fill="F3F4F6"/>
          </w:tcPr>
          <w:p>
            <w:r>
              <w:rPr>
                <w:rFonts w:ascii="Courier New" w:hAnsi="Courier New"/>
                <w:color w:val="1F2937"/>
                <w:sz w:val="18"/>
              </w:rPr>
              <w:t>GET  /api/employee/{id}</w:t>
            </w:r>
          </w:p>
        </w:tc>
        <w:tc>
          <w:tcPr>
            <w:tcW w:type="dxa" w:w="3024"/>
            <w:shd w:val="clear" w:color="auto" w:fill="F3F4F6"/>
          </w:tcPr>
          <w:p>
            <w:r>
              <w:rPr>
                <w:rFonts w:ascii="Calibri" w:hAnsi="Calibri"/>
                <w:color w:val="1F2937"/>
                <w:sz w:val="18"/>
              </w:rPr>
              <w:t>Get per-employee risk profile + SHAP diagnostic</w:t>
            </w:r>
          </w:p>
        </w:tc>
        <w:tc>
          <w:tcPr>
            <w:tcW w:type="dxa" w:w="3024"/>
            <w:shd w:val="clear" w:color="auto" w:fill="F3F4F6"/>
          </w:tcPr>
          <w:p>
            <w:r>
              <w:rPr>
                <w:rFonts w:ascii="Calibri" w:hAnsi="Calibri"/>
                <w:color w:val="1F2937"/>
                <w:sz w:val="18"/>
              </w:rPr>
              <w:t>Returns survival curves, reasons, LLM narrative</w:t>
            </w:r>
          </w:p>
        </w:tc>
      </w:tr>
      <w:tr>
        <w:tc>
          <w:tcPr>
            <w:tcW w:type="dxa" w:w="3024"/>
            <w:shd w:val="clear" w:color="auto" w:fill="FFFFFF"/>
          </w:tcPr>
          <w:p>
            <w:r>
              <w:rPr>
                <w:rFonts w:ascii="Courier New" w:hAnsi="Courier New"/>
                <w:color w:val="1F2937"/>
                <w:sz w:val="18"/>
              </w:rPr>
              <w:t>POST /api/agent/run</w:t>
            </w:r>
          </w:p>
        </w:tc>
        <w:tc>
          <w:tcPr>
            <w:tcW w:type="dxa" w:w="3024"/>
            <w:shd w:val="clear" w:color="auto" w:fill="FFFFFF"/>
          </w:tcPr>
          <w:p>
            <w:r>
              <w:rPr>
                <w:rFonts w:ascii="Calibri" w:hAnsi="Calibri"/>
                <w:color w:val="1F2937"/>
                <w:sz w:val="18"/>
              </w:rPr>
              <w:t>Execute 6-agent pipeline for one employee</w:t>
            </w:r>
          </w:p>
        </w:tc>
        <w:tc>
          <w:tcPr>
            <w:tcW w:type="dxa" w:w="3024"/>
            <w:shd w:val="clear" w:color="auto" w:fill="FFFFFF"/>
          </w:tcPr>
          <w:p>
            <w:r>
              <w:rPr>
                <w:rFonts w:ascii="Calibri" w:hAnsi="Calibri"/>
                <w:color w:val="1F2937"/>
                <w:sz w:val="18"/>
              </w:rPr>
              <w:t>{ employee_id: string }</w:t>
            </w:r>
          </w:p>
        </w:tc>
      </w:tr>
      <w:tr>
        <w:tc>
          <w:tcPr>
            <w:tcW w:type="dxa" w:w="3024"/>
            <w:shd w:val="clear" w:color="auto" w:fill="F3F4F6"/>
          </w:tcPr>
          <w:p>
            <w:r>
              <w:rPr>
                <w:rFonts w:ascii="Courier New" w:hAnsi="Courier New"/>
                <w:color w:val="1F2937"/>
                <w:sz w:val="18"/>
              </w:rPr>
              <w:t>POST /api/agent/feedback</w:t>
            </w:r>
          </w:p>
        </w:tc>
        <w:tc>
          <w:tcPr>
            <w:tcW w:type="dxa" w:w="3024"/>
            <w:shd w:val="clear" w:color="auto" w:fill="F3F4F6"/>
          </w:tcPr>
          <w:p>
            <w:r>
              <w:rPr>
                <w:rFonts w:ascii="Calibri" w:hAnsi="Calibri"/>
                <w:color w:val="1F2937"/>
                <w:sz w:val="18"/>
              </w:rPr>
              <w:t>Log intervention outcome &amp; update bandit policy</w:t>
            </w:r>
          </w:p>
        </w:tc>
        <w:tc>
          <w:tcPr>
            <w:tcW w:type="dxa" w:w="3024"/>
            <w:shd w:val="clear" w:color="auto" w:fill="F3F4F6"/>
          </w:tcPr>
          <w:p>
            <w:r>
              <w:rPr>
                <w:rFonts w:ascii="Calibri" w:hAnsi="Calibri"/>
                <w:color w:val="1F2937"/>
                <w:sz w:val="18"/>
              </w:rPr>
              <w:t>{ employee_id, action, outcome }</w:t>
            </w:r>
          </w:p>
        </w:tc>
      </w:tr>
      <w:tr>
        <w:tc>
          <w:tcPr>
            <w:tcW w:type="dxa" w:w="3024"/>
            <w:shd w:val="clear" w:color="auto" w:fill="FFFFFF"/>
          </w:tcPr>
          <w:p>
            <w:r>
              <w:rPr>
                <w:rFonts w:ascii="Courier New" w:hAnsi="Courier New"/>
                <w:color w:val="1F2937"/>
                <w:sz w:val="18"/>
              </w:rPr>
              <w:t>POST /api/ablation</w:t>
            </w:r>
          </w:p>
        </w:tc>
        <w:tc>
          <w:tcPr>
            <w:tcW w:type="dxa" w:w="3024"/>
            <w:shd w:val="clear" w:color="auto" w:fill="FFFFFF"/>
          </w:tcPr>
          <w:p>
            <w:r>
              <w:rPr>
                <w:rFonts w:ascii="Calibri" w:hAnsi="Calibri"/>
                <w:color w:val="1F2937"/>
                <w:sz w:val="18"/>
              </w:rPr>
              <w:t>Re-run Section 10 scientific ablation matrix</w:t>
            </w:r>
          </w:p>
        </w:tc>
        <w:tc>
          <w:tcPr>
            <w:tcW w:type="dxa" w:w="3024"/>
            <w:shd w:val="clear" w:color="auto" w:fill="FFFFFF"/>
          </w:tcPr>
          <w:p>
            <w:r>
              <w:rPr>
                <w:rFonts w:ascii="Calibri" w:hAnsi="Calibri"/>
                <w:color w:val="1F2937"/>
                <w:sz w:val="18"/>
              </w:rPr>
              <w:t>No body required; returns 7-row benchmark table</w:t>
            </w:r>
          </w:p>
        </w:tc>
      </w:tr>
      <w:tr>
        <w:tc>
          <w:tcPr>
            <w:tcW w:type="dxa" w:w="3024"/>
            <w:shd w:val="clear" w:color="auto" w:fill="F3F4F6"/>
          </w:tcPr>
          <w:p>
            <w:r>
              <w:rPr>
                <w:rFonts w:ascii="Courier New" w:hAnsi="Courier New"/>
                <w:color w:val="1F2937"/>
                <w:sz w:val="18"/>
              </w:rPr>
              <w:t>GET  /health</w:t>
            </w:r>
          </w:p>
        </w:tc>
        <w:tc>
          <w:tcPr>
            <w:tcW w:type="dxa" w:w="3024"/>
            <w:shd w:val="clear" w:color="auto" w:fill="F3F4F6"/>
          </w:tcPr>
          <w:p>
            <w:r>
              <w:rPr>
                <w:rFonts w:ascii="Calibri" w:hAnsi="Calibri"/>
                <w:color w:val="1F2937"/>
                <w:sz w:val="18"/>
              </w:rPr>
              <w:t>System health check</w:t>
            </w:r>
          </w:p>
        </w:tc>
        <w:tc>
          <w:tcPr>
            <w:tcW w:type="dxa" w:w="3024"/>
            <w:shd w:val="clear" w:color="auto" w:fill="F3F4F6"/>
          </w:tcPr>
          <w:p>
            <w:r>
              <w:rPr>
                <w:rFonts w:ascii="Calibri" w:hAnsi="Calibri"/>
                <w:color w:val="1F2937"/>
                <w:sz w:val="18"/>
              </w:rPr>
              <w:t>Returns version, status, docs link</w:t>
            </w:r>
          </w:p>
        </w:tc>
      </w:tr>
      <w:tr>
        <w:tc>
          <w:tcPr>
            <w:tcW w:type="dxa" w:w="3024"/>
            <w:shd w:val="clear" w:color="auto" w:fill="FFFFFF"/>
          </w:tcPr>
          <w:p>
            <w:r>
              <w:rPr>
                <w:rFonts w:ascii="Courier New" w:hAnsi="Courier New"/>
                <w:color w:val="1F2937"/>
                <w:sz w:val="18"/>
              </w:rPr>
              <w:t>GET  /docs</w:t>
            </w:r>
          </w:p>
        </w:tc>
        <w:tc>
          <w:tcPr>
            <w:tcW w:type="dxa" w:w="3024"/>
            <w:shd w:val="clear" w:color="auto" w:fill="FFFFFF"/>
          </w:tcPr>
          <w:p>
            <w:r>
              <w:rPr>
                <w:rFonts w:ascii="Calibri" w:hAnsi="Calibri"/>
                <w:color w:val="1F2937"/>
                <w:sz w:val="18"/>
              </w:rPr>
              <w:t>Interactive Swagger API documentation</w:t>
            </w:r>
          </w:p>
        </w:tc>
        <w:tc>
          <w:tcPr>
            <w:tcW w:type="dxa" w:w="3024"/>
            <w:shd w:val="clear" w:color="auto" w:fill="FFFFFF"/>
          </w:tcPr>
          <w:p>
            <w:r>
              <w:rPr>
                <w:rFonts w:ascii="Calibri" w:hAnsi="Calibri"/>
                <w:color w:val="1F2937"/>
                <w:sz w:val="18"/>
              </w:rPr>
              <w:t>OpenAPI 3.0 schema browser</w:t>
            </w:r>
          </w:p>
        </w:tc>
      </w:tr>
    </w:tbl>
    <w:p>
      <w:pPr>
        <w:spacing w:before="200" w:after="160"/>
      </w:pPr>
      <w:r>
        <w:rPr>
          <w:b/>
          <w:color w:val="1A56DB"/>
          <w:sz w:val="32"/>
        </w:rPr>
        <w:t>7.3 Technology Stack</w:t>
      </w:r>
    </w:p>
    <w:tbl>
      <w:tblPr>
        <w:tblStyle w:val="TableGrid"/>
        <w:tblW w:type="auto" w:w="0"/>
        <w:tblLook w:firstColumn="1" w:firstRow="1" w:lastColumn="0" w:lastRow="0" w:noHBand="0" w:noVBand="1" w:val="04A0"/>
      </w:tblPr>
      <w:tblGrid>
        <w:gridCol w:w="4536"/>
        <w:gridCol w:w="4536"/>
      </w:tblGrid>
      <w:tr>
        <w:tc>
          <w:tcPr>
            <w:tcW w:type="dxa" w:w="4536"/>
            <w:shd w:val="clear" w:color="auto" w:fill="0D1B3E"/>
          </w:tcPr>
          <w:p>
            <w:r>
              <w:rPr>
                <w:rFonts w:ascii="Calibri" w:hAnsi="Calibri"/>
                <w:b/>
                <w:color w:val="FFFFFF"/>
                <w:sz w:val="20"/>
              </w:rPr>
              <w:t>Component</w:t>
            </w:r>
          </w:p>
        </w:tc>
        <w:tc>
          <w:tcPr>
            <w:tcW w:type="dxa" w:w="4536"/>
            <w:shd w:val="clear" w:color="auto" w:fill="0D1B3E"/>
          </w:tcPr>
          <w:p>
            <w:r>
              <w:rPr>
                <w:rFonts w:ascii="Calibri" w:hAnsi="Calibri"/>
                <w:b/>
                <w:color w:val="FFFFFF"/>
                <w:sz w:val="20"/>
              </w:rPr>
              <w:t>Technology / Library</w:t>
            </w:r>
          </w:p>
        </w:tc>
      </w:tr>
      <w:tr>
        <w:tc>
          <w:tcPr>
            <w:tcW w:type="dxa" w:w="4536"/>
            <w:shd w:val="clear" w:color="auto" w:fill="FFFFFF"/>
          </w:tcPr>
          <w:p>
            <w:r>
              <w:rPr>
                <w:rFonts w:ascii="Calibri" w:hAnsi="Calibri"/>
                <w:b/>
                <w:color w:val="1F2937"/>
                <w:sz w:val="20"/>
              </w:rPr>
              <w:t>Backend Runtime</w:t>
            </w:r>
          </w:p>
        </w:tc>
        <w:tc>
          <w:tcPr>
            <w:tcW w:type="dxa" w:w="4536"/>
            <w:shd w:val="clear" w:color="auto" w:fill="FFFFFF"/>
          </w:tcPr>
          <w:p>
            <w:r>
              <w:rPr>
                <w:rFonts w:ascii="Calibri" w:hAnsi="Calibri"/>
                <w:color w:val="1F2937"/>
                <w:sz w:val="20"/>
              </w:rPr>
              <w:t>Python 3.11 · FastAPI 0.110 · Uvicorn ASGI Server</w:t>
            </w:r>
          </w:p>
        </w:tc>
      </w:tr>
      <w:tr>
        <w:tc>
          <w:tcPr>
            <w:tcW w:type="dxa" w:w="4536"/>
            <w:shd w:val="clear" w:color="auto" w:fill="F3F4F6"/>
          </w:tcPr>
          <w:p>
            <w:r>
              <w:rPr>
                <w:rFonts w:ascii="Calibri" w:hAnsi="Calibri"/>
                <w:b/>
                <w:color w:val="1F2937"/>
                <w:sz w:val="20"/>
              </w:rPr>
              <w:t>Survival Modeling</w:t>
            </w:r>
          </w:p>
        </w:tc>
        <w:tc>
          <w:tcPr>
            <w:tcW w:type="dxa" w:w="4536"/>
            <w:shd w:val="clear" w:color="auto" w:fill="F3F4F6"/>
          </w:tcPr>
          <w:p>
            <w:r>
              <w:rPr>
                <w:rFonts w:ascii="Calibri" w:hAnsi="Calibri"/>
                <w:color w:val="1F2937"/>
                <w:sz w:val="20"/>
              </w:rPr>
              <w:t>lifelines (Cox PH, Kaplan-Meier) · scikit-survival (RSF)</w:t>
            </w:r>
          </w:p>
        </w:tc>
      </w:tr>
      <w:tr>
        <w:tc>
          <w:tcPr>
            <w:tcW w:type="dxa" w:w="4536"/>
            <w:shd w:val="clear" w:color="auto" w:fill="FFFFFF"/>
          </w:tcPr>
          <w:p>
            <w:r>
              <w:rPr>
                <w:rFonts w:ascii="Calibri" w:hAnsi="Calibri"/>
                <w:b/>
                <w:color w:val="1F2937"/>
                <w:sz w:val="20"/>
              </w:rPr>
              <w:t>Machine Learning</w:t>
            </w:r>
          </w:p>
        </w:tc>
        <w:tc>
          <w:tcPr>
            <w:tcW w:type="dxa" w:w="4536"/>
            <w:shd w:val="clear" w:color="auto" w:fill="FFFFFF"/>
          </w:tcPr>
          <w:p>
            <w:r>
              <w:rPr>
                <w:rFonts w:ascii="Calibri" w:hAnsi="Calibri"/>
                <w:color w:val="1F2937"/>
                <w:sz w:val="20"/>
              </w:rPr>
              <w:t>scikit-learn (LogisticRegression, StandardScaler, StratifiedKFold)</w:t>
            </w:r>
          </w:p>
        </w:tc>
      </w:tr>
      <w:tr>
        <w:tc>
          <w:tcPr>
            <w:tcW w:type="dxa" w:w="4536"/>
            <w:shd w:val="clear" w:color="auto" w:fill="F3F4F6"/>
          </w:tcPr>
          <w:p>
            <w:r>
              <w:rPr>
                <w:rFonts w:ascii="Calibri" w:hAnsi="Calibri"/>
                <w:b/>
                <w:color w:val="1F2937"/>
                <w:sz w:val="20"/>
              </w:rPr>
              <w:t>Explainability</w:t>
            </w:r>
          </w:p>
        </w:tc>
        <w:tc>
          <w:tcPr>
            <w:tcW w:type="dxa" w:w="4536"/>
            <w:shd w:val="clear" w:color="auto" w:fill="F3F4F6"/>
          </w:tcPr>
          <w:p>
            <w:r>
              <w:rPr>
                <w:rFonts w:ascii="Calibri" w:hAnsi="Calibri"/>
                <w:color w:val="1F2937"/>
                <w:sz w:val="20"/>
              </w:rPr>
              <w:t>shap (TreeSHAP) · matplotlib (Agg backend, base64 plots)</w:t>
            </w:r>
          </w:p>
        </w:tc>
      </w:tr>
      <w:tr>
        <w:tc>
          <w:tcPr>
            <w:tcW w:type="dxa" w:w="4536"/>
            <w:shd w:val="clear" w:color="auto" w:fill="FFFFFF"/>
          </w:tcPr>
          <w:p>
            <w:r>
              <w:rPr>
                <w:rFonts w:ascii="Calibri" w:hAnsi="Calibri"/>
                <w:b/>
                <w:color w:val="1F2937"/>
                <w:sz w:val="20"/>
              </w:rPr>
              <w:t>Data Processing</w:t>
            </w:r>
          </w:p>
        </w:tc>
        <w:tc>
          <w:tcPr>
            <w:tcW w:type="dxa" w:w="4536"/>
            <w:shd w:val="clear" w:color="auto" w:fill="FFFFFF"/>
          </w:tcPr>
          <w:p>
            <w:r>
              <w:rPr>
                <w:rFonts w:ascii="Calibri" w:hAnsi="Calibri"/>
                <w:color w:val="1F2937"/>
                <w:sz w:val="20"/>
              </w:rPr>
              <w:t>pandas · numpy · joblib (model serialisation)</w:t>
            </w:r>
          </w:p>
        </w:tc>
      </w:tr>
      <w:tr>
        <w:tc>
          <w:tcPr>
            <w:tcW w:type="dxa" w:w="4536"/>
            <w:shd w:val="clear" w:color="auto" w:fill="F3F4F6"/>
          </w:tcPr>
          <w:p>
            <w:r>
              <w:rPr>
                <w:rFonts w:ascii="Calibri" w:hAnsi="Calibri"/>
                <w:b/>
                <w:color w:val="1F2937"/>
                <w:sz w:val="20"/>
              </w:rPr>
              <w:t>Frontend</w:t>
            </w:r>
          </w:p>
        </w:tc>
        <w:tc>
          <w:tcPr>
            <w:tcW w:type="dxa" w:w="4536"/>
            <w:shd w:val="clear" w:color="auto" w:fill="F3F4F6"/>
          </w:tcPr>
          <w:p>
            <w:r>
              <w:rPr>
                <w:rFonts w:ascii="Calibri" w:hAnsi="Calibri"/>
                <w:color w:val="1F2937"/>
                <w:sz w:val="20"/>
              </w:rPr>
              <w:t>Vanilla HTML5/CSS3/JavaScript · Chart.js 4.x (donut, bar, line charts)</w:t>
            </w:r>
          </w:p>
        </w:tc>
      </w:tr>
      <w:tr>
        <w:tc>
          <w:tcPr>
            <w:tcW w:type="dxa" w:w="4536"/>
            <w:shd w:val="clear" w:color="auto" w:fill="FFFFFF"/>
          </w:tcPr>
          <w:p>
            <w:r>
              <w:rPr>
                <w:rFonts w:ascii="Calibri" w:hAnsi="Calibri"/>
                <w:b/>
                <w:color w:val="1F2937"/>
                <w:sz w:val="20"/>
              </w:rPr>
              <w:t>API Documentation</w:t>
            </w:r>
          </w:p>
        </w:tc>
        <w:tc>
          <w:tcPr>
            <w:tcW w:type="dxa" w:w="4536"/>
            <w:shd w:val="clear" w:color="auto" w:fill="FFFFFF"/>
          </w:tcPr>
          <w:p>
            <w:r>
              <w:rPr>
                <w:rFonts w:ascii="Calibri" w:hAnsi="Calibri"/>
                <w:color w:val="1F2937"/>
                <w:sz w:val="20"/>
              </w:rPr>
              <w:t>OpenAPI 3.0 · Swagger UI (/docs) · ReDoc (/redoc)</w:t>
            </w:r>
          </w:p>
        </w:tc>
      </w:tr>
      <w:tr>
        <w:tc>
          <w:tcPr>
            <w:tcW w:type="dxa" w:w="4536"/>
            <w:shd w:val="clear" w:color="auto" w:fill="F3F4F6"/>
          </w:tcPr>
          <w:p>
            <w:r>
              <w:rPr>
                <w:rFonts w:ascii="Calibri" w:hAnsi="Calibri"/>
                <w:b/>
                <w:color w:val="1F2937"/>
                <w:sz w:val="20"/>
              </w:rPr>
              <w:t>Datasets</w:t>
            </w:r>
          </w:p>
        </w:tc>
        <w:tc>
          <w:tcPr>
            <w:tcW w:type="dxa" w:w="4536"/>
            <w:shd w:val="clear" w:color="auto" w:fill="F3F4F6"/>
          </w:tcPr>
          <w:p>
            <w:r>
              <w:rPr>
                <w:rFonts w:ascii="Calibri" w:hAnsi="Calibri"/>
                <w:color w:val="1F2937"/>
                <w:sz w:val="20"/>
              </w:rPr>
              <w:t>IBM HR Analytics CSV · Watson Healthcare CSV · Synthetic generator (numpy)</w:t>
            </w:r>
          </w:p>
        </w:tc>
      </w:tr>
    </w:tbl>
    <w:p>
      <w:r>
        <w:br w:type="page"/>
      </w:r>
    </w:p>
    <w:p>
      <w:pPr>
        <w:spacing w:before="360" w:after="160"/>
      </w:pPr>
      <w:r>
        <w:rPr>
          <w:rFonts w:ascii="Calibri" w:hAnsi="Calibri"/>
          <w:b/>
          <w:color w:val="0D1B3E"/>
          <w:sz w:val="40"/>
        </w:rPr>
        <w:t>8. Current System Capabilities</w:t>
      </w:r>
    </w:p>
    <w:p>
      <w:pPr>
        <w:spacing w:before="80" w:after="80"/>
        <w:pBdr>
          <w:bottom w:val="single" w:sz="6" w:space="1" w:color="1A56DB"/>
        </w:pBdr>
      </w:pPr>
    </w:p>
    <w:p>
      <w:pPr>
        <w:spacing w:after="120" w:before="40"/>
      </w:pPr>
      <w:r>
        <w:rPr>
          <w:rFonts w:ascii="Calibri" w:hAnsi="Calibri"/>
          <w:b w:val="0"/>
          <w:i w:val="0"/>
          <w:color w:val="1F2937"/>
          <w:sz w:val="22"/>
        </w:rPr>
        <w:t>The following capabilities are fully implemented, tested, and accessible in the current production version of Nexus AI:</w:t>
      </w:r>
    </w:p>
    <w:p>
      <w:pPr>
        <w:pStyle w:val="ListBullet"/>
        <w:spacing w:after="60" w:before="20"/>
      </w:pPr>
      <w:r>
        <w:rPr>
          <w:rFonts w:ascii="Calibri" w:hAnsi="Calibri"/>
          <w:color w:val="1F2937"/>
          <w:sz w:val="22"/>
        </w:rPr>
        <w:t>Flexible Data Ingestion: Accepts CSV/Excel uploads, pre-packaged IBM and Healthcare benchmark datasets, and synthetic dataset generation with configurable employee count.</w:t>
      </w:r>
    </w:p>
    <w:p>
      <w:pPr>
        <w:pStyle w:val="ListBullet"/>
        <w:spacing w:after="60" w:before="20"/>
      </w:pPr>
      <w:r>
        <w:rPr>
          <w:rFonts w:ascii="Calibri" w:hAnsi="Calibri"/>
          <w:color w:val="1F2937"/>
          <w:sz w:val="22"/>
        </w:rPr>
        <w:t>Multi-Horizon Survival Forecasting: Produces 30-day, 60-day, and 90-day departure probability curves per employee using the self-calibrating Cox PH + RSF weighted ensemble.</w:t>
      </w:r>
    </w:p>
    <w:p>
      <w:pPr>
        <w:pStyle w:val="ListBullet"/>
        <w:spacing w:after="60" w:before="20"/>
      </w:pPr>
      <w:r>
        <w:rPr>
          <w:rFonts w:ascii="Calibri" w:hAnsi="Calibri"/>
          <w:color w:val="1F2937"/>
          <w:sz w:val="22"/>
        </w:rPr>
        <w:t>Confidence-Weighted Revenue at Risk Triage: Computes ELV and confidence-band-discounted Revenue at Risk for all employees. Sorts by Urgency Score. Assigns five exposure tiers (Critical, High, Moderate, Watch, Stable).</w:t>
      </w:r>
    </w:p>
    <w:p>
      <w:pPr>
        <w:pStyle w:val="ListBullet"/>
        <w:spacing w:after="60" w:before="20"/>
      </w:pPr>
      <w:r>
        <w:rPr>
          <w:rFonts w:ascii="Calibri" w:hAnsi="Calibri"/>
          <w:color w:val="1F2937"/>
          <w:sz w:val="22"/>
        </w:rPr>
        <w:t>Financial Efficiency Benchmarking (Revenue Recall@K): Computes Revenue Recall@K at 5%, 10%, 15%, 20%, 25% thresholds, comparing ELV-urgency triage against raw probability sorting.</w:t>
      </w:r>
    </w:p>
    <w:p>
      <w:pPr>
        <w:pStyle w:val="ListBullet"/>
        <w:spacing w:after="60" w:before="20"/>
      </w:pPr>
      <w:r>
        <w:rPr>
          <w:rFonts w:ascii="Calibri" w:hAnsi="Calibri"/>
          <w:color w:val="1F2937"/>
          <w:sz w:val="22"/>
        </w:rPr>
        <w:t>Department-Level Attrition Heatmap: Aggregates 90-day churn probability and total Revenue at Risk by department, enabling HR to prioritise resource allocation at the team level.</w:t>
      </w:r>
    </w:p>
    <w:p>
      <w:pPr>
        <w:pStyle w:val="ListBullet"/>
        <w:spacing w:after="60" w:before="20"/>
      </w:pPr>
      <w:r>
        <w:rPr>
          <w:rFonts w:ascii="Calibri" w:hAnsi="Calibri"/>
          <w:color w:val="1F2937"/>
          <w:sz w:val="22"/>
        </w:rPr>
        <w:t>Interactive Employee Roster: Full searchable, filterable, paginated roster of all 1,470 employees with inline risk badges, churn probability, and revenue at risk figures.</w:t>
      </w:r>
    </w:p>
    <w:p>
      <w:pPr>
        <w:pStyle w:val="ListBullet"/>
        <w:spacing w:after="60" w:before="20"/>
      </w:pPr>
      <w:r>
        <w:rPr>
          <w:rFonts w:ascii="Calibri" w:hAnsi="Calibri"/>
          <w:color w:val="1F2937"/>
          <w:sz w:val="22"/>
        </w:rPr>
        <w:t>Per-Employee Detail &amp; SHAP Narrative: One-click employee detail panel showing 30/60/90-day probability curves, exposure tier, top SHAP risk drivers, and natural language diagnostic.</w:t>
      </w:r>
    </w:p>
    <w:p>
      <w:pPr>
        <w:pStyle w:val="ListBullet"/>
        <w:spacing w:after="60" w:before="20"/>
      </w:pPr>
      <w:r>
        <w:rPr>
          <w:rFonts w:ascii="Calibri" w:hAnsi="Calibri"/>
          <w:color w:val="1F2937"/>
          <w:sz w:val="22"/>
        </w:rPr>
        <w:t>6-Agent Autonomous Retention Pipeline: On-demand autonomous pipeline execution producing a structured Manager Action Card with recommended intervention, diagnostic summary, and concrete action steps.</w:t>
      </w:r>
    </w:p>
    <w:p>
      <w:pPr>
        <w:pStyle w:val="ListBullet"/>
        <w:spacing w:after="60" w:before="20"/>
      </w:pPr>
      <w:r>
        <w:rPr>
          <w:rFonts w:ascii="Calibri" w:hAnsi="Calibri"/>
          <w:color w:val="1F2937"/>
          <w:sz w:val="22"/>
        </w:rPr>
        <w:t>LinUCB Contextual Bandit Feedback Loop: 30-day intervention outcome recording updates the bandit policy in real-time, enabling the system to improve intervention recommendations with every processed case.</w:t>
      </w:r>
    </w:p>
    <w:p>
      <w:pPr>
        <w:pStyle w:val="ListBullet"/>
        <w:spacing w:after="60" w:before="20"/>
      </w:pPr>
      <w:r>
        <w:rPr>
          <w:rFonts w:ascii="Calibri" w:hAnsi="Calibri"/>
          <w:color w:val="1F2937"/>
          <w:sz w:val="22"/>
        </w:rPr>
        <w:t>Section 10 Scientific Ablation Study: 7-configuration ablation matrix executed automatically on pipeline training, comparing Binary LR → Cox PH → RSF → Ensemble → ELV → SHAP → Bandit incrementally.</w:t>
      </w:r>
    </w:p>
    <w:p>
      <w:pPr>
        <w:pStyle w:val="ListBullet"/>
        <w:spacing w:after="60" w:before="20"/>
      </w:pPr>
      <w:r>
        <w:rPr>
          <w:rFonts w:ascii="Calibri" w:hAnsi="Calibri"/>
          <w:color w:val="1F2937"/>
          <w:sz w:val="22"/>
        </w:rPr>
        <w:t>Cross-Model Performance Dashboard: C-Index, IBS, cross-validation scores, ensemble weights, and model comparison displayed in the Model Performance tab with visual micro-bars and Champion badges.</w:t>
      </w:r>
    </w:p>
    <w:p>
      <w:pPr>
        <w:pStyle w:val="ListBullet"/>
        <w:spacing w:after="60" w:before="20"/>
      </w:pPr>
      <w:r>
        <w:rPr>
          <w:rFonts w:ascii="Calibri" w:hAnsi="Calibri"/>
          <w:color w:val="1F2937"/>
          <w:sz w:val="22"/>
        </w:rPr>
        <w:t>Light/Dark Theme Interactive Dashboard: Full SPA dashboard with seamless light/dark theme toggle, persisted in localStorage. Chart.js donut, bar, and line visualisations with real data binding.</w:t>
      </w:r>
    </w:p>
    <w:p>
      <w:pPr>
        <w:pStyle w:val="ListBullet"/>
        <w:spacing w:after="60" w:before="20"/>
      </w:pPr>
      <w:r>
        <w:rPr>
          <w:rFonts w:ascii="Calibri" w:hAnsi="Calibri"/>
          <w:color w:val="1F2937"/>
          <w:sz w:val="22"/>
        </w:rPr>
        <w:t>Swagger API Documentation: Complete OpenAPI 3.0 schema browser at /docs enabling third-party integration without code review.</w:t>
      </w:r>
    </w:p>
    <w:p>
      <w:r>
        <w:br w:type="page"/>
      </w:r>
    </w:p>
    <w:p>
      <w:pPr>
        <w:spacing w:before="360" w:after="160"/>
      </w:pPr>
      <w:r>
        <w:rPr>
          <w:rFonts w:ascii="Calibri" w:hAnsi="Calibri"/>
          <w:b/>
          <w:color w:val="0D1B3E"/>
          <w:sz w:val="40"/>
        </w:rPr>
        <w:t>9. Conclusion</w:t>
      </w:r>
    </w:p>
    <w:p>
      <w:pPr>
        <w:spacing w:before="80" w:after="80"/>
        <w:pBdr>
          <w:bottom w:val="single" w:sz="6" w:space="1" w:color="1A56DB"/>
        </w:pBdr>
      </w:pPr>
    </w:p>
    <w:p>
      <w:pPr>
        <w:spacing w:after="120" w:before="40"/>
      </w:pPr>
      <w:r>
        <w:rPr>
          <w:rFonts w:ascii="Calibri" w:hAnsi="Calibri"/>
          <w:b w:val="0"/>
          <w:i w:val="0"/>
          <w:color w:val="1F2937"/>
          <w:sz w:val="22"/>
        </w:rPr>
        <w:t>Nexus AI represents a significant architectural and methodological advance over the existing published literature in employee attrition prediction and retention management. Across the 31 research papers reviewed, no single work simultaneously addresses all five dimensions that Nexus AI integrates into a production-deployable system:</w:t>
      </w:r>
    </w:p>
    <w:p>
      <w:pPr>
        <w:pStyle w:val="ListBullet"/>
        <w:spacing w:after="60" w:before="20"/>
      </w:pPr>
      <w:r>
        <w:rPr>
          <w:rFonts w:ascii="Calibri" w:hAnsi="Calibri"/>
          <w:color w:val="1F2937"/>
          <w:sz w:val="22"/>
        </w:rPr>
        <w:t>When (not just whether) employees will leave — via multi-horizon Cox PH + RSF survival curves at 30/60/90 days</w:t>
      </w:r>
    </w:p>
    <w:p>
      <w:pPr>
        <w:pStyle w:val="ListBullet"/>
        <w:spacing w:after="60" w:before="20"/>
      </w:pPr>
      <w:r>
        <w:rPr>
          <w:rFonts w:ascii="Calibri" w:hAnsi="Calibri"/>
          <w:color w:val="1F2937"/>
          <w:sz w:val="22"/>
        </w:rPr>
        <w:t>How much each departure costs — via the ELV confidence-weighted Revenue at Risk economic model</w:t>
      </w:r>
    </w:p>
    <w:p>
      <w:pPr>
        <w:pStyle w:val="ListBullet"/>
        <w:spacing w:after="60" w:before="20"/>
      </w:pPr>
      <w:r>
        <w:rPr>
          <w:rFonts w:ascii="Calibri" w:hAnsi="Calibri"/>
          <w:color w:val="1F2937"/>
          <w:sz w:val="22"/>
        </w:rPr>
        <w:t>Why each employee is at risk — via TreeSHAP-to-LLM natural language diagnostic narratives</w:t>
      </w:r>
    </w:p>
    <w:p>
      <w:pPr>
        <w:pStyle w:val="ListBullet"/>
        <w:spacing w:after="60" w:before="20"/>
      </w:pPr>
      <w:r>
        <w:rPr>
          <w:rFonts w:ascii="Calibri" w:hAnsi="Calibri"/>
          <w:color w:val="1F2937"/>
          <w:sz w:val="22"/>
        </w:rPr>
        <w:t>What to do — via the LinUCB Contextual Bandit autonomous intervention selection engine</w:t>
      </w:r>
    </w:p>
    <w:p>
      <w:pPr>
        <w:pStyle w:val="ListBullet"/>
        <w:spacing w:after="60" w:before="20"/>
      </w:pPr>
      <w:r>
        <w:rPr>
          <w:rFonts w:ascii="Calibri" w:hAnsi="Calibri"/>
          <w:color w:val="1F2937"/>
          <w:sz w:val="22"/>
        </w:rPr>
        <w:t>Whether it worked — via the closed-loop feedback policy update mechanism</w:t>
      </w:r>
    </w:p>
    <w:p>
      <w:pPr>
        <w:spacing w:after="120" w:before="40"/>
      </w:pPr>
      <w:r>
        <w:rPr>
          <w:rFonts w:ascii="Calibri" w:hAnsi="Calibri"/>
          <w:b w:val="0"/>
          <w:i w:val="0"/>
          <w:color w:val="1F2937"/>
          <w:sz w:val="22"/>
        </w:rPr>
        <w:t>The ablation study demonstrates that each novelty layer contributes measurably to both predictive performance (C-Index, IBS) and financial performance (Revenue Recall@K, ROI Score). The Revenue Recall@10% improvement from 35.3% (binary logistic regression baseline) to 86.6% (full Nexus system) confirms that survival-based ELV-weighted triage identifies nearly 2.5× more financial exposure within the same intervention budget as a conventional classification system.</w:t>
      </w:r>
    </w:p>
    <w:p>
      <w:pPr>
        <w:spacing w:after="120" w:before="40"/>
      </w:pPr>
      <w:r>
        <w:rPr>
          <w:rFonts w:ascii="Calibri" w:hAnsi="Calibri"/>
          <w:b w:val="0"/>
          <w:i w:val="0"/>
          <w:color w:val="1F2937"/>
          <w:sz w:val="22"/>
        </w:rPr>
        <w:t>Beyond academic contributions, Nexus AI is a practically deployable HR analytics platform. The modular FastAPI backend with comprehensive Swagger documentation enables direct integration with HRIS systems, while the React-based SPA dashboard provides an accessible, non-technical interface for HR managers and executives. The closed-loop Contextual Bandit architecture ensures that the system improves continuously with real-world usage, transitioning from a static prediction tool to an adaptive autonomous retention intelligence system over time.</w:t>
      </w:r>
    </w:p>
    <w:p>
      <w:pPr>
        <w:spacing w:before="240" w:after="160"/>
      </w:pPr>
      <w:r>
        <w:rPr>
          <w:b/>
          <w:color w:val="1A56DB"/>
          <w:sz w:val="32"/>
        </w:rPr>
        <w:t>9.1 Future Directions</w:t>
      </w:r>
    </w:p>
    <w:p>
      <w:pPr>
        <w:pStyle w:val="ListBullet"/>
        <w:spacing w:after="60" w:before="20"/>
      </w:pPr>
      <w:r>
        <w:rPr>
          <w:rFonts w:ascii="Calibri" w:hAnsi="Calibri"/>
          <w:color w:val="1F2937"/>
          <w:sz w:val="22"/>
        </w:rPr>
        <w:t>DeepSurv / Neural Survival Networks: Integrating neural architecture survival models (c.f. Paper 16) as a third ensemble component for capturing deeper non-linear interactions.</w:t>
      </w:r>
    </w:p>
    <w:p>
      <w:pPr>
        <w:pStyle w:val="ListBullet"/>
        <w:spacing w:after="60" w:before="20"/>
      </w:pPr>
      <w:r>
        <w:rPr>
          <w:rFonts w:ascii="Calibri" w:hAnsi="Calibri"/>
          <w:color w:val="1F2937"/>
          <w:sz w:val="22"/>
        </w:rPr>
        <w:t>Federated Multi-Organisation Training: Implementing the FedCBA privacy-preserving federated learning architecture (Paper 28) to allow multi-company collaborative model training without data sharing.</w:t>
      </w:r>
    </w:p>
    <w:p>
      <w:pPr>
        <w:pStyle w:val="ListBullet"/>
        <w:spacing w:after="60" w:before="20"/>
      </w:pPr>
      <w:r>
        <w:rPr>
          <w:rFonts w:ascii="Calibri" w:hAnsi="Calibri"/>
          <w:color w:val="1F2937"/>
          <w:sz w:val="22"/>
        </w:rPr>
        <w:t>LLM-Augmented Contextual Feature Extraction: Incorporating NLP-derived features from structured employee surveys and performance comments (c.f. Paper 15) to enrich the survival model feature set.</w:t>
      </w:r>
    </w:p>
    <w:p>
      <w:pPr>
        <w:pStyle w:val="ListBullet"/>
        <w:spacing w:after="60" w:before="20"/>
      </w:pPr>
      <w:r>
        <w:rPr>
          <w:rFonts w:ascii="Calibri" w:hAnsi="Calibri"/>
          <w:color w:val="1F2937"/>
          <w:sz w:val="22"/>
        </w:rPr>
        <w:t>Real-Time Streaming Pipeline: Extending the Observer Agent to consume real-time HRIS event streams (attendance, performance review submissions, badge swipes) for continuous risk monitoring.</w:t>
      </w:r>
    </w:p>
    <w:p>
      <w:pPr>
        <w:pStyle w:val="ListBullet"/>
        <w:spacing w:after="60" w:before="20"/>
      </w:pPr>
      <w:r>
        <w:rPr>
          <w:rFonts w:ascii="Calibri" w:hAnsi="Calibri"/>
          <w:color w:val="1F2937"/>
          <w:sz w:val="22"/>
        </w:rPr>
        <w:t>Calibrated Confidence Intervals: Computing bootstrap-based uncertainty bands on 30/60/90-day churn probability estimates to surface model uncertainty alongside point predictions.</w:t>
      </w:r>
    </w:p>
    <w:p>
      <w:pPr>
        <w:pStyle w:val="ListBullet"/>
        <w:spacing w:after="60" w:before="20"/>
      </w:pPr>
      <w:r>
        <w:rPr>
          <w:rFonts w:ascii="Calibri" w:hAnsi="Calibri"/>
          <w:color w:val="1F2937"/>
          <w:sz w:val="22"/>
        </w:rPr>
        <w:t>Competing Risks Survival Modeling: Implementing the competing risks framework (Paper 4) to distinguish voluntary resignation from employer-initiated departure for more nuanced hazard estimation.</w:t>
      </w:r>
    </w:p>
    <w:p>
      <w:pPr>
        <w:spacing w:after="240" w:before="40"/>
      </w:pPr>
      <w:r>
        <w:rPr>
          <w:rFonts w:ascii="Calibri" w:hAnsi="Calibri"/>
          <w:b w:val="0"/>
          <w:i w:val="0"/>
          <w:color w:val="1F2937"/>
          <w:sz w:val="22"/>
        </w:rPr>
        <w:t>In conclusion, Nexus AI establishes a new benchmark for what a research-grade, production-deployable employee retention intelligence system can achieve — bridging the gap between academic survival analysis research and actionable, financially-quantified, autonomously-executed HR decision support.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