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964"/>
          <w:sz w:val="40"/>
        </w:rPr>
        <w:t>A Survival Analysis and Explainable AI Framework for</w:t>
        <w:br/>
        <w:t>Autonomous Employee Attrition Prediction and Retention</w:t>
      </w:r>
    </w:p>
    <w:p/>
    <w:p>
      <w:pPr>
        <w:jc w:val="center"/>
      </w:pPr>
      <w:r>
        <w:rPr>
          <w:i/>
          <w:color w:val="2E74B5"/>
          <w:sz w:val="26"/>
        </w:rPr>
        <w:t>Research Paper — Structure &amp; Design Document</w:t>
        <w:br/>
        <w:t>Project: Nexus</w:t>
      </w:r>
    </w:p>
    <w:p/>
    <w:p>
      <w:pPr>
        <w:spacing w:before="80" w:after="80"/>
        <w:pBdr>
          <w:bottom w:val="single" w:sz="6" w:space="1" w:color="2E74B5"/>
        </w:pBdr>
      </w:pPr>
    </w:p>
    <w:p/>
    <w:p>
      <w:pPr>
        <w:pStyle w:val="Heading1"/>
        <w:spacing w:before="280" w:after="120"/>
      </w:pPr>
      <w:r>
        <w:rPr>
          <w:b/>
          <w:color w:val="1F3964"/>
          <w:sz w:val="32"/>
        </w:rPr>
        <w:t>1. Paper Title</w:t>
      </w:r>
    </w:p>
    <w:p>
      <w:pPr>
        <w:spacing w:after="120" w:before="40"/>
      </w:pPr>
      <w:r>
        <w:rPr>
          <w:b/>
          <w:i w:val="0"/>
          <w:color w:val="000000"/>
          <w:sz w:val="24"/>
        </w:rPr>
        <w:t>A Survival Analysis and Explainable AI Framework for Autonomous Employee Attrition Prediction and Retention</w:t>
      </w:r>
    </w:p>
    <w:p>
      <w:pPr>
        <w:spacing w:before="80" w:after="80"/>
        <w:pBdr>
          <w:bottom w:val="single" w:sz="6" w:space="1" w:color="2E74B5"/>
        </w:pBdr>
      </w:pPr>
    </w:p>
    <w:p>
      <w:pPr>
        <w:pStyle w:val="Heading1"/>
        <w:spacing w:before="280" w:after="120"/>
      </w:pPr>
      <w:r>
        <w:rPr>
          <w:b/>
          <w:color w:val="1F3964"/>
          <w:sz w:val="32"/>
        </w:rPr>
        <w:t>2. Keywords</w:t>
      </w:r>
    </w:p>
    <w:p>
      <w:pPr>
        <w:spacing w:after="120" w:before="40"/>
      </w:pPr>
      <w:r>
        <w:rPr>
          <w:b w:val="0"/>
          <w:i w:val="0"/>
          <w:color w:val="000000"/>
          <w:sz w:val="22"/>
        </w:rPr>
        <w:t>Employee Attrition · Survival Analysis · Cox Proportional Hazards · Random Survival Forest · Explainable AI · SHAP · Large Language Models · Multi-Agent Systems · Contextual Bandit · Employee Lifetime Value · IBM HR Analytics</w:t>
      </w:r>
    </w:p>
    <w:p>
      <w:pPr>
        <w:spacing w:before="80" w:after="80"/>
        <w:pBdr>
          <w:bottom w:val="single" w:sz="6" w:space="1" w:color="2E74B5"/>
        </w:pBdr>
      </w:pPr>
    </w:p>
    <w:p>
      <w:pPr>
        <w:pStyle w:val="Heading1"/>
        <w:spacing w:before="280" w:after="120"/>
      </w:pPr>
      <w:r>
        <w:rPr>
          <w:b/>
          <w:color w:val="1F3964"/>
          <w:sz w:val="32"/>
        </w:rPr>
        <w:t>3. Abstract</w:t>
      </w:r>
    </w:p>
    <w:p>
      <w:pPr>
        <w:spacing w:after="120" w:before="40"/>
      </w:pPr>
      <w:r>
        <w:rPr>
          <w:b w:val="0"/>
          <w:i w:val="0"/>
          <w:color w:val="000000"/>
          <w:sz w:val="22"/>
        </w:rPr>
        <w:t>Employee attrition poses a significant operational and financial risk to organisations, yet prevailing prediction systems frame it as a binary classification problem — determining only whether an employee will leave, not when they will leave or how much productivity and revenue is at risk. This temporal and economic blindness leads to reactive, resource-inefficient retention strategies. This paper introduces Nexus, a novel multi-agent autonomous retention framework that addresses these limitations through four key contributions.</w:t>
      </w:r>
    </w:p>
    <w:p>
      <w:pPr>
        <w:spacing w:after="120" w:before="40"/>
      </w:pPr>
      <w:r>
        <w:rPr>
          <w:b w:val="0"/>
          <w:i w:val="0"/>
          <w:color w:val="000000"/>
          <w:sz w:val="22"/>
        </w:rPr>
        <w:t>First, we replace binary classification with a weighted ensemble of Cox Proportional Hazards and Random Survival Forest models, enabling continuous-time prediction of individual employee survival curves and yielding time-specific churn probabilities at 30, 60, and 90-day horizons. Second, we introduce an Employee Lifetime Value (ELV)-weighted Revenue at Risk score that prioritizes retention interventions by economic impact rather than raw churn probability. Third, we deploy a SHAP-to-LLM translation pipeline that converts numerical feature importance scores into human-readable, actionable diagnostic narratives. Fourth, a contextual bandit-based Strategist Agent selects personalized retention interventions, with an Executor Agent generating personalized manager-facing action cards using a Large Language Model.</w:t>
      </w:r>
    </w:p>
    <w:p>
      <w:pPr>
        <w:spacing w:after="120" w:before="40"/>
      </w:pPr>
      <w:r>
        <w:rPr>
          <w:b w:val="0"/>
          <w:i w:val="0"/>
          <w:color w:val="000000"/>
          <w:sz w:val="22"/>
        </w:rPr>
        <w:t>Evaluated on the IBM HR Analytics Employee Attrition dataset (n=1,470) and validated on the Healthcare Employee Attrition dataset (n=1,676), the Cox+RSF ensemble achieves superior Concordance Index and Integrated Brier Score compared to binary classification baselines. The complete Nexus pipeline demonstrates that attrition prediction can be transformed from a passive reporting tool into an autonomous, economically-aware retention system.</w:t>
      </w:r>
    </w:p>
    <w:p>
      <w:pPr>
        <w:spacing w:before="80" w:after="80"/>
        <w:pBdr>
          <w:bottom w:val="single" w:sz="6" w:space="1" w:color="2E74B5"/>
        </w:pBdr>
      </w:pPr>
    </w:p>
    <w:p>
      <w:pPr>
        <w:pStyle w:val="Heading1"/>
        <w:spacing w:before="280" w:after="120"/>
      </w:pPr>
      <w:r>
        <w:rPr>
          <w:b/>
          <w:color w:val="1F3964"/>
          <w:sz w:val="32"/>
        </w:rPr>
        <w:t>4. Problem Statement</w:t>
      </w:r>
    </w:p>
    <w:p>
      <w:pPr>
        <w:pStyle w:val="Heading2"/>
        <w:spacing w:before="200" w:after="120"/>
      </w:pPr>
      <w:r>
        <w:rPr>
          <w:b/>
          <w:color w:val="2E74B5"/>
          <w:sz w:val="26"/>
        </w:rPr>
        <w:t>Problem 1 — Temporal Blindness</w:t>
      </w:r>
    </w:p>
    <w:p>
      <w:pPr>
        <w:spacing w:after="120" w:before="40"/>
      </w:pPr>
      <w:r>
        <w:rPr>
          <w:b w:val="0"/>
          <w:i w:val="0"/>
          <w:color w:val="000000"/>
          <w:sz w:val="22"/>
        </w:rPr>
        <w:t>Existing models (logistic regression, random forests, XGBoost, deep learning) predict a binary label: will this employee leave? They cannot answer when — the question that HR managers actually need to plan interventions. An employee predicted to leave in 2 months requires urgent action; one predicted to leave in 18 months does not. Binary classifiers treat these identically.</w:t>
      </w:r>
    </w:p>
    <w:p>
      <w:pPr>
        <w:pStyle w:val="Heading2"/>
        <w:spacing w:before="200" w:after="120"/>
      </w:pPr>
      <w:r>
        <w:rPr>
          <w:b/>
          <w:color w:val="2E74B5"/>
          <w:sz w:val="26"/>
        </w:rPr>
        <w:t>Problem 2 — Economic Blindness</w:t>
      </w:r>
    </w:p>
    <w:p>
      <w:pPr>
        <w:spacing w:after="120" w:before="40"/>
      </w:pPr>
      <w:r>
        <w:rPr>
          <w:b w:val="0"/>
          <w:i w:val="0"/>
          <w:color w:val="000000"/>
          <w:sz w:val="22"/>
        </w:rPr>
        <w:t>Even systems that correctly rank at-risk employees by churn probability do not account for economic impact. A high-probability churner on a low salary may cost far less than a moderate-probability churner on a high salary. Without ELV-weighted prioritization, retention budgets are allocated inefficiently.</w:t>
      </w:r>
    </w:p>
    <w:p>
      <w:pPr>
        <w:pStyle w:val="Heading2"/>
        <w:spacing w:before="200" w:after="120"/>
      </w:pPr>
      <w:r>
        <w:rPr>
          <w:b/>
          <w:color w:val="2E74B5"/>
          <w:sz w:val="26"/>
        </w:rPr>
        <w:t>Problem 3 — The Action Gap</w:t>
      </w:r>
    </w:p>
    <w:p>
      <w:pPr>
        <w:spacing w:after="120" w:before="40"/>
      </w:pPr>
      <w:r>
        <w:rPr>
          <w:b w:val="0"/>
          <w:i w:val="0"/>
          <w:color w:val="000000"/>
          <w:sz w:val="22"/>
        </w:rPr>
        <w:t>Every reviewed paper stops at prediction. No system autonomously determines what intervention to offer, personalizes the communication to the manager, or tracks whether the intervention succeeded. The churn model exists in isolation from the retention workflow.</w:t>
      </w:r>
    </w:p>
    <w:p>
      <w:pPr>
        <w:spacing w:after="120" w:before="40"/>
      </w:pPr>
      <w:r>
        <w:rPr>
          <w:b/>
          <w:i w:val="0"/>
          <w:color w:val="000000"/>
          <w:sz w:val="22"/>
        </w:rPr>
        <w:t>This paper addresses all three problems through a unified framework combining survival analysis (Problem 1), ELV-weighted risk scoring (Problem 2), and an autonomous multi-agent intervention pipeline (Problem 3).</w:t>
      </w:r>
    </w:p>
    <w:p>
      <w:pPr>
        <w:spacing w:before="80" w:after="80"/>
        <w:pBdr>
          <w:bottom w:val="single" w:sz="6" w:space="1" w:color="2E74B5"/>
        </w:pBdr>
      </w:pPr>
    </w:p>
    <w:p>
      <w:pPr>
        <w:pStyle w:val="Heading1"/>
        <w:spacing w:before="280" w:after="120"/>
      </w:pPr>
      <w:r>
        <w:rPr>
          <w:b/>
          <w:color w:val="1F3964"/>
          <w:sz w:val="32"/>
        </w:rPr>
        <w:t>5. Gap Analysis from Literature Review</w:t>
      </w:r>
    </w:p>
    <w:p>
      <w:pPr>
        <w:spacing w:after="120" w:before="40"/>
      </w:pPr>
      <w:r>
        <w:rPr>
          <w:b w:val="0"/>
          <w:i w:val="0"/>
          <w:color w:val="000000"/>
          <w:sz w:val="22"/>
        </w:rPr>
        <w:t>A systematic review of 16 papers (2006–2024) spanning telecom, banking, and customer churn domains reveals the following collective gaps:</w:t>
      </w:r>
    </w:p>
    <w:tbl>
      <w:tblPr>
        <w:tblStyle w:val="TableGrid"/>
        <w:tblW w:type="auto" w:w="0"/>
        <w:jc w:val="center"/>
        <w:tblLook w:firstColumn="1" w:firstRow="1" w:lastColumn="0" w:lastRow="0" w:noHBand="0" w:noVBand="1" w:val="04A0"/>
      </w:tblPr>
      <w:tblGrid>
        <w:gridCol w:w="4561"/>
        <w:gridCol w:w="4561"/>
      </w:tblGrid>
      <w:tr>
        <w:tc>
          <w:tcPr>
            <w:tcW w:type="dxa" w:w="4535"/>
            <w:shd w:val="clear" w:color="auto" w:fill="2E74B5"/>
            <w:vAlign w:val="center"/>
          </w:tcPr>
          <w:p>
            <w:pPr>
              <w:jc w:val="center"/>
            </w:pPr>
            <w:r>
              <w:rPr>
                <w:b/>
                <w:color w:val="FFFFFF"/>
                <w:sz w:val="20"/>
              </w:rPr>
              <w:t>Gap Identified</w:t>
            </w:r>
          </w:p>
        </w:tc>
        <w:tc>
          <w:tcPr>
            <w:tcW w:type="dxa" w:w="5102"/>
            <w:shd w:val="clear" w:color="auto" w:fill="2E74B5"/>
            <w:vAlign w:val="center"/>
          </w:tcPr>
          <w:p>
            <w:pPr>
              <w:jc w:val="center"/>
            </w:pPr>
            <w:r>
              <w:rPr>
                <w:b/>
                <w:color w:val="FFFFFF"/>
                <w:sz w:val="20"/>
              </w:rPr>
              <w:t>Evidence from Literature</w:t>
            </w:r>
          </w:p>
        </w:tc>
      </w:tr>
      <w:tr>
        <w:tc>
          <w:tcPr>
            <w:tcW w:type="dxa" w:w="4535"/>
            <w:shd w:val="clear" w:color="auto" w:fill="F2F2F2"/>
          </w:tcPr>
          <w:p>
            <w:r>
              <w:rPr>
                <w:color w:val="000000"/>
                <w:sz w:val="20"/>
              </w:rPr>
              <w:t>All use binary classification (will churn: yes/no)</w:t>
            </w:r>
          </w:p>
        </w:tc>
        <w:tc>
          <w:tcPr>
            <w:tcW w:type="dxa" w:w="5102"/>
            <w:shd w:val="clear" w:color="auto" w:fill="F2F2F2"/>
          </w:tcPr>
          <w:p>
            <w:r>
              <w:rPr>
                <w:color w:val="000000"/>
                <w:sz w:val="20"/>
              </w:rPr>
              <w:t>Every paper uses accuracy, AUC, F1 on binary labels</w:t>
            </w:r>
          </w:p>
        </w:tc>
      </w:tr>
      <w:tr>
        <w:tc>
          <w:tcPr>
            <w:tcW w:type="dxa" w:w="4535"/>
            <w:shd w:val="clear" w:color="auto" w:fill="FFFFFF"/>
          </w:tcPr>
          <w:p>
            <w:r>
              <w:rPr>
                <w:color w:val="000000"/>
                <w:sz w:val="20"/>
              </w:rPr>
              <w:t>When the employee will leave is ignored</w:t>
            </w:r>
          </w:p>
        </w:tc>
        <w:tc>
          <w:tcPr>
            <w:tcW w:type="dxa" w:w="5102"/>
            <w:shd w:val="clear" w:color="auto" w:fill="FFFFFF"/>
          </w:tcPr>
          <w:p>
            <w:r>
              <w:rPr>
                <w:color w:val="000000"/>
                <w:sz w:val="20"/>
              </w:rPr>
              <w:t>No paper predicts time-to-event in the HR domain</w:t>
            </w:r>
          </w:p>
        </w:tc>
      </w:tr>
      <w:tr>
        <w:tc>
          <w:tcPr>
            <w:tcW w:type="dxa" w:w="4535"/>
            <w:shd w:val="clear" w:color="auto" w:fill="F2F2F2"/>
          </w:tcPr>
          <w:p>
            <w:r>
              <w:rPr>
                <w:color w:val="000000"/>
                <w:sz w:val="20"/>
              </w:rPr>
              <w:t>Revenue/productivity loss not quantified per individual</w:t>
            </w:r>
          </w:p>
        </w:tc>
        <w:tc>
          <w:tcPr>
            <w:tcW w:type="dxa" w:w="5102"/>
            <w:shd w:val="clear" w:color="auto" w:fill="F2F2F2"/>
          </w:tcPr>
          <w:p>
            <w:r>
              <w:rPr>
                <w:color w:val="000000"/>
                <w:sz w:val="20"/>
              </w:rPr>
              <w:t>IEEE 2024 survey (212 papers) explicitly states this is 'under-researched'</w:t>
            </w:r>
          </w:p>
        </w:tc>
      </w:tr>
      <w:tr>
        <w:tc>
          <w:tcPr>
            <w:tcW w:type="dxa" w:w="4535"/>
            <w:shd w:val="clear" w:color="auto" w:fill="FFFFFF"/>
          </w:tcPr>
          <w:p>
            <w:r>
              <w:rPr>
                <w:color w:val="000000"/>
                <w:sz w:val="20"/>
              </w:rPr>
              <w:t>Cox PH never combined with RSF as weighted ensemble</w:t>
            </w:r>
          </w:p>
        </w:tc>
        <w:tc>
          <w:tcPr>
            <w:tcW w:type="dxa" w:w="5102"/>
            <w:shd w:val="clear" w:color="auto" w:fill="FFFFFF"/>
          </w:tcPr>
          <w:p>
            <w:r>
              <w:rPr>
                <w:color w:val="000000"/>
                <w:sz w:val="20"/>
              </w:rPr>
              <w:t>Celik (2019) mentions Cox PH in passing; no ensemble paper exists</w:t>
            </w:r>
          </w:p>
        </w:tc>
      </w:tr>
      <w:tr>
        <w:tc>
          <w:tcPr>
            <w:tcW w:type="dxa" w:w="4535"/>
            <w:shd w:val="clear" w:color="auto" w:fill="F2F2F2"/>
          </w:tcPr>
          <w:p>
            <w:r>
              <w:rPr>
                <w:color w:val="000000"/>
                <w:sz w:val="20"/>
              </w:rPr>
              <w:t>SHAP recommended but not implemented</w:t>
            </w:r>
          </w:p>
        </w:tc>
        <w:tc>
          <w:tcPr>
            <w:tcW w:type="dxa" w:w="5102"/>
            <w:shd w:val="clear" w:color="auto" w:fill="F2F2F2"/>
          </w:tcPr>
          <w:p>
            <w:r>
              <w:rPr>
                <w:color w:val="000000"/>
                <w:sz w:val="20"/>
              </w:rPr>
              <w:t>IEEE 2024 survey recommends explainability as future work</w:t>
            </w:r>
          </w:p>
        </w:tc>
      </w:tr>
      <w:tr>
        <w:tc>
          <w:tcPr>
            <w:tcW w:type="dxa" w:w="4535"/>
            <w:shd w:val="clear" w:color="auto" w:fill="FFFFFF"/>
          </w:tcPr>
          <w:p>
            <w:r>
              <w:rPr>
                <w:color w:val="000000"/>
                <w:sz w:val="20"/>
              </w:rPr>
              <w:t>No autonomous intervention pipeline exists</w:t>
            </w:r>
          </w:p>
        </w:tc>
        <w:tc>
          <w:tcPr>
            <w:tcW w:type="dxa" w:w="5102"/>
            <w:shd w:val="clear" w:color="auto" w:fill="FFFFFF"/>
          </w:tcPr>
          <w:p>
            <w:r>
              <w:rPr>
                <w:color w:val="000000"/>
                <w:sz w:val="20"/>
              </w:rPr>
              <w:t>All papers stop at prediction; none act on it</w:t>
            </w:r>
          </w:p>
        </w:tc>
      </w:tr>
      <w:tr>
        <w:tc>
          <w:tcPr>
            <w:tcW w:type="dxa" w:w="4535"/>
            <w:shd w:val="clear" w:color="auto" w:fill="F2F2F2"/>
          </w:tcPr>
          <w:p>
            <w:r>
              <w:rPr>
                <w:color w:val="000000"/>
                <w:sz w:val="20"/>
              </w:rPr>
              <w:t>LLM-generated personalized recommendations absent</w:t>
            </w:r>
          </w:p>
        </w:tc>
        <w:tc>
          <w:tcPr>
            <w:tcW w:type="dxa" w:w="5102"/>
            <w:shd w:val="clear" w:color="auto" w:fill="F2F2F2"/>
          </w:tcPr>
          <w:p>
            <w:r>
              <w:rPr>
                <w:color w:val="000000"/>
                <w:sz w:val="20"/>
              </w:rPr>
              <w:t>Not a single paper generates natural language from ML output</w:t>
            </w:r>
          </w:p>
        </w:tc>
      </w:tr>
      <w:tr>
        <w:tc>
          <w:tcPr>
            <w:tcW w:type="dxa" w:w="4535"/>
            <w:shd w:val="clear" w:color="auto" w:fill="FFFFFF"/>
          </w:tcPr>
          <w:p>
            <w:r>
              <w:rPr>
                <w:color w:val="000000"/>
                <w:sz w:val="20"/>
              </w:rPr>
              <w:t>CLV/ELV-weighted prioritization absent</w:t>
            </w:r>
          </w:p>
        </w:tc>
        <w:tc>
          <w:tcPr>
            <w:tcW w:type="dxa" w:w="5102"/>
            <w:shd w:val="clear" w:color="auto" w:fill="FFFFFF"/>
          </w:tcPr>
          <w:p>
            <w:r>
              <w:rPr>
                <w:color w:val="000000"/>
                <w:sz w:val="20"/>
              </w:rPr>
              <w:t>Papers predict risk but do not rank by economic impact</w:t>
            </w:r>
          </w:p>
        </w:tc>
      </w:tr>
      <w:tr>
        <w:tc>
          <w:tcPr>
            <w:tcW w:type="dxa" w:w="4535"/>
            <w:shd w:val="clear" w:color="auto" w:fill="F2F2F2"/>
          </w:tcPr>
          <w:p>
            <w:r>
              <w:rPr>
                <w:color w:val="000000"/>
                <w:sz w:val="20"/>
              </w:rPr>
              <w:t>HR domain underrepresented</w:t>
            </w:r>
          </w:p>
        </w:tc>
        <w:tc>
          <w:tcPr>
            <w:tcW w:type="dxa" w:w="5102"/>
            <w:shd w:val="clear" w:color="auto" w:fill="F2F2F2"/>
          </w:tcPr>
          <w:p>
            <w:r>
              <w:rPr>
                <w:color w:val="000000"/>
                <w:sz w:val="20"/>
              </w:rPr>
              <w:t>14 of 16 papers are telecom or banking</w:t>
            </w:r>
          </w:p>
        </w:tc>
      </w:tr>
      <w:tr>
        <w:tc>
          <w:tcPr>
            <w:tcW w:type="dxa" w:w="4535"/>
            <w:shd w:val="clear" w:color="auto" w:fill="FFFFFF"/>
          </w:tcPr>
          <w:p>
            <w:r>
              <w:rPr>
                <w:color w:val="000000"/>
                <w:sz w:val="20"/>
              </w:rPr>
              <w:t>No feedback loop tracking intervention outcomes</w:t>
            </w:r>
          </w:p>
        </w:tc>
        <w:tc>
          <w:tcPr>
            <w:tcW w:type="dxa" w:w="5102"/>
            <w:shd w:val="clear" w:color="auto" w:fill="FFFFFF"/>
          </w:tcPr>
          <w:p>
            <w:r>
              <w:rPr>
                <w:color w:val="000000"/>
                <w:sz w:val="20"/>
              </w:rPr>
              <w:t>All papers are offline, static — no closed-loop system</w:t>
            </w:r>
          </w:p>
        </w:tc>
      </w:tr>
    </w:tbl>
    <w:p/>
    <w:p>
      <w:pPr>
        <w:spacing w:after="120" w:before="40"/>
      </w:pPr>
      <w:r>
        <w:rPr>
          <w:b w:val="0"/>
          <w:i/>
          <w:color w:val="000000"/>
          <w:sz w:val="22"/>
        </w:rPr>
        <w:t>The 2024 IEEE systematic review of 212 papers explicitly concludes: "research on the profitability aspect of churn prediction models is under-researched and advocates using profit-based evaluation metrics to support decision-making." This paper is the direct answer to that call.</w:t>
      </w:r>
    </w:p>
    <w:p>
      <w:pPr>
        <w:spacing w:before="80" w:after="80"/>
        <w:pBdr>
          <w:bottom w:val="single" w:sz="6" w:space="1" w:color="2E74B5"/>
        </w:pBdr>
      </w:pPr>
    </w:p>
    <w:p>
      <w:pPr>
        <w:pStyle w:val="Heading1"/>
        <w:spacing w:before="280" w:after="120"/>
      </w:pPr>
      <w:r>
        <w:rPr>
          <w:b/>
          <w:color w:val="1F3964"/>
          <w:sz w:val="32"/>
        </w:rPr>
        <w:t>6. Novelty &amp; Contributions</w:t>
      </w:r>
    </w:p>
    <w:p>
      <w:pPr>
        <w:pStyle w:val="Heading2"/>
        <w:spacing w:before="200" w:after="120"/>
      </w:pPr>
      <w:r>
        <w:rPr>
          <w:b/>
          <w:color w:val="2E74B5"/>
          <w:sz w:val="26"/>
        </w:rPr>
        <w:t>Novelty 1 — Survival Analysis Ensemble in HR Domain</w:t>
      </w:r>
    </w:p>
    <w:p>
      <w:pPr>
        <w:spacing w:after="120" w:before="40"/>
      </w:pPr>
      <w:r>
        <w:rPr>
          <w:b w:val="0"/>
          <w:i w:val="0"/>
          <w:color w:val="000000"/>
          <w:sz w:val="22"/>
        </w:rPr>
        <w:t>No published paper applies a Cox PH + Random Survival Forest weighted ensemble to employee attrition. The ensemble weight is dynamically computed from test-set C-index scores, not fixed heuristics, ensuring the model self-calibrates to each dataset.</w:t>
      </w:r>
    </w:p>
    <w:p>
      <w:pPr>
        <w:pStyle w:val="Heading2"/>
        <w:spacing w:before="200" w:after="120"/>
      </w:pPr>
      <w:r>
        <w:rPr>
          <w:b/>
          <w:color w:val="2E74B5"/>
          <w:sz w:val="26"/>
        </w:rPr>
        <w:t>Novelty 2 — ELV-Weighted Revenue at Risk Score</w:t>
      </w:r>
    </w:p>
    <w:p>
      <w:pPr>
        <w:spacing w:after="120" w:before="40"/>
      </w:pPr>
      <w:r>
        <w:rPr>
          <w:b w:val="0"/>
          <w:i w:val="0"/>
          <w:color w:val="000000"/>
          <w:sz w:val="22"/>
        </w:rPr>
        <w:t>We operationalise the gap identified by the 2024 IEEE survey by computing a per-employee Revenue at Risk score:</w:t>
      </w:r>
    </w:p>
    <w:p>
      <w:pPr>
        <w:spacing w:after="120" w:before="40"/>
      </w:pPr>
      <w:r>
        <w:rPr>
          <w:b w:val="0"/>
          <w:i/>
          <w:color w:val="000000"/>
          <w:sz w:val="22"/>
        </w:rPr>
        <w:t xml:space="preserve">    Revenue at Risk  =  ELV  ×  P(churn in 90 days)</w:t>
        <w:br/>
        <w:t xml:space="preserve">    ELV              =  Monthly Income × 3 × Remaining Tenure (months)</w:t>
      </w:r>
    </w:p>
    <w:p>
      <w:pPr>
        <w:spacing w:after="120" w:before="40"/>
      </w:pPr>
      <w:r>
        <w:rPr>
          <w:b w:val="0"/>
          <w:i w:val="0"/>
          <w:color w:val="000000"/>
          <w:sz w:val="22"/>
        </w:rPr>
        <w:t>This converts an ML prediction into a CFO-readable business metric and enables triage by economic exposure rather than raw churn probability.</w:t>
      </w:r>
    </w:p>
    <w:p>
      <w:pPr>
        <w:pStyle w:val="Heading2"/>
        <w:spacing w:before="200" w:after="120"/>
      </w:pPr>
      <w:r>
        <w:rPr>
          <w:b/>
          <w:color w:val="2E74B5"/>
          <w:sz w:val="26"/>
        </w:rPr>
        <w:t>Novelty 3 — SHAP-to-LLM Diagnostic Pipeline</w:t>
      </w:r>
    </w:p>
    <w:p>
      <w:pPr>
        <w:spacing w:after="120" w:before="40"/>
      </w:pPr>
      <w:r>
        <w:rPr>
          <w:b w:val="0"/>
          <w:i w:val="0"/>
          <w:color w:val="000000"/>
          <w:sz w:val="22"/>
        </w:rPr>
        <w:t>SHAP values computed per employee are fed as structured context to an LLM (GPT-4o-mini / Claude 3 Haiku), which generates a human-readable explanation: "This employee is at high risk primarily due to 3+ years without a promotion, consistent overtime, and below-average job satisfaction." No reviewed paper implements this bridge between explainability and managerial action.</w:t>
      </w:r>
    </w:p>
    <w:p>
      <w:pPr>
        <w:pStyle w:val="Heading2"/>
        <w:spacing w:before="200" w:after="120"/>
      </w:pPr>
      <w:r>
        <w:rPr>
          <w:b/>
          <w:color w:val="2E74B5"/>
          <w:sz w:val="26"/>
        </w:rPr>
        <w:t>Novelty 4 — Autonomous Intervention Agent Pipeline</w:t>
      </w:r>
    </w:p>
    <w:p>
      <w:pPr>
        <w:spacing w:after="120" w:before="40"/>
      </w:pPr>
      <w:r>
        <w:rPr>
          <w:b w:val="0"/>
          <w:i w:val="0"/>
          <w:color w:val="000000"/>
          <w:sz w:val="22"/>
        </w:rPr>
        <w:t>A contextual bandit Strategist Agent selects from retention interventions {Salary Review, L&amp;D Offer, Managerial 1:1, Flexible Work, Retention Bonus}. An Executor Agent then drafts a personalized manager action card via LLM. A Feedback Agent tracks 30-day outcomes and updates the bandit's reward model. No reviewed paper proposes or implements this closed loop.</w:t>
      </w:r>
    </w:p>
    <w:p>
      <w:pPr>
        <w:pStyle w:val="Heading2"/>
        <w:spacing w:before="200" w:after="120"/>
      </w:pPr>
      <w:r>
        <w:rPr>
          <w:b/>
          <w:color w:val="2E74B5"/>
          <w:sz w:val="26"/>
        </w:rPr>
        <w:t>Novelty 5 — Survival-Appropriate Evaluation Metrics</w:t>
      </w:r>
    </w:p>
    <w:p>
      <w:pPr>
        <w:spacing w:after="120" w:before="40"/>
      </w:pPr>
      <w:r>
        <w:rPr>
          <w:b w:val="0"/>
          <w:i w:val="0"/>
          <w:color w:val="000000"/>
          <w:sz w:val="22"/>
        </w:rPr>
        <w:t>We evaluate using Concordance Index (C-index), Integrated Brier Score (IBS), and calibration plots — metrics appropriate for survival models that none of the reviewed papers use. We additionally compare against a binary logistic regression baseline to quantify the information gain from survival framing.</w:t>
      </w:r>
    </w:p>
    <w:p>
      <w:pPr>
        <w:spacing w:before="80" w:after="80"/>
        <w:pBdr>
          <w:bottom w:val="single" w:sz="6" w:space="1" w:color="2E74B5"/>
        </w:pBdr>
      </w:pPr>
    </w:p>
    <w:p>
      <w:pPr>
        <w:pStyle w:val="Heading1"/>
        <w:spacing w:before="280" w:after="120"/>
      </w:pPr>
      <w:r>
        <w:rPr>
          <w:b/>
          <w:color w:val="1F3964"/>
          <w:sz w:val="32"/>
        </w:rPr>
        <w:t>7. Dataset</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2E74B5"/>
            <w:vAlign w:val="center"/>
          </w:tcPr>
          <w:p>
            <w:pPr>
              <w:jc w:val="center"/>
            </w:pPr>
            <w:r>
              <w:rPr>
                <w:b/>
                <w:color w:val="FFFFFF"/>
                <w:sz w:val="20"/>
              </w:rPr>
              <w:t>Property</w:t>
            </w:r>
          </w:p>
        </w:tc>
        <w:tc>
          <w:tcPr>
            <w:tcW w:type="dxa" w:w="3402"/>
            <w:shd w:val="clear" w:color="auto" w:fill="2E74B5"/>
            <w:vAlign w:val="center"/>
          </w:tcPr>
          <w:p>
            <w:pPr>
              <w:jc w:val="center"/>
            </w:pPr>
            <w:r>
              <w:rPr>
                <w:b/>
                <w:color w:val="FFFFFF"/>
                <w:sz w:val="20"/>
              </w:rPr>
              <w:t>Primary Dataset</w:t>
            </w:r>
          </w:p>
        </w:tc>
        <w:tc>
          <w:tcPr>
            <w:tcW w:type="dxa" w:w="3402"/>
            <w:shd w:val="clear" w:color="auto" w:fill="2E74B5"/>
            <w:vAlign w:val="center"/>
          </w:tcPr>
          <w:p>
            <w:pPr>
              <w:jc w:val="center"/>
            </w:pPr>
            <w:r>
              <w:rPr>
                <w:b/>
                <w:color w:val="FFFFFF"/>
                <w:sz w:val="20"/>
              </w:rPr>
              <w:t>Validation Dataset</w:t>
            </w:r>
          </w:p>
        </w:tc>
      </w:tr>
      <w:tr>
        <w:tc>
          <w:tcPr>
            <w:tcW w:type="dxa" w:w="2835"/>
            <w:shd w:val="clear" w:color="auto" w:fill="F2F2F2"/>
          </w:tcPr>
          <w:p>
            <w:r>
              <w:rPr>
                <w:color w:val="000000"/>
                <w:sz w:val="20"/>
              </w:rPr>
              <w:t>Name</w:t>
            </w:r>
          </w:p>
        </w:tc>
        <w:tc>
          <w:tcPr>
            <w:tcW w:type="dxa" w:w="3402"/>
            <w:shd w:val="clear" w:color="auto" w:fill="F2F2F2"/>
          </w:tcPr>
          <w:p>
            <w:r>
              <w:rPr>
                <w:color w:val="000000"/>
                <w:sz w:val="20"/>
              </w:rPr>
              <w:t>IBM HR Analytics Employee Attrition</w:t>
            </w:r>
          </w:p>
        </w:tc>
        <w:tc>
          <w:tcPr>
            <w:tcW w:type="dxa" w:w="3402"/>
            <w:shd w:val="clear" w:color="auto" w:fill="F2F2F2"/>
          </w:tcPr>
          <w:p>
            <w:r>
              <w:rPr>
                <w:color w:val="000000"/>
                <w:sz w:val="20"/>
              </w:rPr>
              <w:t>Employee Attrition for Healthcare</w:t>
            </w:r>
          </w:p>
        </w:tc>
      </w:tr>
      <w:tr>
        <w:tc>
          <w:tcPr>
            <w:tcW w:type="dxa" w:w="2835"/>
            <w:shd w:val="clear" w:color="auto" w:fill="FFFFFF"/>
          </w:tcPr>
          <w:p>
            <w:r>
              <w:rPr>
                <w:color w:val="000000"/>
                <w:sz w:val="20"/>
              </w:rPr>
              <w:t>Source</w:t>
            </w:r>
          </w:p>
        </w:tc>
        <w:tc>
          <w:tcPr>
            <w:tcW w:type="dxa" w:w="3402"/>
            <w:shd w:val="clear" w:color="auto" w:fill="FFFFFF"/>
          </w:tcPr>
          <w:p>
            <w:r>
              <w:rPr>
                <w:color w:val="000000"/>
                <w:sz w:val="20"/>
              </w:rPr>
              <w:t>Kaggle / IBM</w:t>
            </w:r>
          </w:p>
        </w:tc>
        <w:tc>
          <w:tcPr>
            <w:tcW w:type="dxa" w:w="3402"/>
            <w:shd w:val="clear" w:color="auto" w:fill="FFFFFF"/>
          </w:tcPr>
          <w:p>
            <w:r>
              <w:rPr>
                <w:color w:val="000000"/>
                <w:sz w:val="20"/>
              </w:rPr>
              <w:t>Kaggle</w:t>
            </w:r>
          </w:p>
        </w:tc>
      </w:tr>
      <w:tr>
        <w:tc>
          <w:tcPr>
            <w:tcW w:type="dxa" w:w="2835"/>
            <w:shd w:val="clear" w:color="auto" w:fill="F2F2F2"/>
          </w:tcPr>
          <w:p>
            <w:r>
              <w:rPr>
                <w:color w:val="000000"/>
                <w:sz w:val="20"/>
              </w:rPr>
              <w:t>Rows</w:t>
            </w:r>
          </w:p>
        </w:tc>
        <w:tc>
          <w:tcPr>
            <w:tcW w:type="dxa" w:w="3402"/>
            <w:shd w:val="clear" w:color="auto" w:fill="F2F2F2"/>
          </w:tcPr>
          <w:p>
            <w:r>
              <w:rPr>
                <w:color w:val="000000"/>
                <w:sz w:val="20"/>
              </w:rPr>
              <w:t>1,470</w:t>
            </w:r>
          </w:p>
        </w:tc>
        <w:tc>
          <w:tcPr>
            <w:tcW w:type="dxa" w:w="3402"/>
            <w:shd w:val="clear" w:color="auto" w:fill="F2F2F2"/>
          </w:tcPr>
          <w:p>
            <w:r>
              <w:rPr>
                <w:color w:val="000000"/>
                <w:sz w:val="20"/>
              </w:rPr>
              <w:t>1,676</w:t>
            </w:r>
          </w:p>
        </w:tc>
      </w:tr>
      <w:tr>
        <w:tc>
          <w:tcPr>
            <w:tcW w:type="dxa" w:w="2835"/>
            <w:shd w:val="clear" w:color="auto" w:fill="FFFFFF"/>
          </w:tcPr>
          <w:p>
            <w:r>
              <w:rPr>
                <w:color w:val="000000"/>
                <w:sz w:val="20"/>
              </w:rPr>
              <w:t>Duration col</w:t>
            </w:r>
          </w:p>
        </w:tc>
        <w:tc>
          <w:tcPr>
            <w:tcW w:type="dxa" w:w="3402"/>
            <w:shd w:val="clear" w:color="auto" w:fill="FFFFFF"/>
          </w:tcPr>
          <w:p>
            <w:r>
              <w:rPr>
                <w:color w:val="000000"/>
                <w:sz w:val="20"/>
              </w:rPr>
              <w:t>YearsAtCompany</w:t>
            </w:r>
          </w:p>
        </w:tc>
        <w:tc>
          <w:tcPr>
            <w:tcW w:type="dxa" w:w="3402"/>
            <w:shd w:val="clear" w:color="auto" w:fill="FFFFFF"/>
          </w:tcPr>
          <w:p>
            <w:r>
              <w:rPr>
                <w:color w:val="000000"/>
                <w:sz w:val="20"/>
              </w:rPr>
              <w:t>YearsAtCompany</w:t>
            </w:r>
          </w:p>
        </w:tc>
      </w:tr>
      <w:tr>
        <w:tc>
          <w:tcPr>
            <w:tcW w:type="dxa" w:w="2835"/>
            <w:shd w:val="clear" w:color="auto" w:fill="F2F2F2"/>
          </w:tcPr>
          <w:p>
            <w:r>
              <w:rPr>
                <w:color w:val="000000"/>
                <w:sz w:val="20"/>
              </w:rPr>
              <w:t>Event col</w:t>
            </w:r>
          </w:p>
        </w:tc>
        <w:tc>
          <w:tcPr>
            <w:tcW w:type="dxa" w:w="3402"/>
            <w:shd w:val="clear" w:color="auto" w:fill="F2F2F2"/>
          </w:tcPr>
          <w:p>
            <w:r>
              <w:rPr>
                <w:color w:val="000000"/>
                <w:sz w:val="20"/>
              </w:rPr>
              <w:t>Attrition (Yes/No)</w:t>
            </w:r>
          </w:p>
        </w:tc>
        <w:tc>
          <w:tcPr>
            <w:tcW w:type="dxa" w:w="3402"/>
            <w:shd w:val="clear" w:color="auto" w:fill="F2F2F2"/>
          </w:tcPr>
          <w:p>
            <w:r>
              <w:rPr>
                <w:color w:val="000000"/>
                <w:sz w:val="20"/>
              </w:rPr>
              <w:t>Attrition (Yes/No)</w:t>
            </w:r>
          </w:p>
        </w:tc>
      </w:tr>
      <w:tr>
        <w:tc>
          <w:tcPr>
            <w:tcW w:type="dxa" w:w="2835"/>
            <w:shd w:val="clear" w:color="auto" w:fill="FFFFFF"/>
          </w:tcPr>
          <w:p>
            <w:r>
              <w:rPr>
                <w:color w:val="000000"/>
                <w:sz w:val="20"/>
              </w:rPr>
              <w:t>Key features</w:t>
            </w:r>
          </w:p>
        </w:tc>
        <w:tc>
          <w:tcPr>
            <w:tcW w:type="dxa" w:w="3402"/>
            <w:shd w:val="clear" w:color="auto" w:fill="FFFFFF"/>
          </w:tcPr>
          <w:p>
            <w:r>
              <w:rPr>
                <w:color w:val="000000"/>
                <w:sz w:val="20"/>
              </w:rPr>
              <w:t>Satisfaction, Performance, Overtime,</w:t>
              <w:br/>
              <w:t>Salary, DistanceFromHome</w:t>
            </w:r>
          </w:p>
        </w:tc>
        <w:tc>
          <w:tcPr>
            <w:tcW w:type="dxa" w:w="3402"/>
            <w:shd w:val="clear" w:color="auto" w:fill="FFFFFF"/>
          </w:tcPr>
          <w:p>
            <w:r>
              <w:rPr>
                <w:color w:val="000000"/>
                <w:sz w:val="20"/>
              </w:rPr>
              <w:t>Satisfaction, Performance, Overtime,</w:t>
              <w:br/>
              <w:t>Salary, Department</w:t>
            </w:r>
          </w:p>
        </w:tc>
      </w:tr>
      <w:tr>
        <w:tc>
          <w:tcPr>
            <w:tcW w:type="dxa" w:w="2835"/>
            <w:shd w:val="clear" w:color="auto" w:fill="F2F2F2"/>
          </w:tcPr>
          <w:p>
            <w:r>
              <w:rPr>
                <w:color w:val="000000"/>
                <w:sz w:val="20"/>
              </w:rPr>
              <w:t>Cited in journals</w:t>
            </w:r>
          </w:p>
        </w:tc>
        <w:tc>
          <w:tcPr>
            <w:tcW w:type="dxa" w:w="3402"/>
            <w:shd w:val="clear" w:color="auto" w:fill="F2F2F2"/>
          </w:tcPr>
          <w:p>
            <w:r>
              <w:rPr>
                <w:color w:val="000000"/>
                <w:sz w:val="20"/>
              </w:rPr>
              <w:t>Yes — dozens of indexed papers</w:t>
            </w:r>
          </w:p>
        </w:tc>
        <w:tc>
          <w:tcPr>
            <w:tcW w:type="dxa" w:w="3402"/>
            <w:shd w:val="clear" w:color="auto" w:fill="F2F2F2"/>
          </w:tcPr>
          <w:p>
            <w:r>
              <w:rPr>
                <w:color w:val="000000"/>
                <w:sz w:val="20"/>
              </w:rPr>
              <w:t>Yes</w:t>
            </w:r>
          </w:p>
        </w:tc>
      </w:tr>
    </w:tbl>
    <w:p/>
    <w:p>
      <w:pPr>
        <w:spacing w:before="80" w:after="80"/>
        <w:pBdr>
          <w:bottom w:val="single" w:sz="6" w:space="1" w:color="2E74B5"/>
        </w:pBdr>
      </w:pPr>
    </w:p>
    <w:p>
      <w:pPr>
        <w:pStyle w:val="Heading1"/>
        <w:spacing w:before="280" w:after="120"/>
      </w:pPr>
      <w:r>
        <w:rPr>
          <w:b/>
          <w:color w:val="1F3964"/>
          <w:sz w:val="32"/>
        </w:rPr>
        <w:t>8. Methodology</w:t>
      </w:r>
    </w:p>
    <w:p>
      <w:pPr>
        <w:pStyle w:val="Heading2"/>
        <w:spacing w:before="200" w:after="120"/>
      </w:pPr>
      <w:r>
        <w:rPr>
          <w:b/>
          <w:color w:val="2E74B5"/>
          <w:sz w:val="26"/>
        </w:rPr>
        <w:t>Phase 1 — Survival Modelling</w:t>
      </w:r>
    </w:p>
    <w:p>
      <w:pPr>
        <w:pStyle w:val="ListBullet"/>
        <w:spacing w:after="60"/>
        <w:ind w:left="360"/>
      </w:pPr>
      <w:r>
        <w:rPr>
          <w:color w:val="000000"/>
          <w:sz w:val="22"/>
        </w:rPr>
        <w:t>Kaplan-Meier estimator — population-level survival baseline</w:t>
      </w:r>
    </w:p>
    <w:p>
      <w:pPr>
        <w:pStyle w:val="ListBullet"/>
        <w:spacing w:after="60"/>
        <w:ind w:left="360"/>
      </w:pPr>
      <w:r>
        <w:rPr>
          <w:color w:val="000000"/>
          <w:sz w:val="22"/>
        </w:rPr>
        <w:t>Cox Proportional Hazards — parametric; yields hazard ratios and interpretability</w:t>
      </w:r>
    </w:p>
    <w:p>
      <w:pPr>
        <w:pStyle w:val="ListBullet"/>
        <w:spacing w:after="60"/>
        <w:ind w:left="360"/>
      </w:pPr>
      <w:r>
        <w:rPr>
          <w:color w:val="000000"/>
          <w:sz w:val="22"/>
        </w:rPr>
        <w:t>Random Survival Forest — non-parametric; handles non-linear feature interactions</w:t>
      </w:r>
    </w:p>
    <w:p>
      <w:pPr>
        <w:pStyle w:val="ListBullet"/>
        <w:spacing w:after="60"/>
        <w:ind w:left="360"/>
      </w:pPr>
      <w:r>
        <w:rPr>
          <w:color w:val="000000"/>
          <w:sz w:val="22"/>
        </w:rPr>
        <w:t>Weighted Ensemble: w_cox, w_rsf = f(test C-index) — dynamic, dataset-adaptive weights</w:t>
      </w:r>
    </w:p>
    <w:p>
      <w:pPr>
        <w:pStyle w:val="ListBullet"/>
        <w:spacing w:after="60"/>
        <w:ind w:left="360"/>
      </w:pPr>
      <w:r>
        <w:rPr>
          <w:color w:val="000000"/>
          <w:sz w:val="22"/>
        </w:rPr>
        <w:t>Output: P(churn | t=30d), P(churn | t=60d), P(churn | t=90d) per employee</w:t>
      </w:r>
    </w:p>
    <w:p>
      <w:pPr>
        <w:pStyle w:val="Heading2"/>
        <w:spacing w:before="200" w:after="120"/>
      </w:pPr>
      <w:r>
        <w:rPr>
          <w:b/>
          <w:color w:val="2E74B5"/>
          <w:sz w:val="26"/>
        </w:rPr>
        <w:t>Phase 2 — ELV &amp; Revenue at Risk</w:t>
      </w:r>
    </w:p>
    <w:p>
      <w:pPr>
        <w:pStyle w:val="ListBullet"/>
        <w:spacing w:after="60"/>
        <w:ind w:left="360"/>
      </w:pPr>
      <w:r>
        <w:rPr>
          <w:color w:val="000000"/>
          <w:sz w:val="22"/>
        </w:rPr>
        <w:t>ELV = MonthlyIncome × 3 × remaining_tenure_months</w:t>
      </w:r>
    </w:p>
    <w:p>
      <w:pPr>
        <w:pStyle w:val="ListBullet"/>
        <w:spacing w:after="60"/>
        <w:ind w:left="360"/>
      </w:pPr>
      <w:r>
        <w:rPr>
          <w:color w:val="000000"/>
          <w:sz w:val="22"/>
        </w:rPr>
        <w:t>P(churn_90d) = 1 − S(t=3) from ensemble survival curve</w:t>
      </w:r>
    </w:p>
    <w:p>
      <w:pPr>
        <w:pStyle w:val="ListBullet"/>
        <w:spacing w:after="60"/>
        <w:ind w:left="360"/>
      </w:pPr>
      <w:r>
        <w:rPr>
          <w:color w:val="000000"/>
          <w:sz w:val="22"/>
        </w:rPr>
        <w:t>Revenue at Risk = ELV × P(churn_90d)</w:t>
      </w:r>
    </w:p>
    <w:p>
      <w:pPr>
        <w:pStyle w:val="Heading2"/>
        <w:spacing w:before="200" w:after="120"/>
      </w:pPr>
      <w:r>
        <w:rPr>
          <w:b/>
          <w:color w:val="2E74B5"/>
          <w:sz w:val="26"/>
        </w:rPr>
        <w:t>Phase 3 — Explainability (SHAP → LLM)</w:t>
      </w:r>
    </w:p>
    <w:p>
      <w:pPr>
        <w:pStyle w:val="ListBullet"/>
        <w:spacing w:after="60"/>
        <w:ind w:left="360"/>
      </w:pPr>
      <w:r>
        <w:rPr>
          <w:color w:val="000000"/>
          <w:sz w:val="22"/>
        </w:rPr>
        <w:t>TreeSHAP values computed for RSF per employee</w:t>
      </w:r>
    </w:p>
    <w:p>
      <w:pPr>
        <w:pStyle w:val="ListBullet"/>
        <w:spacing w:after="60"/>
        <w:ind w:left="360"/>
      </w:pPr>
      <w:r>
        <w:rPr>
          <w:color w:val="000000"/>
          <w:sz w:val="22"/>
        </w:rPr>
        <w:t>Top-5 contributing features extracted</w:t>
      </w:r>
    </w:p>
    <w:p>
      <w:pPr>
        <w:pStyle w:val="ListBullet"/>
        <w:spacing w:after="60"/>
        <w:ind w:left="360"/>
      </w:pPr>
      <w:r>
        <w:rPr>
          <w:color w:val="000000"/>
          <w:sz w:val="22"/>
        </w:rPr>
        <w:t>LLM prompt: SHAP values + feature names → natural language diagnostic narrative</w:t>
      </w:r>
    </w:p>
    <w:p>
      <w:pPr>
        <w:pStyle w:val="Heading2"/>
        <w:spacing w:before="200" w:after="120"/>
      </w:pPr>
      <w:r>
        <w:rPr>
          <w:b/>
          <w:color w:val="2E74B5"/>
          <w:sz w:val="26"/>
        </w:rPr>
        <w:t>Phase 4 — Autonomous Agent Pipeline</w:t>
      </w:r>
    </w:p>
    <w:p>
      <w:pPr>
        <w:pStyle w:val="ListBullet"/>
        <w:spacing w:after="60"/>
        <w:ind w:left="360"/>
      </w:pPr>
      <w:r>
        <w:rPr>
          <w:color w:val="000000"/>
          <w:sz w:val="22"/>
        </w:rPr>
        <w:t>Observer Agent: ingests employee event data, updates state</w:t>
      </w:r>
    </w:p>
    <w:p>
      <w:pPr>
        <w:pStyle w:val="ListBullet"/>
        <w:spacing w:after="60"/>
        <w:ind w:left="360"/>
      </w:pPr>
      <w:r>
        <w:rPr>
          <w:color w:val="000000"/>
          <w:sz w:val="22"/>
        </w:rPr>
        <w:t>Analyst Agent: runs Phase 1 + Phase 2 per employee</w:t>
      </w:r>
    </w:p>
    <w:p>
      <w:pPr>
        <w:pStyle w:val="ListBullet"/>
        <w:spacing w:after="60"/>
        <w:ind w:left="360"/>
      </w:pPr>
      <w:r>
        <w:rPr>
          <w:color w:val="000000"/>
          <w:sz w:val="22"/>
        </w:rPr>
        <w:t>Diagnostic Agent: runs Phase 3 (SHAP → LLM)</w:t>
      </w:r>
    </w:p>
    <w:p>
      <w:pPr>
        <w:pStyle w:val="ListBullet"/>
        <w:spacing w:after="60"/>
        <w:ind w:left="360"/>
      </w:pPr>
      <w:r>
        <w:rPr>
          <w:color w:val="000000"/>
          <w:sz w:val="22"/>
        </w:rPr>
        <w:t>Strategist Agent: contextual bandit selects intervention type</w:t>
      </w:r>
    </w:p>
    <w:p>
      <w:pPr>
        <w:pStyle w:val="ListBullet"/>
        <w:spacing w:after="60"/>
        <w:ind w:left="720"/>
      </w:pPr>
      <w:r>
        <w:rPr>
          <w:color w:val="000000"/>
          <w:sz w:val="22"/>
        </w:rPr>
        <w:t xml:space="preserve">    Bandit arms: {Salary Review, L&amp;D Offer, Managerial 1:1, Flexible Work, Retention Bonus}</w:t>
      </w:r>
    </w:p>
    <w:p>
      <w:pPr>
        <w:pStyle w:val="ListBullet"/>
        <w:spacing w:after="60"/>
        <w:ind w:left="360"/>
      </w:pPr>
      <w:r>
        <w:rPr>
          <w:color w:val="000000"/>
          <w:sz w:val="22"/>
        </w:rPr>
        <w:t>Executor Agent: LLM drafts personalized manager action card</w:t>
      </w:r>
    </w:p>
    <w:p>
      <w:pPr>
        <w:pStyle w:val="ListBullet"/>
        <w:spacing w:after="60"/>
        <w:ind w:left="360"/>
      </w:pPr>
      <w:r>
        <w:rPr>
          <w:color w:val="000000"/>
          <w:sz w:val="22"/>
        </w:rPr>
        <w:t>Feedback Agent: tracks 30-day outcome, updates bandit reward model</w:t>
      </w:r>
    </w:p>
    <w:p>
      <w:pPr>
        <w:pStyle w:val="Heading2"/>
        <w:spacing w:before="200" w:after="120"/>
      </w:pPr>
      <w:r>
        <w:rPr>
          <w:b/>
          <w:color w:val="2E74B5"/>
          <w:sz w:val="26"/>
        </w:rPr>
        <w:t>Phase 5 — Evaluation</w:t>
      </w:r>
    </w:p>
    <w:p>
      <w:pPr>
        <w:pStyle w:val="ListBullet"/>
        <w:spacing w:after="60"/>
        <w:ind w:left="360"/>
      </w:pPr>
      <w:r>
        <w:rPr>
          <w:color w:val="000000"/>
          <w:sz w:val="22"/>
        </w:rPr>
        <w:t>C-index — discriminative ability (0.5 = random, 1.0 = perfect)</w:t>
      </w:r>
    </w:p>
    <w:p>
      <w:pPr>
        <w:pStyle w:val="ListBullet"/>
        <w:spacing w:after="60"/>
        <w:ind w:left="360"/>
      </w:pPr>
      <w:r>
        <w:rPr>
          <w:color w:val="000000"/>
          <w:sz w:val="22"/>
        </w:rPr>
        <w:t>Integrated Brier Score (IBS) — calibration of predicted probabilities</w:t>
      </w:r>
    </w:p>
    <w:p>
      <w:pPr>
        <w:pStyle w:val="ListBullet"/>
        <w:spacing w:after="60"/>
        <w:ind w:left="360"/>
      </w:pPr>
      <w:r>
        <w:rPr>
          <w:color w:val="000000"/>
          <w:sz w:val="22"/>
        </w:rPr>
        <w:t>5-fold cross-validation on training set (80%)</w:t>
      </w:r>
    </w:p>
    <w:p>
      <w:pPr>
        <w:pStyle w:val="ListBullet"/>
        <w:spacing w:after="60"/>
        <w:ind w:left="360"/>
      </w:pPr>
      <w:r>
        <w:rPr>
          <w:color w:val="000000"/>
          <w:sz w:val="22"/>
        </w:rPr>
        <w:t>Hold-out test set (20%) for unbiased evaluation</w:t>
      </w:r>
    </w:p>
    <w:p>
      <w:pPr>
        <w:pStyle w:val="ListBullet"/>
        <w:spacing w:after="60"/>
        <w:ind w:left="360"/>
      </w:pPr>
      <w:r>
        <w:rPr>
          <w:color w:val="000000"/>
          <w:sz w:val="22"/>
        </w:rPr>
        <w:t>Ablation: Binary LR baseline vs Cox vs RSF vs Ensemble</w:t>
      </w:r>
    </w:p>
    <w:p/>
    <w:p>
      <w:pPr>
        <w:spacing w:before="80" w:after="80"/>
        <w:pBdr>
          <w:bottom w:val="single" w:sz="6" w:space="1" w:color="2E74B5"/>
        </w:pBdr>
      </w:pPr>
    </w:p>
    <w:p>
      <w:pPr>
        <w:pStyle w:val="Heading1"/>
        <w:spacing w:before="280" w:after="120"/>
      </w:pPr>
      <w:r>
        <w:rPr>
          <w:b/>
          <w:color w:val="1F3964"/>
          <w:sz w:val="32"/>
        </w:rPr>
        <w:t>9. Evaluation Metrics</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2E74B5"/>
            <w:vAlign w:val="center"/>
          </w:tcPr>
          <w:p>
            <w:pPr>
              <w:jc w:val="center"/>
            </w:pPr>
            <w:r>
              <w:rPr>
                <w:b/>
                <w:color w:val="FFFFFF"/>
                <w:sz w:val="20"/>
              </w:rPr>
              <w:t>Metric</w:t>
            </w:r>
          </w:p>
        </w:tc>
        <w:tc>
          <w:tcPr>
            <w:tcW w:type="dxa" w:w="4252"/>
            <w:shd w:val="clear" w:color="auto" w:fill="2E74B5"/>
            <w:vAlign w:val="center"/>
          </w:tcPr>
          <w:p>
            <w:pPr>
              <w:jc w:val="center"/>
            </w:pPr>
            <w:r>
              <w:rPr>
                <w:b/>
                <w:color w:val="FFFFFF"/>
                <w:sz w:val="20"/>
              </w:rPr>
              <w:t>What It Measures</w:t>
            </w:r>
          </w:p>
        </w:tc>
        <w:tc>
          <w:tcPr>
            <w:tcW w:type="dxa" w:w="2551"/>
            <w:shd w:val="clear" w:color="auto" w:fill="2E74B5"/>
            <w:vAlign w:val="center"/>
          </w:tcPr>
          <w:p>
            <w:pPr>
              <w:jc w:val="center"/>
            </w:pPr>
            <w:r>
              <w:rPr>
                <w:b/>
                <w:color w:val="FFFFFF"/>
                <w:sz w:val="20"/>
              </w:rPr>
              <w:t>Target / Threshold</w:t>
            </w:r>
          </w:p>
        </w:tc>
      </w:tr>
      <w:tr>
        <w:tc>
          <w:tcPr>
            <w:tcW w:type="dxa" w:w="2835"/>
            <w:shd w:val="clear" w:color="auto" w:fill="F2F2F2"/>
          </w:tcPr>
          <w:p>
            <w:r>
              <w:rPr>
                <w:color w:val="000000"/>
                <w:sz w:val="20"/>
              </w:rPr>
              <w:t>Concordance Index (C-index)</w:t>
            </w:r>
          </w:p>
        </w:tc>
        <w:tc>
          <w:tcPr>
            <w:tcW w:type="dxa" w:w="4252"/>
            <w:shd w:val="clear" w:color="auto" w:fill="F2F2F2"/>
          </w:tcPr>
          <w:p>
            <w:r>
              <w:rPr>
                <w:color w:val="000000"/>
                <w:sz w:val="20"/>
              </w:rPr>
              <w:t>Does the model correctly rank survival times?</w:t>
            </w:r>
          </w:p>
        </w:tc>
        <w:tc>
          <w:tcPr>
            <w:tcW w:type="dxa" w:w="2551"/>
            <w:shd w:val="clear" w:color="auto" w:fill="F2F2F2"/>
          </w:tcPr>
          <w:p>
            <w:r>
              <w:rPr>
                <w:color w:val="000000"/>
                <w:sz w:val="20"/>
              </w:rPr>
              <w:t>&gt; 0.70 (good), &gt; 0.80 (excellent)</w:t>
            </w:r>
          </w:p>
        </w:tc>
      </w:tr>
      <w:tr>
        <w:tc>
          <w:tcPr>
            <w:tcW w:type="dxa" w:w="2835"/>
            <w:shd w:val="clear" w:color="auto" w:fill="FFFFFF"/>
          </w:tcPr>
          <w:p>
            <w:r>
              <w:rPr>
                <w:color w:val="000000"/>
                <w:sz w:val="20"/>
              </w:rPr>
              <w:t>Integrated Brier Score (IBS)</w:t>
            </w:r>
          </w:p>
        </w:tc>
        <w:tc>
          <w:tcPr>
            <w:tcW w:type="dxa" w:w="4252"/>
            <w:shd w:val="clear" w:color="auto" w:fill="FFFFFF"/>
          </w:tcPr>
          <w:p>
            <w:r>
              <w:rPr>
                <w:color w:val="000000"/>
                <w:sz w:val="20"/>
              </w:rPr>
              <w:t>Are predicted probabilities well-calibrated?</w:t>
            </w:r>
          </w:p>
        </w:tc>
        <w:tc>
          <w:tcPr>
            <w:tcW w:type="dxa" w:w="2551"/>
            <w:shd w:val="clear" w:color="auto" w:fill="FFFFFF"/>
          </w:tcPr>
          <w:p>
            <w:r>
              <w:rPr>
                <w:color w:val="000000"/>
                <w:sz w:val="20"/>
              </w:rPr>
              <w:t>&lt; 0.25 (good)</w:t>
            </w:r>
          </w:p>
        </w:tc>
      </w:tr>
      <w:tr>
        <w:tc>
          <w:tcPr>
            <w:tcW w:type="dxa" w:w="2835"/>
            <w:shd w:val="clear" w:color="auto" w:fill="F2F2F2"/>
          </w:tcPr>
          <w:p>
            <w:r>
              <w:rPr>
                <w:color w:val="000000"/>
                <w:sz w:val="20"/>
              </w:rPr>
              <w:t>Calibration Plot</w:t>
            </w:r>
          </w:p>
        </w:tc>
        <w:tc>
          <w:tcPr>
            <w:tcW w:type="dxa" w:w="4252"/>
            <w:shd w:val="clear" w:color="auto" w:fill="F2F2F2"/>
          </w:tcPr>
          <w:p>
            <w:r>
              <w:rPr>
                <w:color w:val="000000"/>
                <w:sz w:val="20"/>
              </w:rPr>
              <w:t>Expected vs actual churn rate per probability decile</w:t>
            </w:r>
          </w:p>
        </w:tc>
        <w:tc>
          <w:tcPr>
            <w:tcW w:type="dxa" w:w="2551"/>
            <w:shd w:val="clear" w:color="auto" w:fill="F2F2F2"/>
          </w:tcPr>
          <w:p>
            <w:r>
              <w:rPr>
                <w:color w:val="000000"/>
                <w:sz w:val="20"/>
              </w:rPr>
              <w:t>Diagonal alignment</w:t>
            </w:r>
          </w:p>
        </w:tc>
      </w:tr>
      <w:tr>
        <w:tc>
          <w:tcPr>
            <w:tcW w:type="dxa" w:w="2835"/>
            <w:shd w:val="clear" w:color="auto" w:fill="FFFFFF"/>
          </w:tcPr>
          <w:p>
            <w:r>
              <w:rPr>
                <w:color w:val="000000"/>
                <w:sz w:val="20"/>
              </w:rPr>
              <w:t>Revenue Recall@K</w:t>
            </w:r>
          </w:p>
        </w:tc>
        <w:tc>
          <w:tcPr>
            <w:tcW w:type="dxa" w:w="4252"/>
            <w:shd w:val="clear" w:color="auto" w:fill="FFFFFF"/>
          </w:tcPr>
          <w:p>
            <w:r>
              <w:rPr>
                <w:color w:val="000000"/>
                <w:sz w:val="20"/>
              </w:rPr>
              <w:t>% of total revenue at risk captured by top-K flagged employees</w:t>
            </w:r>
          </w:p>
        </w:tc>
        <w:tc>
          <w:tcPr>
            <w:tcW w:type="dxa" w:w="2551"/>
            <w:shd w:val="clear" w:color="auto" w:fill="FFFFFF"/>
          </w:tcPr>
          <w:p>
            <w:r>
              <w:rPr>
                <w:color w:val="000000"/>
                <w:sz w:val="20"/>
              </w:rPr>
              <w:t>Higher is better</w:t>
            </w:r>
          </w:p>
        </w:tc>
      </w:tr>
      <w:tr>
        <w:tc>
          <w:tcPr>
            <w:tcW w:type="dxa" w:w="2835"/>
            <w:shd w:val="clear" w:color="auto" w:fill="F2F2F2"/>
          </w:tcPr>
          <w:p>
            <w:r>
              <w:rPr>
                <w:color w:val="000000"/>
                <w:sz w:val="20"/>
              </w:rPr>
              <w:t>Bandit Cumulative Reward</w:t>
            </w:r>
          </w:p>
        </w:tc>
        <w:tc>
          <w:tcPr>
            <w:tcW w:type="dxa" w:w="4252"/>
            <w:shd w:val="clear" w:color="auto" w:fill="F2F2F2"/>
          </w:tcPr>
          <w:p>
            <w:r>
              <w:rPr>
                <w:color w:val="000000"/>
                <w:sz w:val="20"/>
              </w:rPr>
              <w:t>Sum of positive outcomes from simulated interventions</w:t>
            </w:r>
          </w:p>
        </w:tc>
        <w:tc>
          <w:tcPr>
            <w:tcW w:type="dxa" w:w="2551"/>
            <w:shd w:val="clear" w:color="auto" w:fill="F2F2F2"/>
          </w:tcPr>
          <w:p>
            <w:r>
              <w:rPr>
                <w:color w:val="000000"/>
                <w:sz w:val="20"/>
              </w:rPr>
              <w:t>Improving trend over episodes</w:t>
            </w:r>
          </w:p>
        </w:tc>
      </w:tr>
    </w:tbl>
    <w:p/>
    <w:p>
      <w:pPr>
        <w:spacing w:before="80" w:after="80"/>
        <w:pBdr>
          <w:bottom w:val="single" w:sz="6" w:space="1" w:color="2E74B5"/>
        </w:pBdr>
      </w:pPr>
    </w:p>
    <w:p>
      <w:pPr>
        <w:pStyle w:val="Heading1"/>
        <w:spacing w:before="280" w:after="120"/>
      </w:pPr>
      <w:r>
        <w:rPr>
          <w:b/>
          <w:color w:val="1F3964"/>
          <w:sz w:val="32"/>
        </w:rPr>
        <w:t>10. Ablation Study Design</w:t>
      </w:r>
    </w:p>
    <w:p>
      <w:pPr>
        <w:spacing w:after="120" w:before="40"/>
      </w:pPr>
      <w:r>
        <w:rPr>
          <w:b w:val="0"/>
          <w:i w:val="0"/>
          <w:color w:val="000000"/>
          <w:sz w:val="22"/>
        </w:rPr>
        <w:t>The following configurations will be compared empirically to demonstrate the incremental value of each contribution: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969"/>
            <w:shd w:val="clear" w:color="auto" w:fill="2E74B5"/>
            <w:vAlign w:val="center"/>
          </w:tcPr>
          <w:p>
            <w:pPr>
              <w:jc w:val="center"/>
            </w:pPr>
            <w:r>
              <w:rPr>
                <w:b/>
                <w:color w:val="FFFFFF"/>
                <w:sz w:val="20"/>
              </w:rPr>
              <w:t>Configuration</w:t>
            </w:r>
          </w:p>
        </w:tc>
        <w:tc>
          <w:tcPr>
            <w:tcW w:type="dxa" w:w="1701"/>
            <w:shd w:val="clear" w:color="auto" w:fill="2E74B5"/>
            <w:vAlign w:val="center"/>
          </w:tcPr>
          <w:p>
            <w:pPr>
              <w:jc w:val="center"/>
            </w:pPr>
            <w:r>
              <w:rPr>
                <w:b/>
                <w:color w:val="FFFFFF"/>
                <w:sz w:val="20"/>
              </w:rPr>
              <w:t>C-index</w:t>
            </w:r>
          </w:p>
        </w:tc>
        <w:tc>
          <w:tcPr>
            <w:tcW w:type="dxa" w:w="1701"/>
            <w:shd w:val="clear" w:color="auto" w:fill="2E74B5"/>
            <w:vAlign w:val="center"/>
          </w:tcPr>
          <w:p>
            <w:pPr>
              <w:jc w:val="center"/>
            </w:pPr>
            <w:r>
              <w:rPr>
                <w:b/>
                <w:color w:val="FFFFFF"/>
                <w:sz w:val="20"/>
              </w:rPr>
              <w:t>IBS</w:t>
            </w:r>
          </w:p>
        </w:tc>
        <w:tc>
          <w:tcPr>
            <w:tcW w:type="dxa" w:w="2268"/>
            <w:shd w:val="clear" w:color="auto" w:fill="2E74B5"/>
            <w:vAlign w:val="center"/>
          </w:tcPr>
          <w:p>
            <w:pPr>
              <w:jc w:val="center"/>
            </w:pPr>
            <w:r>
              <w:rPr>
                <w:b/>
                <w:color w:val="FFFFFF"/>
                <w:sz w:val="20"/>
              </w:rPr>
              <w:t>Revenue Recall@10</w:t>
            </w:r>
          </w:p>
        </w:tc>
      </w:tr>
      <w:tr>
        <w:tc>
          <w:tcPr>
            <w:tcW w:type="dxa" w:w="3969"/>
            <w:shd w:val="clear" w:color="auto" w:fill="F2F2F2"/>
          </w:tcPr>
          <w:p>
            <w:r>
              <w:rPr>
                <w:color w:val="000000"/>
                <w:sz w:val="20"/>
              </w:rPr>
              <w:t>Binary Logistic Regression (baseline)</w:t>
            </w:r>
          </w:p>
        </w:tc>
        <w:tc>
          <w:tcPr>
            <w:tcW w:type="dxa" w:w="1701"/>
            <w:shd w:val="clear" w:color="auto" w:fill="F2F2F2"/>
          </w:tcPr>
          <w:p>
            <w:r>
              <w:rPr>
                <w:color w:val="000000"/>
                <w:sz w:val="20"/>
              </w:rPr>
              <w:t>—</w:t>
            </w:r>
          </w:p>
        </w:tc>
        <w:tc>
          <w:tcPr>
            <w:tcW w:type="dxa" w:w="1701"/>
            <w:shd w:val="clear" w:color="auto" w:fill="F2F2F2"/>
          </w:tcPr>
          <w:p>
            <w:r>
              <w:rPr>
                <w:color w:val="000000"/>
                <w:sz w:val="20"/>
              </w:rPr>
              <w:t>—</w:t>
            </w:r>
          </w:p>
        </w:tc>
        <w:tc>
          <w:tcPr>
            <w:tcW w:type="dxa" w:w="2268"/>
            <w:shd w:val="clear" w:color="auto" w:fill="F2F2F2"/>
          </w:tcPr>
          <w:p>
            <w:r>
              <w:rPr>
                <w:color w:val="000000"/>
                <w:sz w:val="20"/>
              </w:rPr>
              <w:t>—</w:t>
            </w:r>
          </w:p>
        </w:tc>
      </w:tr>
      <w:tr>
        <w:tc>
          <w:tcPr>
            <w:tcW w:type="dxa" w:w="3969"/>
            <w:shd w:val="clear" w:color="auto" w:fill="FFFFFF"/>
          </w:tcPr>
          <w:p>
            <w:r>
              <w:rPr>
                <w:color w:val="000000"/>
                <w:sz w:val="20"/>
              </w:rPr>
              <w:t>Cox PH only</w:t>
            </w:r>
          </w:p>
        </w:tc>
        <w:tc>
          <w:tcPr>
            <w:tcW w:type="dxa" w:w="1701"/>
            <w:shd w:val="clear" w:color="auto" w:fill="FFFFFF"/>
          </w:tcPr>
          <w:p>
            <w:r>
              <w:rPr>
                <w:color w:val="000000"/>
                <w:sz w:val="20"/>
              </w:rPr>
              <w:t>[X]</w:t>
            </w:r>
          </w:p>
        </w:tc>
        <w:tc>
          <w:tcPr>
            <w:tcW w:type="dxa" w:w="1701"/>
            <w:shd w:val="clear" w:color="auto" w:fill="FFFFFF"/>
          </w:tcPr>
          <w:p>
            <w:r>
              <w:rPr>
                <w:color w:val="000000"/>
                <w:sz w:val="20"/>
              </w:rPr>
              <w:t>[X]</w:t>
            </w:r>
          </w:p>
        </w:tc>
        <w:tc>
          <w:tcPr>
            <w:tcW w:type="dxa" w:w="2268"/>
            <w:shd w:val="clear" w:color="auto" w:fill="FFFFFF"/>
          </w:tcPr>
          <w:p>
            <w:r>
              <w:rPr>
                <w:color w:val="000000"/>
                <w:sz w:val="20"/>
              </w:rPr>
              <w:t>[X]</w:t>
            </w:r>
          </w:p>
        </w:tc>
      </w:tr>
      <w:tr>
        <w:tc>
          <w:tcPr>
            <w:tcW w:type="dxa" w:w="3969"/>
            <w:shd w:val="clear" w:color="auto" w:fill="F2F2F2"/>
          </w:tcPr>
          <w:p>
            <w:r>
              <w:rPr>
                <w:color w:val="000000"/>
                <w:sz w:val="20"/>
              </w:rPr>
              <w:t>Random Survival Forest only</w:t>
            </w:r>
          </w:p>
        </w:tc>
        <w:tc>
          <w:tcPr>
            <w:tcW w:type="dxa" w:w="1701"/>
            <w:shd w:val="clear" w:color="auto" w:fill="F2F2F2"/>
          </w:tcPr>
          <w:p>
            <w:r>
              <w:rPr>
                <w:color w:val="000000"/>
                <w:sz w:val="20"/>
              </w:rPr>
              <w:t>[X]</w:t>
            </w:r>
          </w:p>
        </w:tc>
        <w:tc>
          <w:tcPr>
            <w:tcW w:type="dxa" w:w="1701"/>
            <w:shd w:val="clear" w:color="auto" w:fill="F2F2F2"/>
          </w:tcPr>
          <w:p>
            <w:r>
              <w:rPr>
                <w:color w:val="000000"/>
                <w:sz w:val="20"/>
              </w:rPr>
              <w:t>[X]</w:t>
            </w:r>
          </w:p>
        </w:tc>
        <w:tc>
          <w:tcPr>
            <w:tcW w:type="dxa" w:w="2268"/>
            <w:shd w:val="clear" w:color="auto" w:fill="F2F2F2"/>
          </w:tcPr>
          <w:p>
            <w:r>
              <w:rPr>
                <w:color w:val="000000"/>
                <w:sz w:val="20"/>
              </w:rPr>
              <w:t>[X]</w:t>
            </w:r>
          </w:p>
        </w:tc>
      </w:tr>
      <w:tr>
        <w:tc>
          <w:tcPr>
            <w:tcW w:type="dxa" w:w="3969"/>
            <w:shd w:val="clear" w:color="auto" w:fill="FFFFFF"/>
          </w:tcPr>
          <w:p>
            <w:r>
              <w:rPr>
                <w:color w:val="000000"/>
                <w:sz w:val="20"/>
              </w:rPr>
              <w:t>Cox + RSF Ensemble (proposed)</w:t>
            </w:r>
          </w:p>
        </w:tc>
        <w:tc>
          <w:tcPr>
            <w:tcW w:type="dxa" w:w="1701"/>
            <w:shd w:val="clear" w:color="auto" w:fill="FFFFFF"/>
          </w:tcPr>
          <w:p>
            <w:r>
              <w:rPr>
                <w:color w:val="000000"/>
                <w:sz w:val="20"/>
              </w:rPr>
              <w:t>[X]</w:t>
            </w:r>
          </w:p>
        </w:tc>
        <w:tc>
          <w:tcPr>
            <w:tcW w:type="dxa" w:w="1701"/>
            <w:shd w:val="clear" w:color="auto" w:fill="FFFFFF"/>
          </w:tcPr>
          <w:p>
            <w:r>
              <w:rPr>
                <w:color w:val="000000"/>
                <w:sz w:val="20"/>
              </w:rPr>
              <w:t>[X]</w:t>
            </w:r>
          </w:p>
        </w:tc>
        <w:tc>
          <w:tcPr>
            <w:tcW w:type="dxa" w:w="2268"/>
            <w:shd w:val="clear" w:color="auto" w:fill="FFFFFF"/>
          </w:tcPr>
          <w:p>
            <w:r>
              <w:rPr>
                <w:color w:val="000000"/>
                <w:sz w:val="20"/>
              </w:rPr>
              <w:t>[X]</w:t>
            </w:r>
          </w:p>
        </w:tc>
      </w:tr>
      <w:tr>
        <w:tc>
          <w:tcPr>
            <w:tcW w:type="dxa" w:w="3969"/>
            <w:shd w:val="clear" w:color="auto" w:fill="F2F2F2"/>
          </w:tcPr>
          <w:p>
            <w:r>
              <w:rPr>
                <w:color w:val="000000"/>
                <w:sz w:val="20"/>
              </w:rPr>
              <w:t>+ ELV-weighted triage</w:t>
            </w:r>
          </w:p>
        </w:tc>
        <w:tc>
          <w:tcPr>
            <w:tcW w:type="dxa" w:w="1701"/>
            <w:shd w:val="clear" w:color="auto" w:fill="F2F2F2"/>
          </w:tcPr>
          <w:p>
            <w:r>
              <w:rPr>
                <w:color w:val="000000"/>
                <w:sz w:val="20"/>
              </w:rPr>
              <w:t>—</w:t>
            </w:r>
          </w:p>
        </w:tc>
        <w:tc>
          <w:tcPr>
            <w:tcW w:type="dxa" w:w="1701"/>
            <w:shd w:val="clear" w:color="auto" w:fill="F2F2F2"/>
          </w:tcPr>
          <w:p>
            <w:r>
              <w:rPr>
                <w:color w:val="000000"/>
                <w:sz w:val="20"/>
              </w:rPr>
              <w:t>—</w:t>
            </w:r>
          </w:p>
        </w:tc>
        <w:tc>
          <w:tcPr>
            <w:tcW w:type="dxa" w:w="2268"/>
            <w:shd w:val="clear" w:color="auto" w:fill="F2F2F2"/>
          </w:tcPr>
          <w:p>
            <w:r>
              <w:rPr>
                <w:color w:val="000000"/>
                <w:sz w:val="20"/>
              </w:rPr>
              <w:t>[X]</w:t>
            </w:r>
          </w:p>
        </w:tc>
      </w:tr>
      <w:tr>
        <w:tc>
          <w:tcPr>
            <w:tcW w:type="dxa" w:w="3969"/>
            <w:shd w:val="clear" w:color="auto" w:fill="FFFFFF"/>
          </w:tcPr>
          <w:p>
            <w:r>
              <w:rPr>
                <w:color w:val="000000"/>
                <w:sz w:val="20"/>
              </w:rPr>
              <w:t>+ SHAP-LLM diagnostic pipeline</w:t>
            </w:r>
          </w:p>
        </w:tc>
        <w:tc>
          <w:tcPr>
            <w:tcW w:type="dxa" w:w="1701"/>
            <w:shd w:val="clear" w:color="auto" w:fill="FFFFFF"/>
          </w:tcPr>
          <w:p>
            <w:r>
              <w:rPr>
                <w:color w:val="000000"/>
                <w:sz w:val="20"/>
              </w:rPr>
              <w:t>qualitative</w:t>
            </w:r>
          </w:p>
        </w:tc>
        <w:tc>
          <w:tcPr>
            <w:tcW w:type="dxa" w:w="1701"/>
            <w:shd w:val="clear" w:color="auto" w:fill="FFFFFF"/>
          </w:tcPr>
          <w:p>
            <w:r>
              <w:rPr>
                <w:color w:val="000000"/>
                <w:sz w:val="20"/>
              </w:rPr>
              <w:t>—</w:t>
            </w:r>
          </w:p>
        </w:tc>
        <w:tc>
          <w:tcPr>
            <w:tcW w:type="dxa" w:w="2268"/>
            <w:shd w:val="clear" w:color="auto" w:fill="FFFFFF"/>
          </w:tcPr>
          <w:p>
            <w:r>
              <w:rPr>
                <w:color w:val="000000"/>
                <w:sz w:val="20"/>
              </w:rPr>
              <w:t>—</w:t>
            </w:r>
          </w:p>
        </w:tc>
      </w:tr>
      <w:tr>
        <w:tc>
          <w:tcPr>
            <w:tcW w:type="dxa" w:w="3969"/>
            <w:shd w:val="clear" w:color="auto" w:fill="F2F2F2"/>
          </w:tcPr>
          <w:p>
            <w:r>
              <w:rPr>
                <w:color w:val="000000"/>
                <w:sz w:val="20"/>
              </w:rPr>
              <w:t>+ Contextual bandit interventions</w:t>
            </w:r>
          </w:p>
        </w:tc>
        <w:tc>
          <w:tcPr>
            <w:tcW w:type="dxa" w:w="1701"/>
            <w:shd w:val="clear" w:color="auto" w:fill="F2F2F2"/>
          </w:tcPr>
          <w:p>
            <w:r>
              <w:rPr>
                <w:color w:val="000000"/>
                <w:sz w:val="20"/>
              </w:rPr>
              <w:t>—</w:t>
            </w:r>
          </w:p>
        </w:tc>
        <w:tc>
          <w:tcPr>
            <w:tcW w:type="dxa" w:w="1701"/>
            <w:shd w:val="clear" w:color="auto" w:fill="F2F2F2"/>
          </w:tcPr>
          <w:p>
            <w:r>
              <w:rPr>
                <w:color w:val="000000"/>
                <w:sz w:val="20"/>
              </w:rPr>
              <w:t>simulated ROI</w:t>
            </w:r>
          </w:p>
        </w:tc>
        <w:tc>
          <w:tcPr>
            <w:tcW w:type="dxa" w:w="2268"/>
            <w:shd w:val="clear" w:color="auto" w:fill="F2F2F2"/>
          </w:tcPr>
          <w:p>
            <w:r>
              <w:rPr>
                <w:color w:val="000000"/>
                <w:sz w:val="20"/>
              </w:rPr>
              <w:t>—</w:t>
            </w:r>
          </w:p>
        </w:tc>
      </w:tr>
    </w:tbl>
    <w:p/>
    <w:p>
      <w:pPr>
        <w:spacing w:after="120" w:before="40"/>
      </w:pPr>
      <w:r>
        <w:rPr>
          <w:b w:val="0"/>
          <w:i/>
          <w:color w:val="000000"/>
          <w:sz w:val="22"/>
        </w:rPr>
        <w:t>Fill in [X] values after running experiments on the IBM HR Analytics dataset.</w:t>
      </w:r>
    </w:p>
    <w:p>
      <w:pPr>
        <w:spacing w:before="80" w:after="80"/>
        <w:pBdr>
          <w:bottom w:val="single" w:sz="6" w:space="1" w:color="2E74B5"/>
        </w:pBdr>
      </w:pPr>
    </w:p>
    <w:p>
      <w:pPr>
        <w:pStyle w:val="Heading1"/>
        <w:spacing w:before="280" w:after="120"/>
      </w:pPr>
      <w:r>
        <w:rPr>
          <w:b/>
          <w:color w:val="1F3964"/>
          <w:sz w:val="32"/>
        </w:rPr>
        <w:t>11. Target Journals &amp; Conferences</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val="clear" w:color="auto" w:fill="2E74B5"/>
            <w:vAlign w:val="center"/>
          </w:tcPr>
          <w:p>
            <w:pPr>
              <w:jc w:val="center"/>
            </w:pPr>
            <w:r>
              <w:rPr>
                <w:b/>
                <w:color w:val="FFFFFF"/>
                <w:sz w:val="20"/>
              </w:rPr>
              <w:t>Venue</w:t>
            </w:r>
          </w:p>
        </w:tc>
        <w:tc>
          <w:tcPr>
            <w:tcW w:type="dxa" w:w="1984"/>
            <w:shd w:val="clear" w:color="auto" w:fill="2E74B5"/>
            <w:vAlign w:val="center"/>
          </w:tcPr>
          <w:p>
            <w:pPr>
              <w:jc w:val="center"/>
            </w:pPr>
            <w:r>
              <w:rPr>
                <w:b/>
                <w:color w:val="FFFFFF"/>
                <w:sz w:val="20"/>
              </w:rPr>
              <w:t>Type</w:t>
            </w:r>
          </w:p>
        </w:tc>
        <w:tc>
          <w:tcPr>
            <w:tcW w:type="dxa" w:w="4252"/>
            <w:shd w:val="clear" w:color="auto" w:fill="2E74B5"/>
            <w:vAlign w:val="center"/>
          </w:tcPr>
          <w:p>
            <w:pPr>
              <w:jc w:val="center"/>
            </w:pPr>
            <w:r>
              <w:rPr>
                <w:b/>
                <w:color w:val="FFFFFF"/>
                <w:sz w:val="20"/>
              </w:rPr>
              <w:t>Why Suitable</w:t>
            </w:r>
          </w:p>
        </w:tc>
      </w:tr>
      <w:tr>
        <w:tc>
          <w:tcPr>
            <w:tcW w:type="dxa" w:w="3402"/>
            <w:shd w:val="clear" w:color="auto" w:fill="F2F2F2"/>
          </w:tcPr>
          <w:p>
            <w:r>
              <w:rPr>
                <w:color w:val="000000"/>
                <w:sz w:val="20"/>
              </w:rPr>
              <w:t>Expert Systems with Applications (Elsevier)</w:t>
            </w:r>
          </w:p>
        </w:tc>
        <w:tc>
          <w:tcPr>
            <w:tcW w:type="dxa" w:w="1984"/>
            <w:shd w:val="clear" w:color="auto" w:fill="F2F2F2"/>
          </w:tcPr>
          <w:p>
            <w:r>
              <w:rPr>
                <w:color w:val="000000"/>
                <w:sz w:val="20"/>
              </w:rPr>
              <w:t>Q1 Journal</w:t>
            </w:r>
          </w:p>
        </w:tc>
        <w:tc>
          <w:tcPr>
            <w:tcW w:type="dxa" w:w="4252"/>
            <w:shd w:val="clear" w:color="auto" w:fill="F2F2F2"/>
          </w:tcPr>
          <w:p>
            <w:r>
              <w:rPr>
                <w:color w:val="000000"/>
                <w:sz w:val="20"/>
              </w:rPr>
              <w:t>Directly covers intelligent systems + HR applications</w:t>
            </w:r>
          </w:p>
        </w:tc>
      </w:tr>
      <w:tr>
        <w:tc>
          <w:tcPr>
            <w:tcW w:type="dxa" w:w="3402"/>
            <w:shd w:val="clear" w:color="auto" w:fill="FFFFFF"/>
          </w:tcPr>
          <w:p>
            <w:r>
              <w:rPr>
                <w:color w:val="000000"/>
                <w:sz w:val="20"/>
              </w:rPr>
              <w:t>Decision Support Systems (Elsevier)</w:t>
            </w:r>
          </w:p>
        </w:tc>
        <w:tc>
          <w:tcPr>
            <w:tcW w:type="dxa" w:w="1984"/>
            <w:shd w:val="clear" w:color="auto" w:fill="FFFFFF"/>
          </w:tcPr>
          <w:p>
            <w:r>
              <w:rPr>
                <w:color w:val="000000"/>
                <w:sz w:val="20"/>
              </w:rPr>
              <w:t>Q1 Journal</w:t>
            </w:r>
          </w:p>
        </w:tc>
        <w:tc>
          <w:tcPr>
            <w:tcW w:type="dxa" w:w="4252"/>
            <w:shd w:val="clear" w:color="auto" w:fill="FFFFFF"/>
          </w:tcPr>
          <w:p>
            <w:r>
              <w:rPr>
                <w:color w:val="000000"/>
                <w:sz w:val="20"/>
              </w:rPr>
              <w:t>Business decision framing + ML — perfect fit</w:t>
            </w:r>
          </w:p>
        </w:tc>
      </w:tr>
      <w:tr>
        <w:tc>
          <w:tcPr>
            <w:tcW w:type="dxa" w:w="3402"/>
            <w:shd w:val="clear" w:color="auto" w:fill="F2F2F2"/>
          </w:tcPr>
          <w:p>
            <w:r>
              <w:rPr>
                <w:color w:val="000000"/>
                <w:sz w:val="20"/>
              </w:rPr>
              <w:t>IEEE Access</w:t>
            </w:r>
          </w:p>
        </w:tc>
        <w:tc>
          <w:tcPr>
            <w:tcW w:type="dxa" w:w="1984"/>
            <w:shd w:val="clear" w:color="auto" w:fill="F2F2F2"/>
          </w:tcPr>
          <w:p>
            <w:r>
              <w:rPr>
                <w:color w:val="000000"/>
                <w:sz w:val="20"/>
              </w:rPr>
              <w:t>Q1 Open Access</w:t>
            </w:r>
          </w:p>
        </w:tc>
        <w:tc>
          <w:tcPr>
            <w:tcW w:type="dxa" w:w="4252"/>
            <w:shd w:val="clear" w:color="auto" w:fill="F2F2F2"/>
          </w:tcPr>
          <w:p>
            <w:r>
              <w:rPr>
                <w:color w:val="000000"/>
                <w:sz w:val="20"/>
              </w:rPr>
              <w:t>Accepts applied ML systems papers; fast review</w:t>
            </w:r>
          </w:p>
        </w:tc>
      </w:tr>
      <w:tr>
        <w:tc>
          <w:tcPr>
            <w:tcW w:type="dxa" w:w="3402"/>
            <w:shd w:val="clear" w:color="auto" w:fill="FFFFFF"/>
          </w:tcPr>
          <w:p>
            <w:r>
              <w:rPr>
                <w:color w:val="000000"/>
                <w:sz w:val="20"/>
              </w:rPr>
              <w:t>Applied Soft Computing (Elsevier)</w:t>
            </w:r>
          </w:p>
        </w:tc>
        <w:tc>
          <w:tcPr>
            <w:tcW w:type="dxa" w:w="1984"/>
            <w:shd w:val="clear" w:color="auto" w:fill="FFFFFF"/>
          </w:tcPr>
          <w:p>
            <w:r>
              <w:rPr>
                <w:color w:val="000000"/>
                <w:sz w:val="20"/>
              </w:rPr>
              <w:t>Q1 Journal</w:t>
            </w:r>
          </w:p>
        </w:tc>
        <w:tc>
          <w:tcPr>
            <w:tcW w:type="dxa" w:w="4252"/>
            <w:shd w:val="clear" w:color="auto" w:fill="FFFFFF"/>
          </w:tcPr>
          <w:p>
            <w:r>
              <w:rPr>
                <w:color w:val="000000"/>
                <w:sz w:val="20"/>
              </w:rPr>
              <w:t>Ensemble methods + real-world applications</w:t>
            </w:r>
          </w:p>
        </w:tc>
      </w:tr>
      <w:tr>
        <w:tc>
          <w:tcPr>
            <w:tcW w:type="dxa" w:w="3402"/>
            <w:shd w:val="clear" w:color="auto" w:fill="F2F2F2"/>
          </w:tcPr>
          <w:p>
            <w:r>
              <w:rPr>
                <w:color w:val="000000"/>
                <w:sz w:val="20"/>
              </w:rPr>
              <w:t>ECML-PKDD Applied ML Track</w:t>
            </w:r>
          </w:p>
        </w:tc>
        <w:tc>
          <w:tcPr>
            <w:tcW w:type="dxa" w:w="1984"/>
            <w:shd w:val="clear" w:color="auto" w:fill="F2F2F2"/>
          </w:tcPr>
          <w:p>
            <w:r>
              <w:rPr>
                <w:color w:val="000000"/>
                <w:sz w:val="20"/>
              </w:rPr>
              <w:t>Conference</w:t>
            </w:r>
          </w:p>
        </w:tc>
        <w:tc>
          <w:tcPr>
            <w:tcW w:type="dxa" w:w="4252"/>
            <w:shd w:val="clear" w:color="auto" w:fill="F2F2F2"/>
          </w:tcPr>
          <w:p>
            <w:r>
              <w:rPr>
                <w:color w:val="000000"/>
                <w:sz w:val="20"/>
              </w:rPr>
              <w:t>Strong ML venue; applied track fits this work</w:t>
            </w:r>
          </w:p>
        </w:tc>
      </w:tr>
    </w:tbl>
    <w:p/>
    <w:p>
      <w:pPr>
        <w:spacing w:after="120" w:before="40"/>
      </w:pPr>
      <w:r>
        <w:rPr>
          <w:b/>
          <w:i w:val="0"/>
          <w:color w:val="000000"/>
          <w:sz w:val="22"/>
        </w:rPr>
        <w:t>Primary recommendation: Expert Systems with Applications. The ablation study + agent pipeline + ELV metric combination is precisely the type of contribution this journal publishes.</w:t>
      </w:r>
    </w:p>
    <w:p>
      <w:pPr>
        <w:spacing w:before="80" w:after="80"/>
        <w:pBdr>
          <w:bottom w:val="single" w:sz="6" w:space="1" w:color="2E74B5"/>
        </w:pBdr>
      </w:pPr>
    </w:p>
    <w:p>
      <w:pPr>
        <w:pStyle w:val="Heading1"/>
        <w:spacing w:before="280" w:after="120"/>
      </w:pPr>
      <w:r>
        <w:rPr>
          <w:b/>
          <w:color w:val="1F3964"/>
          <w:sz w:val="32"/>
        </w:rPr>
        <w:t>12. Literature Review Summary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shd w:val="clear" w:color="auto" w:fill="2E74B5"/>
            <w:vAlign w:val="center"/>
          </w:tcPr>
          <w:p>
            <w:pPr>
              <w:jc w:val="center"/>
            </w:pPr>
            <w:r>
              <w:rPr>
                <w:b/>
                <w:color w:val="FFFFFF"/>
                <w:sz w:val="20"/>
              </w:rPr>
              <w:t>Paper / Author</w:t>
            </w:r>
          </w:p>
        </w:tc>
        <w:tc>
          <w:tcPr>
            <w:tcW w:type="dxa" w:w="2268"/>
            <w:shd w:val="clear" w:color="auto" w:fill="2E74B5"/>
            <w:vAlign w:val="center"/>
          </w:tcPr>
          <w:p>
            <w:pPr>
              <w:jc w:val="center"/>
            </w:pPr>
            <w:r>
              <w:rPr>
                <w:b/>
                <w:color w:val="FFFFFF"/>
                <w:sz w:val="20"/>
              </w:rPr>
              <w:t>Method</w:t>
            </w:r>
          </w:p>
        </w:tc>
        <w:tc>
          <w:tcPr>
            <w:tcW w:type="dxa" w:w="1701"/>
            <w:shd w:val="clear" w:color="auto" w:fill="2E74B5"/>
            <w:vAlign w:val="center"/>
          </w:tcPr>
          <w:p>
            <w:pPr>
              <w:jc w:val="center"/>
            </w:pPr>
            <w:r>
              <w:rPr>
                <w:b/>
                <w:color w:val="FFFFFF"/>
                <w:sz w:val="20"/>
              </w:rPr>
              <w:t>Domain</w:t>
            </w:r>
          </w:p>
        </w:tc>
        <w:tc>
          <w:tcPr>
            <w:tcW w:type="dxa" w:w="2835"/>
            <w:shd w:val="clear" w:color="auto" w:fill="2E74B5"/>
            <w:vAlign w:val="center"/>
          </w:tcPr>
          <w:p>
            <w:pPr>
              <w:jc w:val="center"/>
            </w:pPr>
            <w:r>
              <w:rPr>
                <w:b/>
                <w:color w:val="FFFFFF"/>
                <w:sz w:val="20"/>
              </w:rPr>
              <w:t>Key Gap</w:t>
            </w:r>
          </w:p>
        </w:tc>
      </w:tr>
      <w:tr>
        <w:tc>
          <w:tcPr>
            <w:tcW w:type="dxa" w:w="2835"/>
            <w:shd w:val="clear" w:color="auto" w:fill="F2F2F2"/>
          </w:tcPr>
          <w:p>
            <w:r>
              <w:rPr>
                <w:color w:val="000000"/>
                <w:sz w:val="20"/>
              </w:rPr>
              <w:t>IEEE Survey 2024 (212 papers)</w:t>
            </w:r>
          </w:p>
        </w:tc>
        <w:tc>
          <w:tcPr>
            <w:tcW w:type="dxa" w:w="2268"/>
            <w:shd w:val="clear" w:color="auto" w:fill="F2F2F2"/>
          </w:tcPr>
          <w:p>
            <w:r>
              <w:rPr>
                <w:color w:val="000000"/>
                <w:sz w:val="20"/>
              </w:rPr>
              <w:t>Systematic Review</w:t>
            </w:r>
          </w:p>
        </w:tc>
        <w:tc>
          <w:tcPr>
            <w:tcW w:type="dxa" w:w="1701"/>
            <w:shd w:val="clear" w:color="auto" w:fill="F2F2F2"/>
          </w:tcPr>
          <w:p>
            <w:r>
              <w:rPr>
                <w:color w:val="000000"/>
                <w:sz w:val="20"/>
              </w:rPr>
              <w:t>Multi-domain</w:t>
            </w:r>
          </w:p>
        </w:tc>
        <w:tc>
          <w:tcPr>
            <w:tcW w:type="dxa" w:w="2835"/>
            <w:shd w:val="clear" w:color="auto" w:fill="F2F2F2"/>
          </w:tcPr>
          <w:p>
            <w:r>
              <w:rPr>
                <w:color w:val="000000"/>
                <w:sz w:val="20"/>
              </w:rPr>
              <w:t>Calls for profit-based metrics; none implemented</w:t>
            </w:r>
          </w:p>
        </w:tc>
      </w:tr>
      <w:tr>
        <w:tc>
          <w:tcPr>
            <w:tcW w:type="dxa" w:w="2835"/>
            <w:shd w:val="clear" w:color="auto" w:fill="FFFFFF"/>
          </w:tcPr>
          <w:p>
            <w:r>
              <w:rPr>
                <w:color w:val="000000"/>
                <w:sz w:val="20"/>
              </w:rPr>
              <w:t>Celik, 2019</w:t>
            </w:r>
          </w:p>
        </w:tc>
        <w:tc>
          <w:tcPr>
            <w:tcW w:type="dxa" w:w="2268"/>
            <w:shd w:val="clear" w:color="auto" w:fill="FFFFFF"/>
          </w:tcPr>
          <w:p>
            <w:r>
              <w:rPr>
                <w:color w:val="000000"/>
                <w:sz w:val="20"/>
              </w:rPr>
              <w:t>Cox PH + DL Review</w:t>
            </w:r>
          </w:p>
        </w:tc>
        <w:tc>
          <w:tcPr>
            <w:tcW w:type="dxa" w:w="1701"/>
            <w:shd w:val="clear" w:color="auto" w:fill="FFFFFF"/>
          </w:tcPr>
          <w:p>
            <w:r>
              <w:rPr>
                <w:color w:val="000000"/>
                <w:sz w:val="20"/>
              </w:rPr>
              <w:t>Customer Churn</w:t>
            </w:r>
          </w:p>
        </w:tc>
        <w:tc>
          <w:tcPr>
            <w:tcW w:type="dxa" w:w="2835"/>
            <w:shd w:val="clear" w:color="auto" w:fill="FFFFFF"/>
          </w:tcPr>
          <w:p>
            <w:r>
              <w:rPr>
                <w:color w:val="000000"/>
                <w:sz w:val="20"/>
              </w:rPr>
              <w:t>Cox PH mentioned but not applied as ensemble</w:t>
            </w:r>
          </w:p>
        </w:tc>
      </w:tr>
      <w:tr>
        <w:tc>
          <w:tcPr>
            <w:tcW w:type="dxa" w:w="2835"/>
            <w:shd w:val="clear" w:color="auto" w:fill="F2F2F2"/>
          </w:tcPr>
          <w:p>
            <w:r>
              <w:rPr>
                <w:color w:val="000000"/>
                <w:sz w:val="20"/>
              </w:rPr>
              <w:t>Lessmann et al., 2015</w:t>
            </w:r>
          </w:p>
        </w:tc>
        <w:tc>
          <w:tcPr>
            <w:tcW w:type="dxa" w:w="2268"/>
            <w:shd w:val="clear" w:color="auto" w:fill="F2F2F2"/>
          </w:tcPr>
          <w:p>
            <w:r>
              <w:rPr>
                <w:color w:val="000000"/>
                <w:sz w:val="20"/>
              </w:rPr>
              <w:t>Churn platform review</w:t>
            </w:r>
          </w:p>
        </w:tc>
        <w:tc>
          <w:tcPr>
            <w:tcW w:type="dxa" w:w="1701"/>
            <w:shd w:val="clear" w:color="auto" w:fill="F2F2F2"/>
          </w:tcPr>
          <w:p>
            <w:r>
              <w:rPr>
                <w:color w:val="000000"/>
                <w:sz w:val="20"/>
              </w:rPr>
              <w:t>Customer</w:t>
            </w:r>
          </w:p>
        </w:tc>
        <w:tc>
          <w:tcPr>
            <w:tcW w:type="dxa" w:w="2835"/>
            <w:shd w:val="clear" w:color="auto" w:fill="F2F2F2"/>
          </w:tcPr>
          <w:p>
            <w:r>
              <w:rPr>
                <w:color w:val="000000"/>
                <w:sz w:val="20"/>
              </w:rPr>
              <w:t>No autonomous action component</w:t>
            </w:r>
          </w:p>
        </w:tc>
      </w:tr>
      <w:tr>
        <w:tc>
          <w:tcPr>
            <w:tcW w:type="dxa" w:w="2835"/>
            <w:shd w:val="clear" w:color="auto" w:fill="FFFFFF"/>
          </w:tcPr>
          <w:p>
            <w:r>
              <w:rPr>
                <w:color w:val="000000"/>
                <w:sz w:val="20"/>
              </w:rPr>
              <w:t>Nature 2023 (BiLSTM-CNN)</w:t>
            </w:r>
          </w:p>
        </w:tc>
        <w:tc>
          <w:tcPr>
            <w:tcW w:type="dxa" w:w="2268"/>
            <w:shd w:val="clear" w:color="auto" w:fill="FFFFFF"/>
          </w:tcPr>
          <w:p>
            <w:r>
              <w:rPr>
                <w:color w:val="000000"/>
                <w:sz w:val="20"/>
              </w:rPr>
              <w:t>Deep Learning</w:t>
            </w:r>
          </w:p>
        </w:tc>
        <w:tc>
          <w:tcPr>
            <w:tcW w:type="dxa" w:w="1701"/>
            <w:shd w:val="clear" w:color="auto" w:fill="FFFFFF"/>
          </w:tcPr>
          <w:p>
            <w:r>
              <w:rPr>
                <w:color w:val="000000"/>
                <w:sz w:val="20"/>
              </w:rPr>
              <w:t>Customer</w:t>
            </w:r>
          </w:p>
        </w:tc>
        <w:tc>
          <w:tcPr>
            <w:tcW w:type="dxa" w:w="2835"/>
            <w:shd w:val="clear" w:color="auto" w:fill="FFFFFF"/>
          </w:tcPr>
          <w:p>
            <w:r>
              <w:rPr>
                <w:color w:val="000000"/>
                <w:sz w:val="20"/>
              </w:rPr>
              <w:t>Binary only; no time-to-event</w:t>
            </w:r>
          </w:p>
        </w:tc>
      </w:tr>
      <w:tr>
        <w:tc>
          <w:tcPr>
            <w:tcW w:type="dxa" w:w="2835"/>
            <w:shd w:val="clear" w:color="auto" w:fill="F2F2F2"/>
          </w:tcPr>
          <w:p>
            <w:r>
              <w:rPr>
                <w:color w:val="000000"/>
                <w:sz w:val="20"/>
              </w:rPr>
              <w:t>Tandfonline 2022 (SLR)</w:t>
            </w:r>
          </w:p>
        </w:tc>
        <w:tc>
          <w:tcPr>
            <w:tcW w:type="dxa" w:w="2268"/>
            <w:shd w:val="clear" w:color="auto" w:fill="F2F2F2"/>
          </w:tcPr>
          <w:p>
            <w:r>
              <w:rPr>
                <w:color w:val="000000"/>
                <w:sz w:val="20"/>
              </w:rPr>
              <w:t>Systematic Review</w:t>
            </w:r>
          </w:p>
        </w:tc>
        <w:tc>
          <w:tcPr>
            <w:tcW w:type="dxa" w:w="1701"/>
            <w:shd w:val="clear" w:color="auto" w:fill="F2F2F2"/>
          </w:tcPr>
          <w:p>
            <w:r>
              <w:rPr>
                <w:color w:val="000000"/>
                <w:sz w:val="20"/>
              </w:rPr>
              <w:t>Customer</w:t>
            </w:r>
          </w:p>
        </w:tc>
        <w:tc>
          <w:tcPr>
            <w:tcW w:type="dxa" w:w="2835"/>
            <w:shd w:val="clear" w:color="auto" w:fill="F2F2F2"/>
          </w:tcPr>
          <w:p>
            <w:r>
              <w:rPr>
                <w:color w:val="000000"/>
                <w:sz w:val="20"/>
              </w:rPr>
              <w:t>No survival analysis; social features gap</w:t>
            </w:r>
          </w:p>
        </w:tc>
      </w:tr>
      <w:tr>
        <w:tc>
          <w:tcPr>
            <w:tcW w:type="dxa" w:w="2835"/>
            <w:shd w:val="clear" w:color="auto" w:fill="FFFFFF"/>
          </w:tcPr>
          <w:p>
            <w:r>
              <w:rPr>
                <w:color w:val="000000"/>
                <w:sz w:val="20"/>
              </w:rPr>
              <w:t>Expert Systems 2010 (AntMiner+)</w:t>
            </w:r>
          </w:p>
        </w:tc>
        <w:tc>
          <w:tcPr>
            <w:tcW w:type="dxa" w:w="2268"/>
            <w:shd w:val="clear" w:color="auto" w:fill="FFFFFF"/>
          </w:tcPr>
          <w:p>
            <w:r>
              <w:rPr>
                <w:color w:val="000000"/>
                <w:sz w:val="20"/>
              </w:rPr>
              <w:t>Rule Induction</w:t>
            </w:r>
          </w:p>
        </w:tc>
        <w:tc>
          <w:tcPr>
            <w:tcW w:type="dxa" w:w="1701"/>
            <w:shd w:val="clear" w:color="auto" w:fill="FFFFFF"/>
          </w:tcPr>
          <w:p>
            <w:r>
              <w:rPr>
                <w:color w:val="000000"/>
                <w:sz w:val="20"/>
              </w:rPr>
              <w:t>Customer</w:t>
            </w:r>
          </w:p>
        </w:tc>
        <w:tc>
          <w:tcPr>
            <w:tcW w:type="dxa" w:w="2835"/>
            <w:shd w:val="clear" w:color="auto" w:fill="FFFFFF"/>
          </w:tcPr>
          <w:p>
            <w:r>
              <w:rPr>
                <w:color w:val="000000"/>
                <w:sz w:val="20"/>
              </w:rPr>
              <w:t>Binary; comprehensibility gap</w:t>
            </w:r>
          </w:p>
        </w:tc>
      </w:tr>
      <w:tr>
        <w:tc>
          <w:tcPr>
            <w:tcW w:type="dxa" w:w="2835"/>
            <w:shd w:val="clear" w:color="auto" w:fill="F2F2F2"/>
          </w:tcPr>
          <w:p>
            <w:r>
              <w:rPr>
                <w:color w:val="000000"/>
                <w:sz w:val="20"/>
              </w:rPr>
              <w:t>Computing 2022 (XGBoost)</w:t>
            </w:r>
          </w:p>
        </w:tc>
        <w:tc>
          <w:tcPr>
            <w:tcW w:type="dxa" w:w="2268"/>
            <w:shd w:val="clear" w:color="auto" w:fill="F2F2F2"/>
          </w:tcPr>
          <w:p>
            <w:r>
              <w:rPr>
                <w:color w:val="000000"/>
                <w:sz w:val="20"/>
              </w:rPr>
              <w:t>Ensemble</w:t>
            </w:r>
          </w:p>
        </w:tc>
        <w:tc>
          <w:tcPr>
            <w:tcW w:type="dxa" w:w="1701"/>
            <w:shd w:val="clear" w:color="auto" w:fill="F2F2F2"/>
          </w:tcPr>
          <w:p>
            <w:r>
              <w:rPr>
                <w:color w:val="000000"/>
                <w:sz w:val="20"/>
              </w:rPr>
              <w:t>Telecom</w:t>
            </w:r>
          </w:p>
        </w:tc>
        <w:tc>
          <w:tcPr>
            <w:tcW w:type="dxa" w:w="2835"/>
            <w:shd w:val="clear" w:color="auto" w:fill="F2F2F2"/>
          </w:tcPr>
          <w:p>
            <w:r>
              <w:rPr>
                <w:color w:val="000000"/>
                <w:sz w:val="20"/>
              </w:rPr>
              <w:t>Binary; 81.7% accuracy; no time-to-event</w:t>
            </w:r>
          </w:p>
        </w:tc>
      </w:tr>
      <w:tr>
        <w:tc>
          <w:tcPr>
            <w:tcW w:type="dxa" w:w="2835"/>
            <w:shd w:val="clear" w:color="auto" w:fill="FFFFFF"/>
          </w:tcPr>
          <w:p>
            <w:r>
              <w:rPr>
                <w:color w:val="000000"/>
                <w:sz w:val="20"/>
              </w:rPr>
              <w:t>Expert Systems 2009 (ANN+SOM)</w:t>
            </w:r>
          </w:p>
        </w:tc>
        <w:tc>
          <w:tcPr>
            <w:tcW w:type="dxa" w:w="2268"/>
            <w:shd w:val="clear" w:color="auto" w:fill="FFFFFF"/>
          </w:tcPr>
          <w:p>
            <w:r>
              <w:rPr>
                <w:color w:val="000000"/>
                <w:sz w:val="20"/>
              </w:rPr>
              <w:t>Hybrid Neural Net</w:t>
            </w:r>
          </w:p>
        </w:tc>
        <w:tc>
          <w:tcPr>
            <w:tcW w:type="dxa" w:w="1701"/>
            <w:shd w:val="clear" w:color="auto" w:fill="FFFFFF"/>
          </w:tcPr>
          <w:p>
            <w:r>
              <w:rPr>
                <w:color w:val="000000"/>
                <w:sz w:val="20"/>
              </w:rPr>
              <w:t>Customer</w:t>
            </w:r>
          </w:p>
        </w:tc>
        <w:tc>
          <w:tcPr>
            <w:tcW w:type="dxa" w:w="2835"/>
            <w:shd w:val="clear" w:color="auto" w:fill="FFFFFF"/>
          </w:tcPr>
          <w:p>
            <w:r>
              <w:rPr>
                <w:color w:val="000000"/>
                <w:sz w:val="20"/>
              </w:rPr>
              <w:t>Binary; no explainability</w:t>
            </w:r>
          </w:p>
        </w:tc>
      </w:tr>
      <w:tr>
        <w:tc>
          <w:tcPr>
            <w:tcW w:type="dxa" w:w="2835"/>
            <w:shd w:val="clear" w:color="auto" w:fill="F2F2F2"/>
          </w:tcPr>
          <w:p>
            <w:r>
              <w:rPr>
                <w:color w:val="000000"/>
                <w:sz w:val="20"/>
              </w:rPr>
              <w:t>Applied Intelligence 2013</w:t>
            </w:r>
          </w:p>
        </w:tc>
        <w:tc>
          <w:tcPr>
            <w:tcW w:type="dxa" w:w="2268"/>
            <w:shd w:val="clear" w:color="auto" w:fill="F2F2F2"/>
          </w:tcPr>
          <w:p>
            <w:r>
              <w:rPr>
                <w:color w:val="000000"/>
                <w:sz w:val="20"/>
              </w:rPr>
              <w:t>Relational Learning</w:t>
            </w:r>
          </w:p>
        </w:tc>
        <w:tc>
          <w:tcPr>
            <w:tcW w:type="dxa" w:w="1701"/>
            <w:shd w:val="clear" w:color="auto" w:fill="F2F2F2"/>
          </w:tcPr>
          <w:p>
            <w:r>
              <w:rPr>
                <w:color w:val="000000"/>
                <w:sz w:val="20"/>
              </w:rPr>
              <w:t>Telecom</w:t>
            </w:r>
          </w:p>
        </w:tc>
        <w:tc>
          <w:tcPr>
            <w:tcW w:type="dxa" w:w="2835"/>
            <w:shd w:val="clear" w:color="auto" w:fill="F2F2F2"/>
          </w:tcPr>
          <w:p>
            <w:r>
              <w:rPr>
                <w:color w:val="000000"/>
                <w:sz w:val="20"/>
              </w:rPr>
              <w:t>Binary; social graph only</w:t>
            </w:r>
          </w:p>
        </w:tc>
      </w:tr>
      <w:tr>
        <w:tc>
          <w:tcPr>
            <w:tcW w:type="dxa" w:w="2835"/>
            <w:shd w:val="clear" w:color="auto" w:fill="FFFFFF"/>
          </w:tcPr>
          <w:p>
            <w:r>
              <w:rPr>
                <w:color w:val="000000"/>
                <w:sz w:val="20"/>
              </w:rPr>
              <w:t>IEEE 2015 (DT+LR)</w:t>
            </w:r>
          </w:p>
        </w:tc>
        <w:tc>
          <w:tcPr>
            <w:tcW w:type="dxa" w:w="2268"/>
            <w:shd w:val="clear" w:color="auto" w:fill="FFFFFF"/>
          </w:tcPr>
          <w:p>
            <w:r>
              <w:rPr>
                <w:color w:val="000000"/>
                <w:sz w:val="20"/>
              </w:rPr>
              <w:t>Decision Tree, LR</w:t>
            </w:r>
          </w:p>
        </w:tc>
        <w:tc>
          <w:tcPr>
            <w:tcW w:type="dxa" w:w="1701"/>
            <w:shd w:val="clear" w:color="auto" w:fill="FFFFFF"/>
          </w:tcPr>
          <w:p>
            <w:r>
              <w:rPr>
                <w:color w:val="000000"/>
                <w:sz w:val="20"/>
              </w:rPr>
              <w:t>Telecom</w:t>
            </w:r>
          </w:p>
        </w:tc>
        <w:tc>
          <w:tcPr>
            <w:tcW w:type="dxa" w:w="2835"/>
            <w:shd w:val="clear" w:color="auto" w:fill="FFFFFF"/>
          </w:tcPr>
          <w:p>
            <w:r>
              <w:rPr>
                <w:color w:val="000000"/>
                <w:sz w:val="20"/>
              </w:rPr>
              <w:t>Basic comparison; binary</w:t>
            </w:r>
          </w:p>
        </w:tc>
      </w:tr>
      <w:tr>
        <w:tc>
          <w:tcPr>
            <w:tcW w:type="dxa" w:w="2835"/>
            <w:shd w:val="clear" w:color="auto" w:fill="F2F2F2"/>
          </w:tcPr>
          <w:p>
            <w:r>
              <w:rPr>
                <w:color w:val="000000"/>
                <w:sz w:val="20"/>
              </w:rPr>
              <w:t>J. Bus. Res. 2014</w:t>
            </w:r>
          </w:p>
        </w:tc>
        <w:tc>
          <w:tcPr>
            <w:tcW w:type="dxa" w:w="2268"/>
            <w:shd w:val="clear" w:color="auto" w:fill="F2F2F2"/>
          </w:tcPr>
          <w:p>
            <w:r>
              <w:rPr>
                <w:color w:val="000000"/>
                <w:sz w:val="20"/>
              </w:rPr>
              <w:t>Boosting (B2B)</w:t>
            </w:r>
          </w:p>
        </w:tc>
        <w:tc>
          <w:tcPr>
            <w:tcW w:type="dxa" w:w="1701"/>
            <w:shd w:val="clear" w:color="auto" w:fill="F2F2F2"/>
          </w:tcPr>
          <w:p>
            <w:r>
              <w:rPr>
                <w:color w:val="000000"/>
                <w:sz w:val="20"/>
              </w:rPr>
              <w:t>B2B</w:t>
            </w:r>
          </w:p>
        </w:tc>
        <w:tc>
          <w:tcPr>
            <w:tcW w:type="dxa" w:w="2835"/>
            <w:shd w:val="clear" w:color="auto" w:fill="F2F2F2"/>
          </w:tcPr>
          <w:p>
            <w:r>
              <w:rPr>
                <w:color w:val="000000"/>
                <w:sz w:val="20"/>
              </w:rPr>
              <w:t>Binary; CLV noted but not implemented</w:t>
            </w:r>
          </w:p>
        </w:tc>
      </w:tr>
      <w:tr>
        <w:tc>
          <w:tcPr>
            <w:tcW w:type="dxa" w:w="2835"/>
            <w:shd w:val="clear" w:color="auto" w:fill="FFFFFF"/>
          </w:tcPr>
          <w:p>
            <w:r>
              <w:rPr>
                <w:color w:val="000000"/>
                <w:sz w:val="20"/>
              </w:rPr>
              <w:t>Applied Soft Computing 2009</w:t>
            </w:r>
          </w:p>
        </w:tc>
        <w:tc>
          <w:tcPr>
            <w:tcW w:type="dxa" w:w="2268"/>
            <w:shd w:val="clear" w:color="auto" w:fill="FFFFFF"/>
          </w:tcPr>
          <w:p>
            <w:r>
              <w:rPr>
                <w:color w:val="000000"/>
                <w:sz w:val="20"/>
              </w:rPr>
              <w:t>SVM</w:t>
            </w:r>
          </w:p>
        </w:tc>
        <w:tc>
          <w:tcPr>
            <w:tcW w:type="dxa" w:w="1701"/>
            <w:shd w:val="clear" w:color="auto" w:fill="FFFFFF"/>
          </w:tcPr>
          <w:p>
            <w:r>
              <w:rPr>
                <w:color w:val="000000"/>
                <w:sz w:val="20"/>
              </w:rPr>
              <w:t>Customer</w:t>
            </w:r>
          </w:p>
        </w:tc>
        <w:tc>
          <w:tcPr>
            <w:tcW w:type="dxa" w:w="2835"/>
            <w:shd w:val="clear" w:color="auto" w:fill="FFFFFF"/>
          </w:tcPr>
          <w:p>
            <w:r>
              <w:rPr>
                <w:color w:val="000000"/>
                <w:sz w:val="20"/>
              </w:rPr>
              <w:t>Binary; no explainability</w:t>
            </w:r>
          </w:p>
        </w:tc>
      </w:tr>
      <w:tr>
        <w:tc>
          <w:tcPr>
            <w:tcW w:type="dxa" w:w="2835"/>
            <w:shd w:val="clear" w:color="auto" w:fill="F2F2F2"/>
          </w:tcPr>
          <w:p>
            <w:r>
              <w:rPr>
                <w:color w:val="000000"/>
                <w:sz w:val="20"/>
              </w:rPr>
              <w:t>JBIM 2018</w:t>
            </w:r>
          </w:p>
        </w:tc>
        <w:tc>
          <w:tcPr>
            <w:tcW w:type="dxa" w:w="2268"/>
            <w:shd w:val="clear" w:color="auto" w:fill="F2F2F2"/>
          </w:tcPr>
          <w:p>
            <w:r>
              <w:rPr>
                <w:color w:val="000000"/>
                <w:sz w:val="20"/>
              </w:rPr>
              <w:t>Distance-factor CCP</w:t>
            </w:r>
          </w:p>
        </w:tc>
        <w:tc>
          <w:tcPr>
            <w:tcW w:type="dxa" w:w="1701"/>
            <w:shd w:val="clear" w:color="auto" w:fill="F2F2F2"/>
          </w:tcPr>
          <w:p>
            <w:r>
              <w:rPr>
                <w:color w:val="000000"/>
                <w:sz w:val="20"/>
              </w:rPr>
              <w:t>Telecom</w:t>
            </w:r>
          </w:p>
        </w:tc>
        <w:tc>
          <w:tcPr>
            <w:tcW w:type="dxa" w:w="2835"/>
            <w:shd w:val="clear" w:color="auto" w:fill="F2F2F2"/>
          </w:tcPr>
          <w:p>
            <w:r>
              <w:rPr>
                <w:color w:val="000000"/>
                <w:sz w:val="20"/>
              </w:rPr>
              <w:t>Binary; zone-based certainty</w:t>
            </w:r>
          </w:p>
        </w:tc>
      </w:tr>
      <w:tr>
        <w:tc>
          <w:tcPr>
            <w:tcW w:type="dxa" w:w="2835"/>
            <w:shd w:val="clear" w:color="auto" w:fill="FFFFFF"/>
          </w:tcPr>
          <w:p>
            <w:r>
              <w:rPr>
                <w:color w:val="000000"/>
                <w:sz w:val="20"/>
              </w:rPr>
              <w:t>Expert Systems 2008 (WRF)</w:t>
            </w:r>
          </w:p>
        </w:tc>
        <w:tc>
          <w:tcPr>
            <w:tcW w:type="dxa" w:w="2268"/>
            <w:shd w:val="clear" w:color="auto" w:fill="FFFFFF"/>
          </w:tcPr>
          <w:p>
            <w:r>
              <w:rPr>
                <w:color w:val="000000"/>
                <w:sz w:val="20"/>
              </w:rPr>
              <w:t>Gradient Boosting, WRF</w:t>
            </w:r>
          </w:p>
        </w:tc>
        <w:tc>
          <w:tcPr>
            <w:tcW w:type="dxa" w:w="1701"/>
            <w:shd w:val="clear" w:color="auto" w:fill="FFFFFF"/>
          </w:tcPr>
          <w:p>
            <w:r>
              <w:rPr>
                <w:color w:val="000000"/>
                <w:sz w:val="20"/>
              </w:rPr>
              <w:t>Customer</w:t>
            </w:r>
          </w:p>
        </w:tc>
        <w:tc>
          <w:tcPr>
            <w:tcW w:type="dxa" w:w="2835"/>
            <w:shd w:val="clear" w:color="auto" w:fill="FFFFFF"/>
          </w:tcPr>
          <w:p>
            <w:r>
              <w:rPr>
                <w:color w:val="000000"/>
                <w:sz w:val="20"/>
              </w:rPr>
              <w:t>Class imbalance focus; binary</w:t>
            </w:r>
          </w:p>
        </w:tc>
      </w:tr>
      <w:tr>
        <w:tc>
          <w:tcPr>
            <w:tcW w:type="dxa" w:w="2835"/>
            <w:shd w:val="clear" w:color="auto" w:fill="F2F2F2"/>
          </w:tcPr>
          <w:p>
            <w:r>
              <w:rPr>
                <w:color w:val="000000"/>
                <w:sz w:val="20"/>
              </w:rPr>
              <w:t>Simulation 2015 (SVM-POLY)</w:t>
            </w:r>
          </w:p>
        </w:tc>
        <w:tc>
          <w:tcPr>
            <w:tcW w:type="dxa" w:w="2268"/>
            <w:shd w:val="clear" w:color="auto" w:fill="F2F2F2"/>
          </w:tcPr>
          <w:p>
            <w:r>
              <w:rPr>
                <w:color w:val="000000"/>
                <w:sz w:val="20"/>
              </w:rPr>
              <w:t>Monte Carlo + SVM</w:t>
            </w:r>
          </w:p>
        </w:tc>
        <w:tc>
          <w:tcPr>
            <w:tcW w:type="dxa" w:w="1701"/>
            <w:shd w:val="clear" w:color="auto" w:fill="F2F2F2"/>
          </w:tcPr>
          <w:p>
            <w:r>
              <w:rPr>
                <w:color w:val="000000"/>
                <w:sz w:val="20"/>
              </w:rPr>
              <w:t>Telecom</w:t>
            </w:r>
          </w:p>
        </w:tc>
        <w:tc>
          <w:tcPr>
            <w:tcW w:type="dxa" w:w="2835"/>
            <w:shd w:val="clear" w:color="auto" w:fill="F2F2F2"/>
          </w:tcPr>
          <w:p>
            <w:r>
              <w:rPr>
                <w:color w:val="000000"/>
                <w:sz w:val="20"/>
              </w:rPr>
              <w:t>97% accuracy; purely binary</w:t>
            </w:r>
          </w:p>
        </w:tc>
      </w:tr>
      <w:tr>
        <w:tc>
          <w:tcPr>
            <w:tcW w:type="dxa" w:w="2835"/>
            <w:shd w:val="clear" w:color="auto" w:fill="FFFFFF"/>
          </w:tcPr>
          <w:p>
            <w:r>
              <w:rPr>
                <w:color w:val="000000"/>
                <w:sz w:val="20"/>
              </w:rPr>
              <w:t>Expert Systems 2008 (IBRF)</w:t>
            </w:r>
          </w:p>
        </w:tc>
        <w:tc>
          <w:tcPr>
            <w:tcW w:type="dxa" w:w="2268"/>
            <w:shd w:val="clear" w:color="auto" w:fill="FFFFFF"/>
          </w:tcPr>
          <w:p>
            <w:r>
              <w:rPr>
                <w:color w:val="000000"/>
                <w:sz w:val="20"/>
              </w:rPr>
              <w:t>Improved Balanced RF</w:t>
            </w:r>
          </w:p>
        </w:tc>
        <w:tc>
          <w:tcPr>
            <w:tcW w:type="dxa" w:w="1701"/>
            <w:shd w:val="clear" w:color="auto" w:fill="FFFFFF"/>
          </w:tcPr>
          <w:p>
            <w:r>
              <w:rPr>
                <w:color w:val="000000"/>
                <w:sz w:val="20"/>
              </w:rPr>
              <w:t>Banking</w:t>
            </w:r>
          </w:p>
        </w:tc>
        <w:tc>
          <w:tcPr>
            <w:tcW w:type="dxa" w:w="2835"/>
            <w:shd w:val="clear" w:color="auto" w:fill="FFFFFF"/>
          </w:tcPr>
          <w:p>
            <w:r>
              <w:rPr>
                <w:color w:val="000000"/>
                <w:sz w:val="20"/>
              </w:rPr>
              <w:t>Binary; class imbalance only</w:t>
            </w:r>
          </w:p>
        </w:tc>
      </w:tr>
      <w:tr>
        <w:tc>
          <w:tcPr>
            <w:tcW w:type="dxa" w:w="2835"/>
            <w:shd w:val="clear" w:color="auto" w:fill="F2F2F2"/>
          </w:tcPr>
          <w:p>
            <w:r>
              <w:rPr>
                <w:color w:val="000000"/>
                <w:sz w:val="20"/>
              </w:rPr>
              <w:t>IEEE 2012 (Boosting+LR)</w:t>
            </w:r>
          </w:p>
        </w:tc>
        <w:tc>
          <w:tcPr>
            <w:tcW w:type="dxa" w:w="2268"/>
            <w:shd w:val="clear" w:color="auto" w:fill="F2F2F2"/>
          </w:tcPr>
          <w:p>
            <w:r>
              <w:rPr>
                <w:color w:val="000000"/>
                <w:sz w:val="20"/>
              </w:rPr>
              <w:t>Boosting + LR Cluster</w:t>
            </w:r>
          </w:p>
        </w:tc>
        <w:tc>
          <w:tcPr>
            <w:tcW w:type="dxa" w:w="1701"/>
            <w:shd w:val="clear" w:color="auto" w:fill="F2F2F2"/>
          </w:tcPr>
          <w:p>
            <w:r>
              <w:rPr>
                <w:color w:val="000000"/>
                <w:sz w:val="20"/>
              </w:rPr>
              <w:t>Telecom</w:t>
            </w:r>
          </w:p>
        </w:tc>
        <w:tc>
          <w:tcPr>
            <w:tcW w:type="dxa" w:w="2835"/>
            <w:shd w:val="clear" w:color="auto" w:fill="F2F2F2"/>
          </w:tcPr>
          <w:p>
            <w:r>
              <w:rPr>
                <w:color w:val="000000"/>
                <w:sz w:val="20"/>
              </w:rPr>
              <w:t>Binary; cluster-based risk</w:t>
            </w:r>
          </w:p>
        </w:tc>
      </w:tr>
      <w:tr>
        <w:tc>
          <w:tcPr>
            <w:tcW w:type="dxa" w:w="2835"/>
            <w:shd w:val="clear" w:color="auto" w:fill="FFFFFF"/>
          </w:tcPr>
          <w:p>
            <w:r>
              <w:rPr>
                <w:color w:val="000000"/>
                <w:sz w:val="20"/>
              </w:rPr>
              <w:t>Neural Computing 2022</w:t>
            </w:r>
          </w:p>
        </w:tc>
        <w:tc>
          <w:tcPr>
            <w:tcW w:type="dxa" w:w="2268"/>
            <w:shd w:val="clear" w:color="auto" w:fill="FFFFFF"/>
          </w:tcPr>
          <w:p>
            <w:r>
              <w:rPr>
                <w:color w:val="000000"/>
                <w:sz w:val="20"/>
              </w:rPr>
              <w:t>Random Forests</w:t>
            </w:r>
          </w:p>
        </w:tc>
        <w:tc>
          <w:tcPr>
            <w:tcW w:type="dxa" w:w="1701"/>
            <w:shd w:val="clear" w:color="auto" w:fill="FFFFFF"/>
          </w:tcPr>
          <w:p>
            <w:r>
              <w:rPr>
                <w:color w:val="000000"/>
                <w:sz w:val="20"/>
              </w:rPr>
              <w:t>Banking</w:t>
            </w:r>
          </w:p>
        </w:tc>
        <w:tc>
          <w:tcPr>
            <w:tcW w:type="dxa" w:w="2835"/>
            <w:shd w:val="clear" w:color="auto" w:fill="FFFFFF"/>
          </w:tcPr>
          <w:p>
            <w:r>
              <w:rPr>
                <w:color w:val="000000"/>
                <w:sz w:val="20"/>
              </w:rPr>
              <w:t>Binary; economic impact post-hoc only</w:t>
            </w:r>
          </w:p>
        </w:tc>
      </w:tr>
    </w:tbl>
    <w:p/>
    <w:p/>
    <w:p>
      <w:pPr>
        <w:jc w:val="center"/>
      </w:pPr>
      <w:r>
        <w:rPr>
          <w:i/>
          <w:color w:val="2E74B5"/>
          <w:sz w:val="18"/>
        </w:rPr>
        <w:t>Document generated by Nexus Research Planning System  ·  Final Year Project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