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4B5"/>
          <w:spacing w:val="20"/>
          <w:sz w:val="22"/>
          <w:szCs w:val="22"/>
        </w:rPr>
        <w:t xml:space="preserve">PROJECT 2</w:t>
      </w:r>
    </w:p>
    <w:p>
      <w:pPr>
        <w:spacing w:after="200"/>
      </w:pPr>
      <w:r>
        <w:rPr>
          <w:b/>
          <w:bCs/>
          <w:color w:val="1F3864"/>
          <w:sz w:val="40"/>
          <w:szCs w:val="40"/>
        </w:rPr>
        <w:t xml:space="preserve">Identify Live Hosts in a Subnet (Ping Sweep)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100"/>
        <w:gridCol w:w="5100"/>
      </w:tblGrid>
      <w:tr>
        <w:tc>
          <w:tcPr>
            <w:tcW w:type="dxa" w:w="5100"/>
            <w:shd w:fill="DCE6F1" w:val="clear"/>
            <w:tcMar>
              <w:top w:type="dxa" w:w="80"/>
              <w:left w:type="dxa" w:w="120"/>
              <w:bottom w:type="dxa" w:w="80"/>
              <w:right w:type="dxa" w:w="120"/>
            </w:tcMar>
            <w:vAlign w:val="center"/>
          </w:tcPr>
          <w:p>
            <w:r>
              <w:rPr>
                <w:b/>
                <w:bCs/>
                <w:color w:val="1F3864"/>
                <w:sz w:val="20"/>
                <w:szCs w:val="20"/>
              </w:rPr>
              <w:t xml:space="preserve">Category: </w:t>
            </w:r>
            <w:r>
              <w:rPr>
                <w:sz w:val="20"/>
                <w:szCs w:val="20"/>
              </w:rPr>
              <w:t xml:space="preserve">Network Security &amp; Recon</w:t>
            </w:r>
          </w:p>
        </w:tc>
        <w:tc>
          <w:tcPr>
            <w:tcW w:type="dxa" w:w="5100"/>
            <w:shd w:fill="DCE6F1" w:val="clear"/>
            <w:tcMar>
              <w:top w:type="dxa" w:w="80"/>
              <w:left w:type="dxa" w:w="120"/>
              <w:bottom w:type="dxa" w:w="80"/>
              <w:right w:type="dxa" w:w="120"/>
            </w:tcMar>
            <w:vAlign w:val="center"/>
          </w:tcPr>
          <w:p>
            <w:r>
              <w:rPr>
                <w:b/>
                <w:bCs/>
                <w:color w:val="1F3864"/>
                <w:sz w:val="20"/>
                <w:szCs w:val="20"/>
              </w:rPr>
              <w:t xml:space="preserve">Difficulty: </w:t>
            </w:r>
            <w:r>
              <w:rPr>
                <w:sz w:val="20"/>
                <w:szCs w:val="20"/>
              </w:rPr>
              <w:t xml:space="preserve">Intermediate</w:t>
            </w:r>
          </w:p>
        </w:tc>
      </w:tr>
      <w:tr>
        <w:tc>
          <w:tcPr>
            <w:tcW w:type="dxa" w:w="5100"/>
            <w:shd w:fill="DCE6F1" w:val="clear"/>
            <w:tcMar>
              <w:top w:type="dxa" w:w="80"/>
              <w:left w:type="dxa" w:w="120"/>
              <w:bottom w:type="dxa" w:w="80"/>
              <w:right w:type="dxa" w:w="120"/>
            </w:tcMar>
            <w:vAlign w:val="center"/>
          </w:tcPr>
          <w:p>
            <w:r>
              <w:rPr>
                <w:b/>
                <w:bCs/>
                <w:color w:val="1F3864"/>
                <w:sz w:val="20"/>
                <w:szCs w:val="20"/>
              </w:rPr>
              <w:t xml:space="preserve">Target: </w:t>
            </w:r>
            <w:r>
              <w:rPr>
                <w:sz w:val="20"/>
                <w:szCs w:val="20"/>
              </w:rPr>
              <w:t xml:space="preserve">Subnet 192.168.80.0/24</w:t>
            </w:r>
          </w:p>
        </w:tc>
        <w:tc>
          <w:tcPr>
            <w:tcW w:type="dxa" w:w="5100"/>
            <w:shd w:fill="DCE6F1" w:val="clear"/>
            <w:tcMar>
              <w:top w:type="dxa" w:w="80"/>
              <w:left w:type="dxa" w:w="120"/>
              <w:bottom w:type="dxa" w:w="80"/>
              <w:right w:type="dxa" w:w="120"/>
            </w:tcMar>
            <w:vAlign w:val="center"/>
          </w:tcPr>
          <w:p>
            <w:r>
              <w:rPr>
                <w:b/>
                <w:bCs/>
                <w:color w:val="1F3864"/>
                <w:sz w:val="20"/>
                <w:szCs w:val="20"/>
              </w:rPr>
              <w:t xml:space="preserve">Status: </w:t>
            </w:r>
            <w:r>
              <w:rPr>
                <w:sz w:val="20"/>
                <w:szCs w:val="20"/>
              </w:rPr>
              <w:t xml:space="preserve">Completed</w:t>
            </w:r>
          </w:p>
        </w:tc>
      </w:tr>
    </w:tbl>
    <w:p>
      <w:pPr>
        <w:pBdr>
          <w:bottom w:val="single" w:color="BFBFBF" w:sz="4" w:space="1"/>
        </w:pBdr>
        <w:spacing w:after="300" w:before="300"/>
      </w:pPr>
    </w:p>
    <w:p>
      <w:pPr>
        <w:pStyle w:val="Heading1"/>
        <w:pBdr>
          <w:bottom w:val="single" w:color="2E74B5" w:sz="8" w:space="4"/>
        </w:pBdr>
        <w:spacing w:after="160" w:before="320"/>
      </w:pPr>
      <w:r>
        <w:rPr>
          <w:b/>
          <w:bCs/>
          <w:color w:val="1F3864"/>
          <w:sz w:val="26"/>
          <w:szCs w:val="26"/>
        </w:rPr>
        <w:t xml:space="preserve">Objective</w:t>
      </w:r>
    </w:p>
    <w:p>
      <w:pPr>
        <w:spacing w:after="200"/>
      </w:pPr>
      <w:r>
        <w:rPr>
          <w:sz w:val="22"/>
          <w:szCs w:val="22"/>
        </w:rPr>
        <w:t xml:space="preserve">To identify all live hosts in the target subnet using two independent discovery methods — ICMP-based and ARP-based — and compare the results to confirm accuracy.</w:t>
      </w:r>
    </w:p>
    <w:p>
      <w:pPr>
        <w:pStyle w:val="Heading1"/>
        <w:pBdr>
          <w:bottom w:val="single" w:color="2E74B5" w:sz="8" w:space="4"/>
        </w:pBdr>
        <w:spacing w:after="160" w:before="320"/>
      </w:pPr>
      <w:r>
        <w:rPr>
          <w:b/>
          <w:bCs/>
          <w:color w:val="1F3864"/>
          <w:sz w:val="26"/>
          <w:szCs w:val="26"/>
        </w:rPr>
        <w:t xml:space="preserve">Tools Used</w:t>
      </w:r>
    </w:p>
    <w:p>
      <w:pPr>
        <w:pStyle w:val="ListParagraph"/>
        <w:numPr>
          <w:ilvl w:val="0"/>
          <w:numId w:val="2"/>
        </w:numPr>
        <w:spacing w:after="80"/>
      </w:pPr>
      <w:r>
        <w:rPr>
          <w:sz w:val="22"/>
          <w:szCs w:val="22"/>
        </w:rPr>
        <w:t xml:space="preserve">Kali Linux — attacker/scanning machine</w:t>
      </w:r>
    </w:p>
    <w:p>
      <w:pPr>
        <w:pStyle w:val="ListParagraph"/>
        <w:numPr>
          <w:ilvl w:val="0"/>
          <w:numId w:val="2"/>
        </w:numPr>
        <w:spacing w:after="80"/>
      </w:pPr>
      <w:r>
        <w:rPr>
          <w:sz w:val="22"/>
          <w:szCs w:val="22"/>
        </w:rPr>
        <w:t xml:space="preserve">Nmap 7.99 — ICMP-based host discovery</w:t>
      </w:r>
    </w:p>
    <w:p>
      <w:pPr>
        <w:pStyle w:val="ListParagraph"/>
        <w:numPr>
          <w:ilvl w:val="0"/>
          <w:numId w:val="2"/>
        </w:numPr>
        <w:spacing w:after="80"/>
      </w:pPr>
      <w:r>
        <w:rPr>
          <w:sz w:val="22"/>
          <w:szCs w:val="22"/>
        </w:rPr>
        <w:t xml:space="preserve">Netdiscover — ARP-based host discovery</w:t>
      </w:r>
    </w:p>
    <w:p>
      <w:pPr>
        <w:pStyle w:val="ListParagraph"/>
        <w:numPr>
          <w:ilvl w:val="0"/>
          <w:numId w:val="2"/>
        </w:numPr>
        <w:spacing w:after="80"/>
      </w:pPr>
      <w:r>
        <w:rPr>
          <w:sz w:val="22"/>
          <w:szCs w:val="22"/>
        </w:rPr>
        <w:t xml:space="preserve">arp-scan — ARP-based host discovery (cross-verification)</w:t>
      </w:r>
    </w:p>
    <w:p>
      <w:pPr>
        <w:pStyle w:val="Heading1"/>
        <w:pBdr>
          <w:bottom w:val="single" w:color="2E74B5" w:sz="8" w:space="4"/>
        </w:pBdr>
        <w:spacing w:after="160" w:before="320"/>
      </w:pPr>
      <w:r>
        <w:rPr>
          <w:b/>
          <w:bCs/>
          <w:color w:val="1F3864"/>
          <w:sz w:val="26"/>
          <w:szCs w:val="26"/>
        </w:rPr>
        <w:t xml:space="preserve">Step-by-Step Process</w:t>
      </w:r>
    </w:p>
    <w:p>
      <w:pPr>
        <w:spacing w:after="80" w:before="240"/>
      </w:pPr>
      <w:r>
        <w:rPr>
          <w:b/>
          <w:bCs/>
          <w:color w:val="2E74B5"/>
          <w:sz w:val="23"/>
          <w:szCs w:val="23"/>
        </w:rPr>
        <w:t xml:space="preserve">Step 1 — ICMP-Based Sweep (Ping Sweep)</w:t>
      </w:r>
    </w:p>
    <w:p>
      <w:pPr>
        <w:spacing w:after="120"/>
      </w:pPr>
      <w:r>
        <w:rPr>
          <w:b/>
          <w:bCs/>
          <w:sz w:val="22"/>
          <w:szCs w:val="22"/>
        </w:rPr>
        <w:t xml:space="preserve">Command: </w:t>
      </w:r>
      <w:r>
        <w:rPr>
          <w:rFonts w:ascii="Consolas" w:cs="Consolas" w:eastAsia="Consolas" w:hAnsi="Consolas"/>
          <w:color w:val="1F3864"/>
          <w:sz w:val="22"/>
          <w:szCs w:val="22"/>
        </w:rPr>
        <w:t xml:space="preserve">nmap -sn 192.168.80.0/24</w:t>
      </w:r>
    </w:p>
    <w:p>
      <w:pPr>
        <w:spacing w:after="160"/>
      </w:pPr>
      <w:r>
        <w:rPr>
          <w:sz w:val="22"/>
          <w:szCs w:val="22"/>
        </w:rPr>
        <w:t xml:space="preserve">Sends an ICMP echo request to every address in the range and lists which ones reply. 5 hosts responded, including the scanning machine's own subnet interface.</w:t>
      </w:r>
    </w:p>
    <w:p>
      <w:pPr>
        <w:spacing w:after="60"/>
        <w:jc w:val="center"/>
      </w:pPr>
      <w:r>
        <w:drawing>
          <wp:inline distT="0" distB="0" distL="0" distR="0">
            <wp:extent cx="47529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2867025"/>
                    </a:xfrm>
                    <a:prstGeom prst="rect">
                      <a:avLst/>
                    </a:prstGeom>
                  </pic:spPr>
                </pic:pic>
              </a:graphicData>
            </a:graphic>
          </wp:inline>
        </w:drawing>
      </w:r>
    </w:p>
    <w:p>
      <w:pPr>
        <w:spacing w:after="240"/>
        <w:jc w:val="center"/>
      </w:pPr>
      <w:r>
        <w:rPr>
          <w:i/>
          <w:iCs/>
          <w:color w:val="595959"/>
          <w:sz w:val="18"/>
          <w:szCs w:val="18"/>
        </w:rPr>
        <w:t xml:space="preserve">Figure 1 — ICMP-based host discovery (Nmap ping sweep)</w:t>
      </w:r>
    </w:p>
    <w:p>
      <w:pPr>
        <w:spacing w:after="80" w:before="240"/>
      </w:pPr>
      <w:r>
        <w:rPr>
          <w:b/>
          <w:bCs/>
          <w:color w:val="2E74B5"/>
          <w:sz w:val="23"/>
          <w:szCs w:val="23"/>
        </w:rPr>
        <w:t xml:space="preserve">Step 2 — ARP-Based Sweep (Netdiscover)</w:t>
      </w:r>
    </w:p>
    <w:p>
      <w:pPr>
        <w:spacing w:after="120"/>
      </w:pPr>
      <w:r>
        <w:rPr>
          <w:b/>
          <w:bCs/>
          <w:sz w:val="22"/>
          <w:szCs w:val="22"/>
        </w:rPr>
        <w:t xml:space="preserve">Command: </w:t>
      </w:r>
      <w:r>
        <w:rPr>
          <w:rFonts w:ascii="Consolas" w:cs="Consolas" w:eastAsia="Consolas" w:hAnsi="Consolas"/>
          <w:color w:val="1F3864"/>
          <w:sz w:val="22"/>
          <w:szCs w:val="22"/>
        </w:rPr>
        <w:t xml:space="preserve">netdiscover -r 192.168.80.0/24</w:t>
      </w:r>
    </w:p>
    <w:p>
      <w:pPr>
        <w:spacing w:after="160"/>
      </w:pPr>
      <w:r>
        <w:rPr>
          <w:sz w:val="22"/>
          <w:szCs w:val="22"/>
        </w:rPr>
        <w:t xml:space="preserve">Sends ARP requests instead of ICMP. ARP operates at a lower network layer and is required for basic local communication, so it is much harder to block than ping. 4 hosts responded, each showing its MAC address and hardware vendor.</w:t>
      </w:r>
    </w:p>
    <w:p>
      <w:pPr>
        <w:spacing w:after="60"/>
        <w:jc w:val="center"/>
      </w:pPr>
      <w:r>
        <w:drawing>
          <wp:inline distT="0" distB="0" distL="0" distR="0">
            <wp:extent cx="512445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1676400"/>
                    </a:xfrm>
                    <a:prstGeom prst="rect">
                      <a:avLst/>
                    </a:prstGeom>
                  </pic:spPr>
                </pic:pic>
              </a:graphicData>
            </a:graphic>
          </wp:inline>
        </w:drawing>
      </w:r>
    </w:p>
    <w:p>
      <w:pPr>
        <w:spacing w:after="240"/>
        <w:jc w:val="center"/>
      </w:pPr>
      <w:r>
        <w:rPr>
          <w:i/>
          <w:iCs/>
          <w:color w:val="595959"/>
          <w:sz w:val="18"/>
          <w:szCs w:val="18"/>
        </w:rPr>
        <w:t xml:space="preserve">Figure 2 — ARP-based host discovery (Netdiscover)</w:t>
      </w:r>
    </w:p>
    <w:p>
      <w:pPr>
        <w:spacing w:after="80" w:before="240"/>
      </w:pPr>
      <w:r>
        <w:rPr>
          <w:b/>
          <w:bCs/>
          <w:color w:val="2E74B5"/>
          <w:sz w:val="23"/>
          <w:szCs w:val="23"/>
        </w:rPr>
        <w:t xml:space="preserve">Step 3 — ARP-Based Sweep (arp-scan) — Cross-Verification</w:t>
      </w:r>
    </w:p>
    <w:p>
      <w:pPr>
        <w:spacing w:after="120"/>
      </w:pPr>
      <w:r>
        <w:rPr>
          <w:b/>
          <w:bCs/>
          <w:sz w:val="22"/>
          <w:szCs w:val="22"/>
        </w:rPr>
        <w:t xml:space="preserve">Command: </w:t>
      </w:r>
      <w:r>
        <w:rPr>
          <w:rFonts w:ascii="Consolas" w:cs="Consolas" w:eastAsia="Consolas" w:hAnsi="Consolas"/>
          <w:color w:val="1F3864"/>
          <w:sz w:val="22"/>
          <w:szCs w:val="22"/>
        </w:rPr>
        <w:t xml:space="preserve">arp-scan 192.168.80.0/24</w:t>
      </w:r>
    </w:p>
    <w:p>
      <w:pPr>
        <w:spacing w:after="160"/>
      </w:pPr>
      <w:r>
        <w:rPr>
          <w:sz w:val="22"/>
          <w:szCs w:val="22"/>
        </w:rPr>
        <w:t xml:space="preserve">A second, independent ARP scanning tool was run to verify the netdiscover results were accurate and not tool-specific. The results matched exactly.</w:t>
      </w:r>
    </w:p>
    <w:p>
      <w:pPr>
        <w:spacing w:after="60"/>
        <w:jc w:val="center"/>
      </w:pPr>
      <w:r>
        <w:drawing>
          <wp:inline distT="0" distB="0" distL="0" distR="0">
            <wp:extent cx="51244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1590675"/>
                    </a:xfrm>
                    <a:prstGeom prst="rect">
                      <a:avLst/>
                    </a:prstGeom>
                  </pic:spPr>
                </pic:pic>
              </a:graphicData>
            </a:graphic>
          </wp:inline>
        </w:drawing>
      </w:r>
    </w:p>
    <w:p>
      <w:pPr>
        <w:spacing w:after="240"/>
        <w:jc w:val="center"/>
      </w:pPr>
      <w:r>
        <w:rPr>
          <w:i/>
          <w:iCs/>
          <w:color w:val="595959"/>
          <w:sz w:val="18"/>
          <w:szCs w:val="18"/>
        </w:rPr>
        <w:t xml:space="preserve">Figure 3 — ARP-based host discovery (arp-scan)</w:t>
      </w:r>
    </w:p>
    <w:p>
      <w:pPr>
        <w:pStyle w:val="Heading1"/>
        <w:pBdr>
          <w:bottom w:val="single" w:color="2E74B5" w:sz="8" w:space="4"/>
        </w:pBdr>
        <w:spacing w:after="160" w:before="320"/>
      </w:pPr>
      <w:r>
        <w:rPr>
          <w:b/>
          <w:bCs/>
          <w:color w:val="1F3864"/>
          <w:sz w:val="26"/>
          <w:szCs w:val="26"/>
        </w:rPr>
        <w:t xml:space="preserve">Findings</w:t>
      </w:r>
    </w:p>
    <w:p>
      <w:pPr>
        <w:spacing w:after="160"/>
      </w:pPr>
      <w:r>
        <w:rPr>
          <w:sz w:val="22"/>
          <w:szCs w:val="22"/>
        </w:rPr>
        <w:t xml:space="preserve">All three scans were compared against each other: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6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Host (IP)</w:t>
            </w:r>
          </w:p>
        </w:tc>
        <w:tc>
          <w:tcPr>
            <w:tcW w:type="dxa" w:w="2200"/>
            <w:shd w:fill="1F3864" w:val="clear"/>
            <w:tcMar>
              <w:top w:type="dxa" w:w="80"/>
              <w:left w:type="dxa" w:w="100"/>
              <w:bottom w:type="dxa" w:w="80"/>
              <w:right w:type="dxa" w:w="100"/>
            </w:tcMar>
            <w:vAlign w:val="center"/>
          </w:tcPr>
          <w:p>
            <w:r>
              <w:rPr>
                <w:b/>
                <w:bCs/>
                <w:color w:val="FFFFFF"/>
                <w:sz w:val="20"/>
                <w:szCs w:val="20"/>
              </w:rPr>
              <w:t xml:space="preserve">Nmap (ICMP)</w:t>
            </w:r>
          </w:p>
        </w:tc>
        <w:tc>
          <w:tcPr>
            <w:tcW w:type="dxa" w:w="2200"/>
            <w:shd w:fill="1F3864" w:val="clear"/>
            <w:tcMar>
              <w:top w:type="dxa" w:w="80"/>
              <w:left w:type="dxa" w:w="100"/>
              <w:bottom w:type="dxa" w:w="80"/>
              <w:right w:type="dxa" w:w="100"/>
            </w:tcMar>
            <w:vAlign w:val="center"/>
          </w:tcPr>
          <w:p>
            <w:r>
              <w:rPr>
                <w:b/>
                <w:bCs/>
                <w:color w:val="FFFFFF"/>
                <w:sz w:val="20"/>
                <w:szCs w:val="20"/>
              </w:rPr>
              <w:t xml:space="preserve">Netdiscover (ARP)</w:t>
            </w:r>
          </w:p>
        </w:tc>
        <w:tc>
          <w:tcPr>
            <w:tcW w:type="dxa" w:w="2600"/>
            <w:shd w:fill="1F3864" w:val="clear"/>
            <w:tcMar>
              <w:top w:type="dxa" w:w="80"/>
              <w:left w:type="dxa" w:w="100"/>
              <w:bottom w:type="dxa" w:w="80"/>
              <w:right w:type="dxa" w:w="100"/>
            </w:tcMar>
            <w:vAlign w:val="center"/>
          </w:tcPr>
          <w:p>
            <w:r>
              <w:rPr>
                <w:b/>
                <w:bCs/>
                <w:color w:val="FFFFFF"/>
                <w:sz w:val="20"/>
                <w:szCs w:val="20"/>
              </w:rPr>
              <w:t xml:space="preserve">arp-scan (ARP)</w:t>
            </w:r>
          </w:p>
        </w:tc>
      </w:tr>
      <w:tr>
        <w:tc>
          <w:tcPr>
            <w:tcW w:type="dxa" w:w="3200"/>
            <w:tcMar>
              <w:top w:type="dxa" w:w="70"/>
              <w:left w:type="dxa" w:w="100"/>
              <w:bottom w:type="dxa" w:w="70"/>
              <w:right w:type="dxa" w:w="100"/>
            </w:tcMar>
            <w:vAlign w:val="center"/>
          </w:tcPr>
          <w:p>
            <w:r>
              <w:rPr>
                <w:b/>
                <w:bCs/>
                <w:color w:val="1F3864"/>
                <w:sz w:val="20"/>
                <w:szCs w:val="20"/>
              </w:rPr>
              <w:t xml:space="preserve">192.168.80.1  (gateway)</w:t>
            </w:r>
          </w:p>
        </w:tc>
        <w:tc>
          <w:tcPr>
            <w:tcW w:type="dxa" w:w="2200"/>
            <w:tcMar>
              <w:top w:type="dxa" w:w="70"/>
              <w:left w:type="dxa" w:w="100"/>
              <w:bottom w:type="dxa" w:w="70"/>
              <w:right w:type="dxa" w:w="100"/>
            </w:tcMar>
            <w:vAlign w:val="center"/>
          </w:tcPr>
          <w:p>
            <w:r>
              <w:rPr>
                <w:b w:val="false"/>
                <w:bCs w:val="false"/>
                <w:color w:val="2E7D32"/>
                <w:sz w:val="20"/>
                <w:szCs w:val="20"/>
              </w:rPr>
              <w:t xml:space="preserve">Found</w:t>
            </w:r>
          </w:p>
        </w:tc>
        <w:tc>
          <w:tcPr>
            <w:tcW w:type="dxa" w:w="2200"/>
            <w:tcMar>
              <w:top w:type="dxa" w:w="70"/>
              <w:left w:type="dxa" w:w="100"/>
              <w:bottom w:type="dxa" w:w="70"/>
              <w:right w:type="dxa" w:w="100"/>
            </w:tcMar>
            <w:vAlign w:val="center"/>
          </w:tcPr>
          <w:p>
            <w:r>
              <w:rPr>
                <w:b w:val="false"/>
                <w:bCs w:val="false"/>
                <w:color w:val="2E7D32"/>
                <w:sz w:val="20"/>
                <w:szCs w:val="20"/>
              </w:rPr>
              <w:t xml:space="preserve">Found</w:t>
            </w:r>
          </w:p>
        </w:tc>
        <w:tc>
          <w:tcPr>
            <w:tcW w:type="dxa" w:w="2600"/>
            <w:tcMar>
              <w:top w:type="dxa" w:w="70"/>
              <w:left w:type="dxa" w:w="100"/>
              <w:bottom w:type="dxa" w:w="70"/>
              <w:right w:type="dxa" w:w="100"/>
            </w:tcMar>
            <w:vAlign w:val="center"/>
          </w:tcPr>
          <w:p>
            <w:r>
              <w:rPr>
                <w:b w:val="false"/>
                <w:bCs w:val="false"/>
                <w:color w:val="2E7D32"/>
                <w:sz w:val="20"/>
                <w:szCs w:val="20"/>
              </w:rPr>
              <w:t xml:space="preserve">Found</w:t>
            </w:r>
          </w:p>
        </w:tc>
      </w:tr>
      <w:tr>
        <w:tc>
          <w:tcPr>
            <w:tcW w:type="dxa" w:w="3200"/>
            <w:shd w:fill="F2F2F2" w:val="clear"/>
            <w:tcMar>
              <w:top w:type="dxa" w:w="70"/>
              <w:left w:type="dxa" w:w="100"/>
              <w:bottom w:type="dxa" w:w="70"/>
              <w:right w:type="dxa" w:w="100"/>
            </w:tcMar>
            <w:vAlign w:val="center"/>
          </w:tcPr>
          <w:p>
            <w:r>
              <w:rPr>
                <w:b/>
                <w:bCs/>
                <w:color w:val="1F3864"/>
                <w:sz w:val="20"/>
                <w:szCs w:val="20"/>
              </w:rPr>
              <w:t xml:space="preserve">192.168.80.2</w:t>
            </w:r>
          </w:p>
        </w:tc>
        <w:tc>
          <w:tcPr>
            <w:tcW w:type="dxa" w:w="2200"/>
            <w:shd w:fill="F2F2F2" w:val="clear"/>
            <w:tcMar>
              <w:top w:type="dxa" w:w="70"/>
              <w:left w:type="dxa" w:w="100"/>
              <w:bottom w:type="dxa" w:w="70"/>
              <w:right w:type="dxa" w:w="100"/>
            </w:tcMar>
            <w:vAlign w:val="center"/>
          </w:tcPr>
          <w:p>
            <w:r>
              <w:rPr>
                <w:b w:val="false"/>
                <w:bCs w:val="false"/>
                <w:color w:val="2E7D32"/>
                <w:sz w:val="20"/>
                <w:szCs w:val="20"/>
              </w:rPr>
              <w:t xml:space="preserve">Found</w:t>
            </w:r>
          </w:p>
        </w:tc>
        <w:tc>
          <w:tcPr>
            <w:tcW w:type="dxa" w:w="2200"/>
            <w:shd w:fill="F2F2F2" w:val="clear"/>
            <w:tcMar>
              <w:top w:type="dxa" w:w="70"/>
              <w:left w:type="dxa" w:w="100"/>
              <w:bottom w:type="dxa" w:w="70"/>
              <w:right w:type="dxa" w:w="100"/>
            </w:tcMar>
            <w:vAlign w:val="center"/>
          </w:tcPr>
          <w:p>
            <w:r>
              <w:rPr>
                <w:b w:val="false"/>
                <w:bCs w:val="false"/>
                <w:color w:val="2E7D32"/>
                <w:sz w:val="20"/>
                <w:szCs w:val="20"/>
              </w:rPr>
              <w:t xml:space="preserve">Found</w:t>
            </w:r>
          </w:p>
        </w:tc>
        <w:tc>
          <w:tcPr>
            <w:tcW w:type="dxa" w:w="2600"/>
            <w:shd w:fill="F2F2F2" w:val="clear"/>
            <w:tcMar>
              <w:top w:type="dxa" w:w="70"/>
              <w:left w:type="dxa" w:w="100"/>
              <w:bottom w:type="dxa" w:w="70"/>
              <w:right w:type="dxa" w:w="100"/>
            </w:tcMar>
            <w:vAlign w:val="center"/>
          </w:tcPr>
          <w:p>
            <w:r>
              <w:rPr>
                <w:b w:val="false"/>
                <w:bCs w:val="false"/>
                <w:color w:val="2E7D32"/>
                <w:sz w:val="20"/>
                <w:szCs w:val="20"/>
              </w:rPr>
              <w:t xml:space="preserve">Found</w:t>
            </w:r>
          </w:p>
        </w:tc>
      </w:tr>
      <w:tr>
        <w:tc>
          <w:tcPr>
            <w:tcW w:type="dxa" w:w="3200"/>
            <w:tcMar>
              <w:top w:type="dxa" w:w="70"/>
              <w:left w:type="dxa" w:w="100"/>
              <w:bottom w:type="dxa" w:w="70"/>
              <w:right w:type="dxa" w:w="100"/>
            </w:tcMar>
            <w:vAlign w:val="center"/>
          </w:tcPr>
          <w:p>
            <w:r>
              <w:rPr>
                <w:b/>
                <w:bCs/>
                <w:color w:val="1F3864"/>
                <w:sz w:val="20"/>
                <w:szCs w:val="20"/>
              </w:rPr>
              <w:t xml:space="preserve">192.168.80.131  (Kali itself)</w:t>
            </w:r>
          </w:p>
        </w:tc>
        <w:tc>
          <w:tcPr>
            <w:tcW w:type="dxa" w:w="2200"/>
            <w:tcMar>
              <w:top w:type="dxa" w:w="70"/>
              <w:left w:type="dxa" w:w="100"/>
              <w:bottom w:type="dxa" w:w="70"/>
              <w:right w:type="dxa" w:w="100"/>
            </w:tcMar>
            <w:vAlign w:val="center"/>
          </w:tcPr>
          <w:p>
            <w:r>
              <w:rPr>
                <w:b w:val="false"/>
                <w:bCs w:val="false"/>
                <w:color w:val="2E7D32"/>
                <w:sz w:val="20"/>
                <w:szCs w:val="20"/>
              </w:rPr>
              <w:t xml:space="preserve">Found</w:t>
            </w:r>
          </w:p>
        </w:tc>
        <w:tc>
          <w:tcPr>
            <w:tcW w:type="dxa" w:w="2200"/>
            <w:tcMar>
              <w:top w:type="dxa" w:w="70"/>
              <w:left w:type="dxa" w:w="100"/>
              <w:bottom w:type="dxa" w:w="70"/>
              <w:right w:type="dxa" w:w="100"/>
            </w:tcMar>
            <w:vAlign w:val="center"/>
          </w:tcPr>
          <w:p>
            <w:r>
              <w:rPr>
                <w:b w:val="false"/>
                <w:bCs w:val="false"/>
                <w:color w:val="595959"/>
                <w:sz w:val="20"/>
                <w:szCs w:val="20"/>
              </w:rPr>
              <w:t xml:space="preserve">Not shown</w:t>
            </w:r>
          </w:p>
        </w:tc>
        <w:tc>
          <w:tcPr>
            <w:tcW w:type="dxa" w:w="2600"/>
            <w:tcMar>
              <w:top w:type="dxa" w:w="70"/>
              <w:left w:type="dxa" w:w="100"/>
              <w:bottom w:type="dxa" w:w="70"/>
              <w:right w:type="dxa" w:w="100"/>
            </w:tcMar>
            <w:vAlign w:val="center"/>
          </w:tcPr>
          <w:p>
            <w:r>
              <w:rPr>
                <w:b w:val="false"/>
                <w:bCs w:val="false"/>
                <w:color w:val="595959"/>
                <w:sz w:val="20"/>
                <w:szCs w:val="20"/>
              </w:rPr>
              <w:t xml:space="preserve">Not shown</w:t>
            </w:r>
          </w:p>
        </w:tc>
      </w:tr>
      <w:tr>
        <w:tc>
          <w:tcPr>
            <w:tcW w:type="dxa" w:w="3200"/>
            <w:shd w:fill="F2F2F2" w:val="clear"/>
            <w:tcMar>
              <w:top w:type="dxa" w:w="70"/>
              <w:left w:type="dxa" w:w="100"/>
              <w:bottom w:type="dxa" w:w="70"/>
              <w:right w:type="dxa" w:w="100"/>
            </w:tcMar>
            <w:vAlign w:val="center"/>
          </w:tcPr>
          <w:p>
            <w:r>
              <w:rPr>
                <w:b/>
                <w:bCs/>
                <w:color w:val="1F3864"/>
                <w:sz w:val="20"/>
                <w:szCs w:val="20"/>
              </w:rPr>
              <w:t xml:space="preserve">192.168.80.133  (target)</w:t>
            </w:r>
          </w:p>
        </w:tc>
        <w:tc>
          <w:tcPr>
            <w:tcW w:type="dxa" w:w="2200"/>
            <w:shd w:fill="F2F2F2" w:val="clear"/>
            <w:tcMar>
              <w:top w:type="dxa" w:w="70"/>
              <w:left w:type="dxa" w:w="100"/>
              <w:bottom w:type="dxa" w:w="70"/>
              <w:right w:type="dxa" w:w="100"/>
            </w:tcMar>
            <w:vAlign w:val="center"/>
          </w:tcPr>
          <w:p>
            <w:r>
              <w:rPr>
                <w:b w:val="false"/>
                <w:bCs w:val="false"/>
                <w:color w:val="2E7D32"/>
                <w:sz w:val="20"/>
                <w:szCs w:val="20"/>
              </w:rPr>
              <w:t xml:space="preserve">Found</w:t>
            </w:r>
          </w:p>
        </w:tc>
        <w:tc>
          <w:tcPr>
            <w:tcW w:type="dxa" w:w="2200"/>
            <w:shd w:fill="F2F2F2" w:val="clear"/>
            <w:tcMar>
              <w:top w:type="dxa" w:w="70"/>
              <w:left w:type="dxa" w:w="100"/>
              <w:bottom w:type="dxa" w:w="70"/>
              <w:right w:type="dxa" w:w="100"/>
            </w:tcMar>
            <w:vAlign w:val="center"/>
          </w:tcPr>
          <w:p>
            <w:r>
              <w:rPr>
                <w:b w:val="false"/>
                <w:bCs w:val="false"/>
                <w:color w:val="2E7D32"/>
                <w:sz w:val="20"/>
                <w:szCs w:val="20"/>
              </w:rPr>
              <w:t xml:space="preserve">Found</w:t>
            </w:r>
          </w:p>
        </w:tc>
        <w:tc>
          <w:tcPr>
            <w:tcW w:type="dxa" w:w="2600"/>
            <w:shd w:fill="F2F2F2" w:val="clear"/>
            <w:tcMar>
              <w:top w:type="dxa" w:w="70"/>
              <w:left w:type="dxa" w:w="100"/>
              <w:bottom w:type="dxa" w:w="70"/>
              <w:right w:type="dxa" w:w="100"/>
            </w:tcMar>
            <w:vAlign w:val="center"/>
          </w:tcPr>
          <w:p>
            <w:r>
              <w:rPr>
                <w:b w:val="false"/>
                <w:bCs w:val="false"/>
                <w:color w:val="2E7D32"/>
                <w:sz w:val="20"/>
                <w:szCs w:val="20"/>
              </w:rPr>
              <w:t xml:space="preserve">Found</w:t>
            </w:r>
          </w:p>
        </w:tc>
      </w:tr>
      <w:tr>
        <w:tc>
          <w:tcPr>
            <w:tcW w:type="dxa" w:w="3200"/>
            <w:tcMar>
              <w:top w:type="dxa" w:w="70"/>
              <w:left w:type="dxa" w:w="100"/>
              <w:bottom w:type="dxa" w:w="70"/>
              <w:right w:type="dxa" w:w="100"/>
            </w:tcMar>
            <w:vAlign w:val="center"/>
          </w:tcPr>
          <w:p>
            <w:r>
              <w:rPr>
                <w:b/>
                <w:bCs/>
                <w:color w:val="1F3864"/>
                <w:sz w:val="20"/>
                <w:szCs w:val="20"/>
              </w:rPr>
              <w:t xml:space="preserve">192.168.80.254</w:t>
            </w:r>
          </w:p>
        </w:tc>
        <w:tc>
          <w:tcPr>
            <w:tcW w:type="dxa" w:w="2200"/>
            <w:tcMar>
              <w:top w:type="dxa" w:w="70"/>
              <w:left w:type="dxa" w:w="100"/>
              <w:bottom w:type="dxa" w:w="70"/>
              <w:right w:type="dxa" w:w="100"/>
            </w:tcMar>
            <w:vAlign w:val="center"/>
          </w:tcPr>
          <w:p>
            <w:r>
              <w:rPr>
                <w:b w:val="false"/>
                <w:bCs w:val="false"/>
                <w:color w:val="2E7D32"/>
                <w:sz w:val="20"/>
                <w:szCs w:val="20"/>
              </w:rPr>
              <w:t xml:space="preserve">Found</w:t>
            </w:r>
          </w:p>
        </w:tc>
        <w:tc>
          <w:tcPr>
            <w:tcW w:type="dxa" w:w="2200"/>
            <w:tcMar>
              <w:top w:type="dxa" w:w="70"/>
              <w:left w:type="dxa" w:w="100"/>
              <w:bottom w:type="dxa" w:w="70"/>
              <w:right w:type="dxa" w:w="100"/>
            </w:tcMar>
            <w:vAlign w:val="center"/>
          </w:tcPr>
          <w:p>
            <w:r>
              <w:rPr>
                <w:b w:val="false"/>
                <w:bCs w:val="false"/>
                <w:color w:val="2E7D32"/>
                <w:sz w:val="20"/>
                <w:szCs w:val="20"/>
              </w:rPr>
              <w:t xml:space="preserve">Found</w:t>
            </w:r>
          </w:p>
        </w:tc>
        <w:tc>
          <w:tcPr>
            <w:tcW w:type="dxa" w:w="2600"/>
            <w:tcMar>
              <w:top w:type="dxa" w:w="70"/>
              <w:left w:type="dxa" w:w="100"/>
              <w:bottom w:type="dxa" w:w="70"/>
              <w:right w:type="dxa" w:w="100"/>
            </w:tcMar>
            <w:vAlign w:val="center"/>
          </w:tcPr>
          <w:p>
            <w:r>
              <w:rPr>
                <w:b w:val="false"/>
                <w:bCs w:val="false"/>
                <w:color w:val="2E7D32"/>
                <w:sz w:val="20"/>
                <w:szCs w:val="20"/>
              </w:rPr>
              <w:t xml:space="preserve">Found</w:t>
            </w:r>
          </w:p>
        </w:tc>
      </w:tr>
    </w:tbl>
    <w:p>
      <w:pPr>
        <w:spacing w:after="0" w:before="160"/>
      </w:pPr>
      <w:r>
        <w:rPr>
          <w:sz w:val="22"/>
          <w:szCs w:val="22"/>
        </w:rPr>
        <w:t xml:space="preserve">Both ARP-based tools (netdiscover and arp-scan) returned an identical set of 4 hosts, confirming the result was accurate and not a tool-specific error. The ICMP sweep found one additional address, 192.168.80.131 — this is the Kali scanning machine's own interface. A machine does not send an ARP request to itself, so ARP-based tools naturally exclude the scanner, while an ICMP sweep can still report it.</w:t>
      </w:r>
    </w:p>
    <w:p>
      <w:pPr>
        <w:pStyle w:val="Heading1"/>
        <w:pBdr>
          <w:bottom w:val="single" w:color="2E74B5" w:sz="8" w:space="4"/>
        </w:pBdr>
        <w:spacing w:after="160" w:before="320"/>
      </w:pPr>
      <w:r>
        <w:rPr>
          <w:b/>
          <w:bCs/>
          <w:color w:val="1F3864"/>
          <w:sz w:val="26"/>
          <w:szCs w:val="26"/>
        </w:rPr>
        <w:t xml:space="preserve">Risk Analysis</w:t>
      </w:r>
    </w:p>
    <w:p>
      <w:pPr>
        <w:pStyle w:val="ListParagraph"/>
        <w:numPr>
          <w:ilvl w:val="0"/>
          <w:numId w:val="2"/>
        </w:numPr>
        <w:spacing w:after="140"/>
      </w:pPr>
      <w:r>
        <w:rPr>
          <w:b/>
          <w:bCs/>
          <w:color w:val="C00000"/>
          <w:sz w:val="22"/>
          <w:szCs w:val="22"/>
        </w:rPr>
        <w:t xml:space="preserve">Reliance on a single discovery method — </w:t>
      </w:r>
      <w:r>
        <w:rPr>
          <w:sz w:val="22"/>
          <w:szCs w:val="22"/>
        </w:rPr>
        <w:t xml:space="preserve">ICMP (ping) can be disabled by a firewall, which would make a live host appear offline. If host discovery had only used ping, a filtered host could have been missed entirely.</w:t>
      </w:r>
    </w:p>
    <w:p>
      <w:pPr>
        <w:pStyle w:val="ListParagraph"/>
        <w:numPr>
          <w:ilvl w:val="0"/>
          <w:numId w:val="2"/>
        </w:numPr>
        <w:spacing w:after="140"/>
      </w:pPr>
      <w:r>
        <w:rPr>
          <w:b/>
          <w:bCs/>
          <w:color w:val="C00000"/>
          <w:sz w:val="22"/>
          <w:szCs w:val="22"/>
        </w:rPr>
        <w:t xml:space="preserve">ARP cannot be blocked on a local segment — </w:t>
      </w:r>
      <w:r>
        <w:rPr>
          <w:sz w:val="22"/>
          <w:szCs w:val="22"/>
        </w:rPr>
        <w:t xml:space="preserve">ARP is required for any device to communicate on the local network, so it cannot be filtered the way ICMP can. This means host discovery — the very first step of an attack — is very difficult to fully prevent from inside the same network.</w:t>
      </w:r>
    </w:p>
    <w:p>
      <w:pPr>
        <w:pStyle w:val="ListParagraph"/>
        <w:numPr>
          <w:ilvl w:val="0"/>
          <w:numId w:val="2"/>
        </w:numPr>
        <w:spacing w:after="140"/>
      </w:pPr>
      <w:r>
        <w:rPr>
          <w:b/>
          <w:bCs/>
          <w:color w:val="C00000"/>
          <w:sz w:val="22"/>
          <w:szCs w:val="22"/>
        </w:rPr>
        <w:t xml:space="preserve">Host discovery is the foundation for every later step — </w:t>
      </w:r>
      <w:r>
        <w:rPr>
          <w:sz w:val="22"/>
          <w:szCs w:val="22"/>
        </w:rPr>
        <w:t xml:space="preserve">Once an attacker knows which hosts are alive, every subsequent action (port scanning, service enumeration, exploitation) depends on that list. An attacker only needs one working discovery method to proceed, even if others are blocked.</w:t>
      </w:r>
    </w:p>
    <w:p>
      <w:pPr>
        <w:pStyle w:val="Heading1"/>
        <w:pBdr>
          <w:bottom w:val="single" w:color="2E74B5" w:sz="8" w:space="4"/>
        </w:pBdr>
        <w:spacing w:after="160" w:before="320"/>
      </w:pPr>
      <w:r>
        <w:rPr>
          <w:b/>
          <w:bCs/>
          <w:color w:val="1F3864"/>
          <w:sz w:val="26"/>
          <w:szCs w:val="26"/>
        </w:rPr>
        <w:t xml:space="preserve">Conclusion &amp; Recommendation</w:t>
      </w:r>
    </w:p>
    <w:p>
      <w:pPr>
        <w:spacing w:after="120"/>
      </w:pPr>
      <w:r>
        <w:rPr>
          <w:sz w:val="22"/>
          <w:szCs w:val="22"/>
        </w:rPr>
        <w:t xml:space="preserve">Cross-verifying host discovery with both ICMP and ARP-based methods confirmed 4 active hosts on the subnet (excluding the scanning machine itself), with consistent results across three tools. On a real network, disabling ICMP responses alone would not be sufficient to hide hosts from a local attacker, since ARP-based discovery would still reveal them. Network monitoring should watch for ARP sweep patterns, not just ICMP traffic.</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color w:val="595959"/>
        <w:sz w:val="16"/>
        <w:szCs w:val="16"/>
      </w:rPr>
      <w:t xml:space="preserve">Cybersecurity Internship — Network Security &amp; Recon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0b45ce56da7f0303abfaac97e49780f864ebe9.png"/><Relationship Id="rId10" Type="http://schemas.openxmlformats.org/officeDocument/2006/relationships/image" Target="media/2138ce18b8d68e850a6d307ecd1e93ed50395914.png"/><Relationship Id="rId11" Type="http://schemas.openxmlformats.org/officeDocument/2006/relationships/image" Target="media/6f7d6764644fe1110bef27329c33deaa89c2be0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2026-08-20T10:35:20.361Z</dcterms:created>
  <dcterms:modified xsi:type="dcterms:W3CDTF">2026-08-20T10:35:20.374Z</dcterms:modified>
</cp:coreProperties>
</file>

<file path=docProps/custom.xml><?xml version="1.0" encoding="utf-8"?>
<Properties xmlns="http://schemas.openxmlformats.org/officeDocument/2006/custom-properties" xmlns:vt="http://schemas.openxmlformats.org/officeDocument/2006/docPropsVTypes"/>
</file>