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pacing w:val="20"/>
          <w:sz w:val="22"/>
          <w:szCs w:val="22"/>
        </w:rPr>
        <w:t xml:space="preserve">PROJECT 6</w:t>
      </w:r>
    </w:p>
    <w:p>
      <w:pPr>
        <w:spacing w:after="200"/>
      </w:pPr>
      <w:r>
        <w:rPr>
          <w:b/>
          <w:bCs/>
          <w:color w:val="1F3864"/>
          <w:sz w:val="40"/>
          <w:szCs w:val="40"/>
        </w:rPr>
        <w:t xml:space="preserve">Aggressive Scan Analysis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5100"/>
        <w:gridCol w:w="5100"/>
      </w:tblGrid>
      <w:tr>
        <w:tc>
          <w:tcPr>
            <w:tcW w:type="dxa" w:w="5100"/>
            <w:shd w:fill="F2F2F2" w:val="clear"/>
            <w:tcMar>
              <w:top w:type="dxa" w:w="80"/>
              <w:left w:type="dxa" w:w="120"/>
              <w:bottom w:type="dxa" w:w="80"/>
              <w:right w:type="dxa" w:w="120"/>
            </w:tcMar>
            <w:vAlign w:val="center"/>
          </w:tcPr>
          <w:p>
            <w:r>
              <w:rPr>
                <w:b/>
                <w:bCs/>
                <w:color w:val="1F3864"/>
                <w:sz w:val="20"/>
                <w:szCs w:val="20"/>
              </w:rPr>
              <w:t xml:space="preserve">Category: </w:t>
            </w:r>
            <w:r>
              <w:rPr>
                <w:sz w:val="20"/>
                <w:szCs w:val="20"/>
              </w:rPr>
              <w:t xml:space="preserve">Network Security &amp; Recon</w:t>
            </w:r>
          </w:p>
        </w:tc>
        <w:tc>
          <w:tcPr>
            <w:tcW w:type="dxa" w:w="5100"/>
            <w:shd w:fill="F2F2F2" w:val="clear"/>
            <w:tcMar>
              <w:top w:type="dxa" w:w="80"/>
              <w:left w:type="dxa" w:w="120"/>
              <w:bottom w:type="dxa" w:w="80"/>
              <w:right w:type="dxa" w:w="120"/>
            </w:tcMar>
            <w:vAlign w:val="center"/>
          </w:tcPr>
          <w:p>
            <w:r>
              <w:rPr>
                <w:b/>
                <w:bCs/>
                <w:color w:val="1F3864"/>
                <w:sz w:val="20"/>
                <w:szCs w:val="20"/>
              </w:rPr>
              <w:t xml:space="preserve">Difficulty: </w:t>
            </w:r>
            <w:r>
              <w:rPr>
                <w:sz w:val="20"/>
                <w:szCs w:val="20"/>
              </w:rPr>
              <w:t xml:space="preserve">Intermediate</w:t>
            </w:r>
          </w:p>
        </w:tc>
      </w:tr>
      <w:tr>
        <w:tc>
          <w:tcPr>
            <w:tcW w:type="dxa" w:w="5100"/>
            <w:shd w:fill="F2F2F2" w:val="clear"/>
            <w:tcMar>
              <w:top w:type="dxa" w:w="80"/>
              <w:left w:type="dxa" w:w="120"/>
              <w:bottom w:type="dxa" w:w="80"/>
              <w:right w:type="dxa" w:w="120"/>
            </w:tcMar>
            <w:vAlign w:val="center"/>
          </w:tcPr>
          <w:p>
            <w:r>
              <w:rPr>
                <w:b/>
                <w:bCs/>
                <w:color w:val="1F3864"/>
                <w:sz w:val="20"/>
                <w:szCs w:val="20"/>
              </w:rPr>
              <w:t xml:space="preserve">Target: </w:t>
            </w:r>
            <w:r>
              <w:rPr>
                <w:sz w:val="20"/>
                <w:szCs w:val="20"/>
              </w:rPr>
              <w:t xml:space="preserve">Metasploitable 2 (192.168.80.133)</w:t>
            </w:r>
          </w:p>
        </w:tc>
        <w:tc>
          <w:tcPr>
            <w:tcW w:type="dxa" w:w="5100"/>
            <w:shd w:fill="F2F2F2" w:val="clear"/>
            <w:tcMar>
              <w:top w:type="dxa" w:w="80"/>
              <w:left w:type="dxa" w:w="120"/>
              <w:bottom w:type="dxa" w:w="80"/>
              <w:right w:type="dxa" w:w="120"/>
            </w:tcMar>
            <w:vAlign w:val="center"/>
          </w:tcPr>
          <w:p>
            <w:r>
              <w:rPr>
                <w:b/>
                <w:bCs/>
                <w:color w:val="1F3864"/>
                <w:sz w:val="20"/>
                <w:szCs w:val="20"/>
              </w:rPr>
              <w:t xml:space="preserve">Status: </w:t>
            </w:r>
            <w:r>
              <w:rPr>
                <w:sz w:val="20"/>
                <w:szCs w:val="20"/>
              </w:rPr>
              <w:t xml:space="preserve">Completed</w:t>
            </w:r>
          </w:p>
        </w:tc>
      </w:tr>
    </w:tbl>
    <w:p>
      <w:pPr>
        <w:pStyle w:val="Heading1"/>
        <w:pBdr>
          <w:bottom w:val="single" w:color="D9D9D9" w:sz="6" w:space="4"/>
        </w:pBdr>
        <w:spacing w:after="200" w:before="320"/>
      </w:pPr>
      <w:r>
        <w:rPr>
          <w:b/>
          <w:bCs/>
          <w:color w:val="1F3864"/>
          <w:sz w:val="28"/>
          <w:szCs w:val="28"/>
        </w:rPr>
        <w:t xml:space="preserve">Objective</w:t>
      </w:r>
    </w:p>
    <w:p>
      <w:pPr>
        <w:spacing w:after="200"/>
      </w:pPr>
      <w:r>
        <w:rPr>
          <w:sz w:val="22"/>
          <w:szCs w:val="22"/>
        </w:rPr>
        <w:t xml:space="preserve">To run Nmap's aggressive scan mode against the target, combining OS detection, version detection, default script scanning (NSE), and traceroute in a single scan, and identify any new findings beyond the individual scans done in Projects 3 to 5.</w:t>
      </w:r>
    </w:p>
    <w:p>
      <w:pPr>
        <w:pStyle w:val="Heading2"/>
        <w:spacing w:after="120" w:before="200"/>
      </w:pPr>
      <w:r>
        <w:rPr>
          <w:b/>
          <w:bCs/>
          <w:color w:val="1F3864"/>
          <w:sz w:val="24"/>
          <w:szCs w:val="24"/>
        </w:rPr>
        <w:t xml:space="preserve">Tools Used</w:t>
      </w:r>
    </w:p>
    <w:p>
      <w:pPr>
        <w:pStyle w:val="ListParagraph"/>
        <w:numPr>
          <w:ilvl w:val="0"/>
          <w:numId w:val="2"/>
        </w:numPr>
        <w:spacing w:after="80"/>
      </w:pPr>
      <w:r>
        <w:rPr>
          <w:sz w:val="22"/>
          <w:szCs w:val="22"/>
        </w:rPr>
        <w:t xml:space="preserve">Kali Linux — attacker/scanning machine</w:t>
      </w:r>
    </w:p>
    <w:p>
      <w:pPr>
        <w:pStyle w:val="ListParagraph"/>
        <w:numPr>
          <w:ilvl w:val="0"/>
          <w:numId w:val="2"/>
        </w:numPr>
        <w:spacing w:after="80"/>
      </w:pPr>
      <w:r>
        <w:rPr>
          <w:sz w:val="22"/>
          <w:szCs w:val="22"/>
        </w:rPr>
        <w:t xml:space="preserve">Nmap 7.99 — aggressive scan (-A)</w:t>
      </w:r>
    </w:p>
    <w:p>
      <w:pPr>
        <w:pStyle w:val="Heading2"/>
        <w:spacing w:after="120" w:before="240"/>
      </w:pPr>
      <w:r>
        <w:rPr>
          <w:b/>
          <w:bCs/>
          <w:color w:val="1F3864"/>
          <w:sz w:val="24"/>
          <w:szCs w:val="24"/>
        </w:rPr>
        <w:t xml:space="preserve">What -A Includes</w:t>
      </w:r>
    </w:p>
    <w:p>
      <w:pPr>
        <w:pStyle w:val="ListParagraph"/>
        <w:numPr>
          <w:ilvl w:val="0"/>
          <w:numId w:val="2"/>
        </w:numPr>
        <w:spacing w:after="60"/>
      </w:pPr>
      <w:r>
        <w:rPr>
          <w:rFonts w:ascii="Consolas" w:cs="Consolas" w:eastAsia="Consolas" w:hAnsi="Consolas"/>
          <w:b/>
          <w:bCs/>
          <w:color w:val="1F3864"/>
          <w:sz w:val="21"/>
          <w:szCs w:val="21"/>
        </w:rPr>
        <w:t xml:space="preserve">-O  </w:t>
      </w:r>
      <w:r>
        <w:rPr>
          <w:sz w:val="21"/>
          <w:szCs w:val="21"/>
        </w:rPr>
        <w:t xml:space="preserve">OS detection (already seen in Project 5)</w:t>
      </w:r>
    </w:p>
    <w:p>
      <w:pPr>
        <w:pStyle w:val="ListParagraph"/>
        <w:numPr>
          <w:ilvl w:val="0"/>
          <w:numId w:val="2"/>
        </w:numPr>
        <w:spacing w:after="60"/>
      </w:pPr>
      <w:r>
        <w:rPr>
          <w:rFonts w:ascii="Consolas" w:cs="Consolas" w:eastAsia="Consolas" w:hAnsi="Consolas"/>
          <w:b/>
          <w:bCs/>
          <w:color w:val="1F3864"/>
          <w:sz w:val="21"/>
          <w:szCs w:val="21"/>
        </w:rPr>
        <w:t xml:space="preserve">-sV  </w:t>
      </w:r>
      <w:r>
        <w:rPr>
          <w:sz w:val="21"/>
          <w:szCs w:val="21"/>
        </w:rPr>
        <w:t xml:space="preserve">Service version detection (already seen in Project 4)</w:t>
      </w:r>
    </w:p>
    <w:p>
      <w:pPr>
        <w:pStyle w:val="ListParagraph"/>
        <w:numPr>
          <w:ilvl w:val="0"/>
          <w:numId w:val="2"/>
        </w:numPr>
        <w:spacing w:after="60"/>
      </w:pPr>
      <w:r>
        <w:rPr>
          <w:rFonts w:ascii="Consolas" w:cs="Consolas" w:eastAsia="Consolas" w:hAnsi="Consolas"/>
          <w:b/>
          <w:bCs/>
          <w:color w:val="1F3864"/>
          <w:sz w:val="21"/>
          <w:szCs w:val="21"/>
        </w:rPr>
        <w:t xml:space="preserve">-sC  </w:t>
      </w:r>
      <w:r>
        <w:rPr>
          <w:sz w:val="21"/>
          <w:szCs w:val="21"/>
        </w:rPr>
        <w:t xml:space="preserve">Runs Nmap's default safe scripts against each open port — new for this project</w:t>
      </w:r>
    </w:p>
    <w:p>
      <w:pPr>
        <w:pStyle w:val="ListParagraph"/>
        <w:numPr>
          <w:ilvl w:val="0"/>
          <w:numId w:val="2"/>
        </w:numPr>
        <w:spacing w:after="60"/>
      </w:pPr>
      <w:r>
        <w:rPr>
          <w:rFonts w:ascii="Consolas" w:cs="Consolas" w:eastAsia="Consolas" w:hAnsi="Consolas"/>
          <w:b/>
          <w:bCs/>
          <w:color w:val="1F3864"/>
          <w:sz w:val="21"/>
          <w:szCs w:val="21"/>
        </w:rPr>
        <w:t xml:space="preserve">--traceroute  </w:t>
      </w:r>
      <w:r>
        <w:rPr>
          <w:sz w:val="21"/>
          <w:szCs w:val="21"/>
        </w:rPr>
        <w:t xml:space="preserve">Maps the network path to the target — new for this project</w:t>
      </w:r>
    </w:p>
    <w:p>
      <w:pPr>
        <w:pStyle w:val="Heading1"/>
        <w:pageBreakBefore/>
        <w:pBdr>
          <w:bottom w:val="single" w:color="D9D9D9" w:sz="6" w:space="4"/>
        </w:pBdr>
        <w:spacing w:after="200" w:before="320"/>
      </w:pPr>
      <w:r>
        <w:rPr>
          <w:b/>
          <w:bCs/>
          <w:color w:val="1F3864"/>
          <w:sz w:val="28"/>
          <w:szCs w:val="28"/>
        </w:rPr>
        <w:t xml:space="preserve">Step-by-Step Process</w:t>
      </w:r>
    </w:p>
    <w:p>
      <w:pPr>
        <w:spacing w:after="120"/>
      </w:pPr>
      <w:r>
        <w:rPr>
          <w:b/>
          <w:bCs/>
          <w:sz w:val="22"/>
          <w:szCs w:val="22"/>
        </w:rPr>
        <w:t xml:space="preserve">Command: </w:t>
      </w:r>
      <w:r>
        <w:rPr>
          <w:rFonts w:ascii="Consolas" w:cs="Consolas" w:eastAsia="Consolas" w:hAnsi="Consolas"/>
          <w:color w:val="1F3864"/>
          <w:sz w:val="22"/>
          <w:szCs w:val="22"/>
        </w:rPr>
        <w:t xml:space="preserve">nmap -A -p- 192.168.80.133</w:t>
      </w:r>
    </w:p>
    <w:p>
      <w:pPr>
        <w:spacing w:after="160"/>
      </w:pPr>
      <w:r>
        <w:rPr>
          <w:sz w:val="22"/>
          <w:szCs w:val="22"/>
        </w:rPr>
        <w:t xml:space="preserve">All 65,535 ports were scanned again (as in Project 3) since earlier projects showed that important services can sit outside the default port list. The scan took about 2.5 minutes to complete.</w:t>
      </w:r>
    </w:p>
    <w:p>
      <w:pPr>
        <w:spacing w:after="60"/>
        <w:jc w:val="center"/>
      </w:pPr>
      <w:r>
        <w:drawing>
          <wp:inline distT="0" distB="0" distL="0" distR="0">
            <wp:extent cx="5486400" cy="3114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114675"/>
                    </a:xfrm>
                    <a:prstGeom prst="rect">
                      <a:avLst/>
                    </a:prstGeom>
                  </pic:spPr>
                </pic:pic>
              </a:graphicData>
            </a:graphic>
          </wp:inline>
        </w:drawing>
      </w:r>
    </w:p>
    <w:p>
      <w:pPr>
        <w:spacing w:after="240"/>
        <w:jc w:val="center"/>
      </w:pPr>
      <w:r>
        <w:rPr>
          <w:i/>
          <w:iCs/>
          <w:color w:val="595959"/>
          <w:sz w:val="18"/>
          <w:szCs w:val="18"/>
        </w:rPr>
        <w:t xml:space="preserve">Figure 1 — FTP script results: anonymous login confirmed</w:t>
      </w:r>
    </w:p>
    <w:p>
      <w:pPr>
        <w:spacing w:after="60"/>
        <w:jc w:val="center"/>
      </w:pPr>
      <w:r>
        <w:drawing>
          <wp:inline distT="0" distB="0" distL="0" distR="0">
            <wp:extent cx="54864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171825"/>
                    </a:xfrm>
                    <a:prstGeom prst="rect">
                      <a:avLst/>
                    </a:prstGeom>
                  </pic:spPr>
                </pic:pic>
              </a:graphicData>
            </a:graphic>
          </wp:inline>
        </w:drawing>
      </w:r>
    </w:p>
    <w:p>
      <w:pPr>
        <w:spacing w:after="240"/>
        <w:jc w:val="center"/>
      </w:pPr>
      <w:r>
        <w:rPr>
          <w:i/>
          <w:iCs/>
          <w:color w:val="595959"/>
          <w:sz w:val="18"/>
          <w:szCs w:val="18"/>
        </w:rPr>
        <w:t xml:space="preserve">Figure 2 — SMTP SSL certificate and RPC service listing</w:t>
      </w:r>
    </w:p>
    <w:p>
      <w:pPr>
        <w:spacing w:after="60"/>
        <w:jc w:val="center"/>
      </w:pPr>
      <w:r>
        <w:drawing>
          <wp:inline distT="0" distB="0" distL="0" distR="0">
            <wp:extent cx="54864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3333750"/>
                    </a:xfrm>
                    <a:prstGeom prst="rect">
                      <a:avLst/>
                    </a:prstGeom>
                  </pic:spPr>
                </pic:pic>
              </a:graphicData>
            </a:graphic>
          </wp:inline>
        </w:drawing>
      </w:r>
    </w:p>
    <w:p>
      <w:pPr>
        <w:spacing w:after="240"/>
        <w:jc w:val="center"/>
      </w:pPr>
      <w:r>
        <w:rPr>
          <w:i/>
          <w:iCs/>
          <w:color w:val="595959"/>
          <w:sz w:val="18"/>
          <w:szCs w:val="18"/>
        </w:rPr>
        <w:t xml:space="preserve">Figure 3 — MySQL and VNC script results</w:t>
      </w:r>
    </w:p>
    <w:p>
      <w:pPr>
        <w:spacing w:after="60"/>
        <w:jc w:val="center"/>
      </w:pPr>
      <w:r>
        <w:drawing>
          <wp:inline distT="0" distB="0" distL="0" distR="0">
            <wp:extent cx="54864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3295650"/>
                    </a:xfrm>
                    <a:prstGeom prst="rect">
                      <a:avLst/>
                    </a:prstGeom>
                  </pic:spPr>
                </pic:pic>
              </a:graphicData>
            </a:graphic>
          </wp:inline>
        </w:drawing>
      </w:r>
    </w:p>
    <w:p>
      <w:pPr>
        <w:spacing w:after="240"/>
        <w:jc w:val="center"/>
      </w:pPr>
      <w:r>
        <w:rPr>
          <w:i/>
          <w:iCs/>
          <w:color w:val="595959"/>
          <w:sz w:val="18"/>
          <w:szCs w:val="18"/>
        </w:rPr>
        <w:t xml:space="preserve">Figure 4 — IRC, Tomcat, and Ruby DRb results</w:t>
      </w:r>
    </w:p>
    <w:p>
      <w:pPr>
        <w:spacing w:after="60"/>
        <w:jc w:val="center"/>
      </w:pPr>
      <w:r>
        <w:drawing>
          <wp:inline distT="0" distB="0" distL="0" distR="0">
            <wp:extent cx="54864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3333750"/>
                    </a:xfrm>
                    <a:prstGeom prst="rect">
                      <a:avLst/>
                    </a:prstGeom>
                  </pic:spPr>
                </pic:pic>
              </a:graphicData>
            </a:graphic>
          </wp:inline>
        </w:drawing>
      </w:r>
    </w:p>
    <w:p>
      <w:pPr>
        <w:spacing w:after="240"/>
        <w:jc w:val="center"/>
      </w:pPr>
      <w:r>
        <w:rPr>
          <w:i/>
          <w:iCs/>
          <w:color w:val="595959"/>
          <w:sz w:val="18"/>
          <w:szCs w:val="18"/>
        </w:rPr>
        <w:t xml:space="preserve">Figure 5 — SMB security mode and traceroute</w:t>
      </w:r>
    </w:p>
    <w:p>
      <w:pPr>
        <w:pStyle w:val="Heading1"/>
        <w:pageBreakBefore/>
        <w:pBdr>
          <w:bottom w:val="single" w:color="D9D9D9" w:sz="6" w:space="4"/>
        </w:pBdr>
        <w:spacing w:after="200" w:before="320"/>
      </w:pPr>
      <w:r>
        <w:rPr>
          <w:b/>
          <w:bCs/>
          <w:color w:val="1F3864"/>
          <w:sz w:val="28"/>
          <w:szCs w:val="28"/>
        </w:rPr>
        <w:t xml:space="preserve">Findings</w:t>
      </w:r>
    </w:p>
    <w:p>
      <w:pPr>
        <w:spacing w:after="160"/>
      </w:pPr>
      <w:r>
        <w:rPr>
          <w:sz w:val="22"/>
          <w:szCs w:val="22"/>
        </w:rPr>
        <w:t xml:space="preserve">New information found by the default NSE scripts, beyond what earlier projects already showed: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700"/>
        <w:gridCol w:w="7700"/>
      </w:tblGrid>
      <w:tr>
        <w:trPr>
          <w:tblHeader/>
        </w:trPr>
        <w:tc>
          <w:tcPr>
            <w:tcW w:type="dxa" w:w="1700"/>
            <w:shd w:fill="1F3864" w:val="clear"/>
            <w:tcMar>
              <w:top w:type="dxa" w:w="70"/>
              <w:left w:type="dxa" w:w="90"/>
              <w:bottom w:type="dxa" w:w="70"/>
              <w:right w:type="dxa" w:w="90"/>
            </w:tcMar>
            <w:vAlign w:val="center"/>
          </w:tcPr>
          <w:p>
            <w:r>
              <w:rPr>
                <w:b/>
                <w:bCs/>
                <w:color w:val="FFFFFF"/>
                <w:sz w:val="19"/>
                <w:szCs w:val="19"/>
              </w:rPr>
              <w:t xml:space="preserve">Area</w:t>
            </w:r>
          </w:p>
        </w:tc>
        <w:tc>
          <w:tcPr>
            <w:tcW w:type="dxa" w:w="7700"/>
            <w:shd w:fill="1F3864" w:val="clear"/>
            <w:tcMar>
              <w:top w:type="dxa" w:w="70"/>
              <w:left w:type="dxa" w:w="90"/>
              <w:bottom w:type="dxa" w:w="70"/>
              <w:right w:type="dxa" w:w="90"/>
            </w:tcMar>
            <w:vAlign w:val="center"/>
          </w:tcPr>
          <w:p>
            <w:r>
              <w:rPr>
                <w:b/>
                <w:bCs/>
                <w:color w:val="FFFFFF"/>
                <w:sz w:val="19"/>
                <w:szCs w:val="19"/>
              </w:rPr>
              <w:t xml:space="preserve">New information from NSE scripts</w:t>
            </w:r>
          </w:p>
        </w:tc>
      </w:tr>
      <w:tr>
        <w:tc>
          <w:tcPr>
            <w:tcW w:type="dxa" w:w="1700"/>
            <w:tcMar>
              <w:top w:type="dxa" w:w="60"/>
              <w:left w:type="dxa" w:w="90"/>
              <w:bottom w:type="dxa" w:w="60"/>
              <w:right w:type="dxa" w:w="90"/>
            </w:tcMar>
            <w:vAlign w:val="center"/>
          </w:tcPr>
          <w:p>
            <w:r>
              <w:rPr>
                <w:b/>
                <w:bCs/>
                <w:sz w:val="19"/>
                <w:szCs w:val="19"/>
              </w:rPr>
              <w:t xml:space="preserve">FTP (21)</w:t>
            </w:r>
          </w:p>
        </w:tc>
        <w:tc>
          <w:tcPr>
            <w:tcW w:type="dxa" w:w="7700"/>
            <w:tcMar>
              <w:top w:type="dxa" w:w="60"/>
              <w:left w:type="dxa" w:w="90"/>
              <w:bottom w:type="dxa" w:w="60"/>
              <w:right w:type="dxa" w:w="90"/>
            </w:tcMar>
            <w:vAlign w:val="center"/>
          </w:tcPr>
          <w:p>
            <w:r>
              <w:rPr>
                <w:b w:val="false"/>
                <w:bCs w:val="false"/>
                <w:sz w:val="19"/>
                <w:szCs w:val="19"/>
              </w:rPr>
              <w:t xml:space="preserve">Anonymous login actively tested and confirmed working (code 230)</w:t>
            </w:r>
          </w:p>
        </w:tc>
      </w:tr>
      <w:tr>
        <w:tc>
          <w:tcPr>
            <w:tcW w:type="dxa" w:w="1700"/>
            <w:shd w:fill="F2F2F2" w:val="clear"/>
            <w:tcMar>
              <w:top w:type="dxa" w:w="60"/>
              <w:left w:type="dxa" w:w="90"/>
              <w:bottom w:type="dxa" w:w="60"/>
              <w:right w:type="dxa" w:w="90"/>
            </w:tcMar>
            <w:vAlign w:val="center"/>
          </w:tcPr>
          <w:p>
            <w:r>
              <w:rPr>
                <w:b/>
                <w:bCs/>
                <w:sz w:val="19"/>
                <w:szCs w:val="19"/>
              </w:rPr>
              <w:t xml:space="preserve">SMTP (25)</w:t>
            </w:r>
          </w:p>
        </w:tc>
        <w:tc>
          <w:tcPr>
            <w:tcW w:type="dxa" w:w="7700"/>
            <w:shd w:fill="F2F2F2" w:val="clear"/>
            <w:tcMar>
              <w:top w:type="dxa" w:w="60"/>
              <w:left w:type="dxa" w:w="90"/>
              <w:bottom w:type="dxa" w:w="60"/>
              <w:right w:type="dxa" w:w="90"/>
            </w:tcMar>
            <w:vAlign w:val="center"/>
          </w:tcPr>
          <w:p>
            <w:r>
              <w:rPr>
                <w:b w:val="false"/>
                <w:bCs w:val="false"/>
                <w:sz w:val="19"/>
                <w:szCs w:val="19"/>
              </w:rPr>
              <w:t xml:space="preserve">SSL certificate expired since 2010; SSLv2 with MD5 ciphers still supported</w:t>
            </w:r>
          </w:p>
        </w:tc>
      </w:tr>
      <w:tr>
        <w:tc>
          <w:tcPr>
            <w:tcW w:type="dxa" w:w="1700"/>
            <w:tcMar>
              <w:top w:type="dxa" w:w="60"/>
              <w:left w:type="dxa" w:w="90"/>
              <w:bottom w:type="dxa" w:w="60"/>
              <w:right w:type="dxa" w:w="90"/>
            </w:tcMar>
            <w:vAlign w:val="center"/>
          </w:tcPr>
          <w:p>
            <w:r>
              <w:rPr>
                <w:b/>
                <w:bCs/>
                <w:sz w:val="19"/>
                <w:szCs w:val="19"/>
              </w:rPr>
              <w:t xml:space="preserve">HTTP (80)</w:t>
            </w:r>
          </w:p>
        </w:tc>
        <w:tc>
          <w:tcPr>
            <w:tcW w:type="dxa" w:w="7700"/>
            <w:tcMar>
              <w:top w:type="dxa" w:w="60"/>
              <w:left w:type="dxa" w:w="90"/>
              <w:bottom w:type="dxa" w:w="60"/>
              <w:right w:type="dxa" w:w="90"/>
            </w:tcMar>
            <w:vAlign w:val="center"/>
          </w:tcPr>
          <w:p>
            <w:r>
              <w:rPr>
                <w:b w:val="false"/>
                <w:bCs w:val="false"/>
                <w:sz w:val="19"/>
                <w:szCs w:val="19"/>
              </w:rPr>
              <w:t xml:space="preserve">Page title confirms “Metasploitable2 - Linux”</w:t>
            </w:r>
          </w:p>
        </w:tc>
      </w:tr>
      <w:tr>
        <w:tc>
          <w:tcPr>
            <w:tcW w:type="dxa" w:w="1700"/>
            <w:shd w:fill="F2F2F2" w:val="clear"/>
            <w:tcMar>
              <w:top w:type="dxa" w:w="60"/>
              <w:left w:type="dxa" w:w="90"/>
              <w:bottom w:type="dxa" w:w="60"/>
              <w:right w:type="dxa" w:w="90"/>
            </w:tcMar>
            <w:vAlign w:val="center"/>
          </w:tcPr>
          <w:p>
            <w:r>
              <w:rPr>
                <w:b/>
                <w:bCs/>
                <w:sz w:val="19"/>
                <w:szCs w:val="19"/>
              </w:rPr>
              <w:t xml:space="preserve">RPC (111)</w:t>
            </w:r>
          </w:p>
        </w:tc>
        <w:tc>
          <w:tcPr>
            <w:tcW w:type="dxa" w:w="7700"/>
            <w:shd w:fill="F2F2F2" w:val="clear"/>
            <w:tcMar>
              <w:top w:type="dxa" w:w="60"/>
              <w:left w:type="dxa" w:w="90"/>
              <w:bottom w:type="dxa" w:w="60"/>
              <w:right w:type="dxa" w:w="90"/>
            </w:tcMar>
            <w:vAlign w:val="center"/>
          </w:tcPr>
          <w:p>
            <w:r>
              <w:rPr>
                <w:b w:val="false"/>
                <w:bCs w:val="false"/>
                <w:sz w:val="19"/>
                <w:szCs w:val="19"/>
              </w:rPr>
              <w:t xml:space="preserve">Full list of every RPC program, version, and port via rpcinfo</w:t>
            </w:r>
          </w:p>
        </w:tc>
      </w:tr>
      <w:tr>
        <w:tc>
          <w:tcPr>
            <w:tcW w:type="dxa" w:w="1700"/>
            <w:tcMar>
              <w:top w:type="dxa" w:w="60"/>
              <w:left w:type="dxa" w:w="90"/>
              <w:bottom w:type="dxa" w:w="60"/>
              <w:right w:type="dxa" w:w="90"/>
            </w:tcMar>
            <w:vAlign w:val="center"/>
          </w:tcPr>
          <w:p>
            <w:r>
              <w:rPr>
                <w:b/>
                <w:bCs/>
                <w:sz w:val="19"/>
                <w:szCs w:val="19"/>
              </w:rPr>
              <w:t xml:space="preserve">MySQL (3306)</w:t>
            </w:r>
          </w:p>
        </w:tc>
        <w:tc>
          <w:tcPr>
            <w:tcW w:type="dxa" w:w="7700"/>
            <w:tcMar>
              <w:top w:type="dxa" w:w="60"/>
              <w:left w:type="dxa" w:w="90"/>
              <w:bottom w:type="dxa" w:w="60"/>
              <w:right w:type="dxa" w:w="90"/>
            </w:tcMar>
            <w:vAlign w:val="center"/>
          </w:tcPr>
          <w:p>
            <w:r>
              <w:rPr>
                <w:b w:val="false"/>
                <w:bCs w:val="false"/>
                <w:sz w:val="19"/>
                <w:szCs w:val="19"/>
              </w:rPr>
              <w:t xml:space="preserve">Protocol/version details and password salt exposed</w:t>
            </w:r>
          </w:p>
        </w:tc>
      </w:tr>
      <w:tr>
        <w:tc>
          <w:tcPr>
            <w:tcW w:type="dxa" w:w="1700"/>
            <w:shd w:fill="F2F2F2" w:val="clear"/>
            <w:tcMar>
              <w:top w:type="dxa" w:w="60"/>
              <w:left w:type="dxa" w:w="90"/>
              <w:bottom w:type="dxa" w:w="60"/>
              <w:right w:type="dxa" w:w="90"/>
            </w:tcMar>
            <w:vAlign w:val="center"/>
          </w:tcPr>
          <w:p>
            <w:r>
              <w:rPr>
                <w:b/>
                <w:bCs/>
                <w:sz w:val="19"/>
                <w:szCs w:val="19"/>
              </w:rPr>
              <w:t xml:space="preserve">VNC (5900)</w:t>
            </w:r>
          </w:p>
        </w:tc>
        <w:tc>
          <w:tcPr>
            <w:tcW w:type="dxa" w:w="7700"/>
            <w:shd w:fill="F2F2F2" w:val="clear"/>
            <w:tcMar>
              <w:top w:type="dxa" w:w="60"/>
              <w:left w:type="dxa" w:w="90"/>
              <w:bottom w:type="dxa" w:w="60"/>
              <w:right w:type="dxa" w:w="90"/>
            </w:tcMar>
            <w:vAlign w:val="center"/>
          </w:tcPr>
          <w:p>
            <w:r>
              <w:rPr>
                <w:b w:val="false"/>
                <w:bCs w:val="false"/>
                <w:sz w:val="19"/>
                <w:szCs w:val="19"/>
              </w:rPr>
              <w:t xml:space="preserve">Authentication type confirmed as the older, weaker VNC Authentication (2)</w:t>
            </w:r>
          </w:p>
        </w:tc>
      </w:tr>
      <w:tr>
        <w:tc>
          <w:tcPr>
            <w:tcW w:type="dxa" w:w="1700"/>
            <w:tcMar>
              <w:top w:type="dxa" w:w="60"/>
              <w:left w:type="dxa" w:w="90"/>
              <w:bottom w:type="dxa" w:w="60"/>
              <w:right w:type="dxa" w:w="90"/>
            </w:tcMar>
            <w:vAlign w:val="center"/>
          </w:tcPr>
          <w:p>
            <w:r>
              <w:rPr>
                <w:b/>
                <w:bCs/>
                <w:sz w:val="19"/>
                <w:szCs w:val="19"/>
              </w:rPr>
              <w:t xml:space="preserve">Tomcat (8180)</w:t>
            </w:r>
          </w:p>
        </w:tc>
        <w:tc>
          <w:tcPr>
            <w:tcW w:type="dxa" w:w="7700"/>
            <w:tcMar>
              <w:top w:type="dxa" w:w="60"/>
              <w:left w:type="dxa" w:w="90"/>
              <w:bottom w:type="dxa" w:w="60"/>
              <w:right w:type="dxa" w:w="90"/>
            </w:tcMar>
            <w:vAlign w:val="center"/>
          </w:tcPr>
          <w:p>
            <w:r>
              <w:rPr>
                <w:b w:val="false"/>
                <w:bCs w:val="false"/>
                <w:sz w:val="19"/>
                <w:szCs w:val="19"/>
              </w:rPr>
              <w:t xml:space="preserve">Identified as Apache Tomcat/5.5 specifically</w:t>
            </w:r>
          </w:p>
        </w:tc>
      </w:tr>
      <w:tr>
        <w:tc>
          <w:tcPr>
            <w:tcW w:type="dxa" w:w="1700"/>
            <w:shd w:fill="F2F2F2" w:val="clear"/>
            <w:tcMar>
              <w:top w:type="dxa" w:w="60"/>
              <w:left w:type="dxa" w:w="90"/>
              <w:bottom w:type="dxa" w:w="60"/>
              <w:right w:type="dxa" w:w="90"/>
            </w:tcMar>
            <w:vAlign w:val="center"/>
          </w:tcPr>
          <w:p>
            <w:r>
              <w:rPr>
                <w:b/>
                <w:bCs/>
                <w:sz w:val="19"/>
                <w:szCs w:val="19"/>
              </w:rPr>
              <w:t xml:space="preserve">SMB (139/445)</w:t>
            </w:r>
          </w:p>
        </w:tc>
        <w:tc>
          <w:tcPr>
            <w:tcW w:type="dxa" w:w="7700"/>
            <w:shd w:fill="F2F2F2" w:val="clear"/>
            <w:tcMar>
              <w:top w:type="dxa" w:w="60"/>
              <w:left w:type="dxa" w:w="90"/>
              <w:bottom w:type="dxa" w:w="60"/>
              <w:right w:type="dxa" w:w="90"/>
            </w:tcMar>
            <w:vAlign w:val="center"/>
          </w:tcPr>
          <w:p>
            <w:r>
              <w:rPr>
                <w:b w:val="false"/>
                <w:bCs w:val="false"/>
                <w:sz w:val="19"/>
                <w:szCs w:val="19"/>
              </w:rPr>
              <w:t xml:space="preserve">Message signing disabled — flagged “dangerous, but default” by Nmap itself</w:t>
            </w:r>
          </w:p>
        </w:tc>
      </w:tr>
      <w:tr>
        <w:tc>
          <w:tcPr>
            <w:tcW w:type="dxa" w:w="1700"/>
            <w:tcMar>
              <w:top w:type="dxa" w:w="60"/>
              <w:left w:type="dxa" w:w="90"/>
              <w:bottom w:type="dxa" w:w="60"/>
              <w:right w:type="dxa" w:w="90"/>
            </w:tcMar>
            <w:vAlign w:val="center"/>
          </w:tcPr>
          <w:p>
            <w:r>
              <w:rPr>
                <w:b/>
                <w:bCs/>
                <w:sz w:val="19"/>
                <w:szCs w:val="19"/>
              </w:rPr>
              <w:t xml:space="preserve">SMB (139/445)</w:t>
            </w:r>
          </w:p>
        </w:tc>
        <w:tc>
          <w:tcPr>
            <w:tcW w:type="dxa" w:w="7700"/>
            <w:tcMar>
              <w:top w:type="dxa" w:w="60"/>
              <w:left w:type="dxa" w:w="90"/>
              <w:bottom w:type="dxa" w:w="60"/>
              <w:right w:type="dxa" w:w="90"/>
            </w:tcMar>
            <w:vAlign w:val="center"/>
          </w:tcPr>
          <w:p>
            <w:r>
              <w:rPr>
                <w:b w:val="false"/>
                <w:bCs w:val="false"/>
                <w:sz w:val="19"/>
                <w:szCs w:val="19"/>
              </w:rPr>
              <w:t xml:space="preserve">Computer name, domain, and OS build exposed via smb-os-discovery</w:t>
            </w:r>
          </w:p>
        </w:tc>
      </w:tr>
      <w:tr>
        <w:tc>
          <w:tcPr>
            <w:tcW w:type="dxa" w:w="1700"/>
            <w:shd w:fill="F2F2F2" w:val="clear"/>
            <w:tcMar>
              <w:top w:type="dxa" w:w="60"/>
              <w:left w:type="dxa" w:w="90"/>
              <w:bottom w:type="dxa" w:w="60"/>
              <w:right w:type="dxa" w:w="90"/>
            </w:tcMar>
            <w:vAlign w:val="center"/>
          </w:tcPr>
          <w:p>
            <w:r>
              <w:rPr>
                <w:b/>
                <w:bCs/>
                <w:sz w:val="19"/>
                <w:szCs w:val="19"/>
              </w:rPr>
              <w:t xml:space="preserve">Traceroute</w:t>
            </w:r>
          </w:p>
        </w:tc>
        <w:tc>
          <w:tcPr>
            <w:tcW w:type="dxa" w:w="7700"/>
            <w:shd w:fill="F2F2F2" w:val="clear"/>
            <w:tcMar>
              <w:top w:type="dxa" w:w="60"/>
              <w:left w:type="dxa" w:w="90"/>
              <w:bottom w:type="dxa" w:w="60"/>
              <w:right w:type="dxa" w:w="90"/>
            </w:tcMar>
            <w:vAlign w:val="center"/>
          </w:tcPr>
          <w:p>
            <w:r>
              <w:rPr>
                <w:b w:val="false"/>
                <w:bCs w:val="false"/>
                <w:sz w:val="19"/>
                <w:szCs w:val="19"/>
              </w:rPr>
              <w:t xml:space="preserve">1 hop to target, confirming same local network (matches Project 2 and 5)</w:t>
            </w:r>
          </w:p>
        </w:tc>
      </w:tr>
    </w:tbl>
    <w:p>
      <w:pPr>
        <w:pStyle w:val="Heading1"/>
        <w:pageBreakBefore/>
        <w:pBdr>
          <w:bottom w:val="single" w:color="D9D9D9" w:sz="6" w:space="4"/>
        </w:pBdr>
        <w:spacing w:after="200" w:before="320"/>
      </w:pPr>
      <w:r>
        <w:rPr>
          <w:b/>
          <w:bCs/>
          <w:color w:val="1F3864"/>
          <w:sz w:val="28"/>
          <w:szCs w:val="28"/>
        </w:rPr>
        <w:t xml:space="preserve">Risk Analysis</w:t>
      </w:r>
    </w:p>
    <w:p>
      <w:pPr>
        <w:pStyle w:val="ListParagraph"/>
        <w:numPr>
          <w:ilvl w:val="0"/>
          <w:numId w:val="2"/>
        </w:numPr>
        <w:spacing w:after="140"/>
      </w:pPr>
      <w:r>
        <w:rPr>
          <w:b/>
          <w:bCs/>
          <w:color w:val="1F3864"/>
          <w:sz w:val="22"/>
          <w:szCs w:val="22"/>
        </w:rPr>
        <w:t xml:space="preserve">FTP anonymous login — actively confirmed — </w:t>
      </w:r>
      <w:r>
        <w:rPr>
          <w:sz w:val="22"/>
          <w:szCs w:val="22"/>
        </w:rPr>
        <w:t xml:space="preserve">The script directly logged in as “anonymous” and succeeded (FTP code 230). This moves the risk from “possible” (Project 1) to “confirmed working right now.” Anyone can access the FTP server with no credentials.</w:t>
      </w:r>
    </w:p>
    <w:p>
      <w:pPr>
        <w:pStyle w:val="ListParagraph"/>
        <w:numPr>
          <w:ilvl w:val="0"/>
          <w:numId w:val="2"/>
        </w:numPr>
        <w:spacing w:after="140"/>
      </w:pPr>
      <w:r>
        <w:rPr>
          <w:b/>
          <w:bCs/>
          <w:color w:val="1F3864"/>
          <w:sz w:val="22"/>
          <w:szCs w:val="22"/>
        </w:rPr>
        <w:t xml:space="preserve">SMB message signing disabled — </w:t>
      </w:r>
      <w:r>
        <w:rPr>
          <w:sz w:val="22"/>
          <w:szCs w:val="22"/>
        </w:rPr>
        <w:t xml:space="preserve">Nmap's own script labels this “dangerous, but default.” Without signing, SMB traffic can be intercepted and modified in transit, enabling relay attacks between the target and other machines.</w:t>
      </w:r>
    </w:p>
    <w:p>
      <w:pPr>
        <w:pStyle w:val="ListParagraph"/>
        <w:numPr>
          <w:ilvl w:val="0"/>
          <w:numId w:val="2"/>
        </w:numPr>
        <w:spacing w:after="140"/>
      </w:pPr>
      <w:r>
        <w:rPr>
          <w:b/>
          <w:bCs/>
          <w:color w:val="1F3864"/>
          <w:sz w:val="22"/>
          <w:szCs w:val="22"/>
        </w:rPr>
        <w:t xml:space="preserve">Very old, broken SSL supported (SMTP) — </w:t>
      </w:r>
      <w:r>
        <w:rPr>
          <w:sz w:val="22"/>
          <w:szCs w:val="22"/>
        </w:rPr>
        <w:t xml:space="preserve">The mail server still accepts SSLv2 with MD5-based ciphers. Both SSLv2 and MD5 are considered cryptographically broken and should not be usable on any service.</w:t>
      </w:r>
    </w:p>
    <w:p>
      <w:pPr>
        <w:pStyle w:val="ListParagraph"/>
        <w:numPr>
          <w:ilvl w:val="0"/>
          <w:numId w:val="2"/>
        </w:numPr>
        <w:spacing w:after="140"/>
      </w:pPr>
      <w:r>
        <w:rPr>
          <w:b/>
          <w:bCs/>
          <w:color w:val="1F3864"/>
          <w:sz w:val="22"/>
          <w:szCs w:val="22"/>
        </w:rPr>
        <w:t xml:space="preserve">Weak VNC authentication — </w:t>
      </w:r>
      <w:r>
        <w:rPr>
          <w:sz w:val="22"/>
          <w:szCs w:val="22"/>
        </w:rPr>
        <w:t xml:space="preserve">VNC protocol 3.3 uses an old, weak authentication scheme with known bypass methods, in addition to the port already being exposed.</w:t>
      </w:r>
    </w:p>
    <w:p>
      <w:pPr>
        <w:pStyle w:val="ListParagraph"/>
        <w:numPr>
          <w:ilvl w:val="0"/>
          <w:numId w:val="2"/>
        </w:numPr>
        <w:spacing w:after="140"/>
      </w:pPr>
      <w:r>
        <w:rPr>
          <w:b/>
          <w:bCs/>
          <w:color w:val="1F3864"/>
          <w:sz w:val="22"/>
          <w:szCs w:val="22"/>
        </w:rPr>
        <w:t xml:space="preserve">Full RPC service map exposed — </w:t>
      </w:r>
      <w:r>
        <w:rPr>
          <w:sz w:val="22"/>
          <w:szCs w:val="22"/>
        </w:rPr>
        <w:t xml:space="preserve">rpcinfo returned an exact list of every RPC program, version, and port. This removes any guesswork for an attacker targeting RPC-based services like NFS.</w:t>
      </w:r>
    </w:p>
    <w:p>
      <w:pPr>
        <w:pStyle w:val="Heading1"/>
        <w:pageBreakBefore/>
        <w:pBdr>
          <w:bottom w:val="single" w:color="D9D9D9" w:sz="6" w:space="4"/>
        </w:pBdr>
        <w:spacing w:after="200" w:before="320"/>
      </w:pPr>
      <w:r>
        <w:rPr>
          <w:b/>
          <w:bCs/>
          <w:color w:val="1F3864"/>
          <w:sz w:val="28"/>
          <w:szCs w:val="28"/>
        </w:rPr>
        <w:t xml:space="preserve">Conclusion &amp; Recommendation</w:t>
      </w:r>
    </w:p>
    <w:p>
      <w:pPr>
        <w:spacing w:after="120"/>
      </w:pPr>
      <w:r>
        <w:rPr>
          <w:sz w:val="22"/>
          <w:szCs w:val="22"/>
        </w:rPr>
        <w:t xml:space="preserve">The aggressive scan's default scripts turned several earlier assumptions into confirmed findings, most notably working anonymous FTP access and disabled SMB signing. Combined with the backdoors found in Project 4 and the outdated kernel from Project 5, this host has multiple independent, low-effort paths to compromise. Recommendation: disable anonymous FTP, enforce SMB signing, and remove support for SSLv2 and MD5-based ciphers on all services.</w:t>
      </w:r>
    </w:p>
    <w:sectPr>
      <w:headerReference w:type="default" r:id="rId7"/>
      <w:footerReference w:type="default" r:id="rId8"/>
      <w:pgSz w:w="12240" w:h="15840"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pPr>
    <w:r>
      <w:rPr>
        <w:color w:val="595959"/>
        <w:sz w:val="16"/>
        <w:szCs w:val="16"/>
      </w:rPr>
      <w:t xml:space="preserve">Cybersecurity Internship — Network Security &amp; Recon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84ee475a185806c279e14594fc53d9b12be0f8d.png"/><Relationship Id="rId10" Type="http://schemas.openxmlformats.org/officeDocument/2006/relationships/image" Target="media/6ec82b1303b1f4ddce87b14cb34a526c416703b9.png"/><Relationship Id="rId11" Type="http://schemas.openxmlformats.org/officeDocument/2006/relationships/image" Target="media/09c1291cb4f08c39d018371b050a9df4f02551a5.png"/><Relationship Id="rId12" Type="http://schemas.openxmlformats.org/officeDocument/2006/relationships/image" Target="media/2efd8f533120f75279b5953a9c71c04e0badcbdf.png"/><Relationship Id="rId13" Type="http://schemas.openxmlformats.org/officeDocument/2006/relationships/image" Target="media/89765de98d57ec0cbeabfbdc4a00e7773f08d8e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2026-08-21T10:19:14.479Z</dcterms:created>
  <dcterms:modified xsi:type="dcterms:W3CDTF">2026-08-21T10:19:14.489Z</dcterms:modified>
</cp:coreProperties>
</file>

<file path=docProps/custom.xml><?xml version="1.0" encoding="utf-8"?>
<Properties xmlns="http://schemas.openxmlformats.org/officeDocument/2006/custom-properties" xmlns:vt="http://schemas.openxmlformats.org/officeDocument/2006/docPropsVTypes"/>
</file>