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2F5496"/>
          <w:sz w:val="24"/>
          <w:szCs w:val="24"/>
        </w:rPr>
        <w:t xml:space="preserve">PROJECT 11</w:t>
      </w:r>
    </w:p>
    <w:p>
      <w:pPr>
        <w:spacing w:after="200"/>
      </w:pPr>
      <w:r>
        <w:rPr>
          <w:b/>
          <w:bCs/>
          <w:sz w:val="34"/>
          <w:szCs w:val="34"/>
        </w:rPr>
        <w:t xml:space="preserve">Network Topology Mapping of Lab Network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F2F2F2" w:val="clear"/>
            <w:tcMar>
              <w:top w:type="dxa" w:w="100"/>
              <w:left w:type="dxa" w:w="150"/>
              <w:bottom w:type="dxa" w:w="100"/>
              <w:right w:type="dxa" w:w="150"/>
            </w:tcMar>
          </w:tcPr>
          <w:p>
            <w:r>
              <w:rPr>
                <w:b/>
                <w:bCs/>
                <w:color w:val="2F5496"/>
                <w:sz w:val="21"/>
                <w:szCs w:val="21"/>
              </w:rPr>
              <w:t xml:space="preserve">Category: </w:t>
            </w:r>
            <w:r>
              <w:rPr>
                <w:sz w:val="21"/>
                <w:szCs w:val="21"/>
              </w:rPr>
              <w:t xml:space="preserve">Network Security &amp; Recon</w:t>
            </w:r>
          </w:p>
        </w:tc>
        <w:tc>
          <w:tcPr>
            <w:tcW w:type="dxa" w:w="4500"/>
            <w:shd w:fill="F2F2F2" w:val="clear"/>
            <w:tcMar>
              <w:top w:type="dxa" w:w="100"/>
              <w:left w:type="dxa" w:w="150"/>
              <w:bottom w:type="dxa" w:w="100"/>
              <w:right w:type="dxa" w:w="150"/>
            </w:tcMar>
          </w:tcPr>
          <w:p>
            <w:r>
              <w:rPr>
                <w:b/>
                <w:bCs/>
                <w:color w:val="2F5496"/>
                <w:sz w:val="21"/>
                <w:szCs w:val="21"/>
              </w:rPr>
              <w:t xml:space="preserve">Difficulty: </w:t>
            </w:r>
            <w:r>
              <w:rPr>
                <w:sz w:val="21"/>
                <w:szCs w:val="21"/>
              </w:rPr>
              <w:t xml:space="preserve">Intermediate</w:t>
            </w:r>
          </w:p>
        </w:tc>
      </w:tr>
      <w:tr>
        <w:tc>
          <w:tcPr>
            <w:tcW w:type="dxa" w:w="4500"/>
            <w:tcMar>
              <w:top w:type="dxa" w:w="100"/>
              <w:left w:type="dxa" w:w="150"/>
              <w:bottom w:type="dxa" w:w="100"/>
              <w:right w:type="dxa" w:w="150"/>
            </w:tcMar>
          </w:tcPr>
          <w:p>
            <w:r>
              <w:rPr>
                <w:b/>
                <w:bCs/>
                <w:color w:val="2F5496"/>
                <w:sz w:val="21"/>
                <w:szCs w:val="21"/>
              </w:rPr>
              <w:t xml:space="preserve">Target: </w:t>
            </w:r>
            <w:r>
              <w:rPr>
                <w:sz w:val="21"/>
                <w:szCs w:val="21"/>
              </w:rPr>
              <w:t xml:space="preserve">Subnet 192.168.80.0/24</w:t>
            </w:r>
          </w:p>
        </w:tc>
        <w:tc>
          <w:tcPr>
            <w:tcW w:type="dxa" w:w="4500"/>
            <w:tcMar>
              <w:top w:type="dxa" w:w="100"/>
              <w:left w:type="dxa" w:w="150"/>
              <w:bottom w:type="dxa" w:w="100"/>
              <w:right w:type="dxa" w:w="150"/>
            </w:tcMar>
          </w:tcPr>
          <w:p>
            <w:r>
              <w:rPr>
                <w:b/>
                <w:bCs/>
                <w:color w:val="2F5496"/>
                <w:sz w:val="21"/>
                <w:szCs w:val="21"/>
              </w:rPr>
              <w:t xml:space="preserve">Status: </w:t>
            </w:r>
            <w:r>
              <w:rPr>
                <w:sz w:val="21"/>
                <w:szCs w:val="21"/>
              </w:rPr>
              <w:t xml:space="preserve">Completed</w:t>
            </w:r>
          </w:p>
        </w:tc>
      </w:tr>
    </w:tbl>
    <w:p>
      <w:pPr>
        <w:spacing w:before="200"/>
      </w:pPr>
    </w:p>
    <w:p>
      <w:pPr>
        <w:pStyle w:val="Heading1"/>
        <w:pBdr>
          <w:bottom w:val="single" w:color="BFBFBF" w:sz="6" w:space="6"/>
        </w:pBdr>
        <w:spacing w:after="160" w:before="100"/>
      </w:pPr>
      <w:r>
        <w:rPr>
          <w:b/>
          <w:bCs/>
          <w:color w:val="2F5496"/>
          <w:sz w:val="30"/>
          <w:szCs w:val="30"/>
        </w:rPr>
        <w:t xml:space="preserve">Objective</w:t>
      </w:r>
    </w:p>
    <w:p>
      <w:pPr>
        <w:spacing w:after="160"/>
      </w:pPr>
      <w:r>
        <w:rPr>
          <w:sz w:val="22"/>
          <w:szCs w:val="22"/>
        </w:rPr>
        <w:t xml:space="preserve">To map out the devices present on the lab network by identifying every live host on the subnet, along with their IP and MAC addresses, to build a picture of the lab's network structure.</w:t>
      </w:r>
    </w:p>
    <w:p>
      <w:pPr>
        <w:pStyle w:val="Heading1"/>
        <w:pBdr>
          <w:bottom w:val="single" w:color="BFBFBF" w:sz="6" w:space="6"/>
        </w:pBdr>
        <w:spacing w:after="160" w:before="100"/>
      </w:pPr>
      <w:r>
        <w:rPr>
          <w:b/>
          <w:bCs/>
          <w:color w:val="2F5496"/>
          <w:sz w:val="30"/>
          <w:szCs w:val="30"/>
        </w:rPr>
        <w:t xml:space="preserve">Tools Used</w:t>
      </w:r>
    </w:p>
    <w:p>
      <w:pPr>
        <w:pStyle w:val="ListParagraph"/>
        <w:numPr>
          <w:ilvl w:val="0"/>
          <w:numId w:val="1"/>
        </w:numPr>
        <w:spacing w:after="100"/>
      </w:pPr>
      <w:r>
        <w:rPr>
          <w:sz w:val="22"/>
          <w:szCs w:val="22"/>
        </w:rPr>
        <w:t xml:space="preserve">Kali Linux — attacker/scanning machine</w:t>
      </w:r>
    </w:p>
    <w:p>
      <w:pPr>
        <w:pStyle w:val="ListParagraph"/>
        <w:numPr>
          <w:ilvl w:val="0"/>
          <w:numId w:val="1"/>
        </w:numPr>
        <w:spacing w:after="100"/>
      </w:pPr>
      <w:r>
        <w:rPr>
          <w:sz w:val="22"/>
          <w:szCs w:val="22"/>
        </w:rPr>
        <w:t xml:space="preserve">Nmap 7.99 — subnet-wide ping sweep</w:t>
      </w:r>
    </w:p>
    <w:p>
      <w:r>
        <w:br w:type="page"/>
      </w:r>
    </w:p>
    <w:p>
      <w:pPr>
        <w:pStyle w:val="Heading1"/>
        <w:pBdr>
          <w:bottom w:val="single" w:color="BFBFBF" w:sz="6" w:space="6"/>
        </w:pBdr>
        <w:spacing w:after="160" w:before="100"/>
      </w:pPr>
      <w:r>
        <w:rPr>
          <w:b/>
          <w:bCs/>
          <w:color w:val="2F5496"/>
          <w:sz w:val="30"/>
          <w:szCs w:val="30"/>
        </w:rPr>
        <w:t xml:space="preserve">Step-by-Step Process</w:t>
      </w:r>
    </w:p>
    <w:p>
      <w:pPr>
        <w:spacing w:after="80"/>
      </w:pPr>
      <w:r>
        <w:rPr>
          <w:b/>
          <w:bCs/>
          <w:sz w:val="22"/>
          <w:szCs w:val="22"/>
        </w:rPr>
        <w:t xml:space="preserve">Command: </w:t>
      </w:r>
      <w:r>
        <w:rPr>
          <w:rFonts w:ascii="Consolas" w:cs="Consolas" w:eastAsia="Consolas" w:hAnsi="Consolas"/>
          <w:sz w:val="22"/>
          <w:szCs w:val="22"/>
        </w:rPr>
        <w:t xml:space="preserve">nmap -v -sn 192.168.80.1/24</w:t>
      </w:r>
    </w:p>
    <w:p>
      <w:pPr>
        <w:spacing w:after="160"/>
      </w:pPr>
      <w:r>
        <w:rPr>
          <w:sz w:val="22"/>
          <w:szCs w:val="22"/>
        </w:rPr>
        <w:t xml:space="preserve">Ran a ping sweep (-sn) across the entire /24 subnet instead of a single target, to discover every live device on the lab network at once. This checks all 255 possible addresses and reports which ones respond, along with their MAC address where available.</w:t>
      </w:r>
    </w:p>
    <w:p>
      <w:r>
        <w:drawing>
          <wp:inline distT="0" distB="0" distL="0" distR="0">
            <wp:extent cx="552450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162425"/>
                    </a:xfrm>
                    <a:prstGeom prst="rect">
                      <a:avLst/>
                    </a:prstGeom>
                  </pic:spPr>
                </pic:pic>
              </a:graphicData>
            </a:graphic>
          </wp:inline>
        </w:drawing>
      </w:r>
    </w:p>
    <w:p>
      <w:pPr>
        <w:spacing w:after="240" w:before="80"/>
        <w:jc w:val="center"/>
      </w:pPr>
      <w:r>
        <w:rPr>
          <w:i/>
          <w:iCs/>
          <w:color w:val="666666"/>
          <w:sz w:val="20"/>
          <w:szCs w:val="20"/>
        </w:rPr>
        <w:t xml:space="preserve">Figure 1 — Subnet-wide ping sweep starting, gateway and NAT device discovered</w:t>
      </w:r>
    </w:p>
    <w:p>
      <w:pPr>
        <w:spacing w:after="160"/>
      </w:pPr>
      <w:r>
        <w:rPr>
          <w:sz w:val="22"/>
          <w:szCs w:val="22"/>
        </w:rPr>
        <w:t xml:space="preserve">The scan continued through the full address range, and the target machine was confirmed live further down the results:</w:t>
      </w:r>
    </w:p>
    <w:p>
      <w:r>
        <w:drawing>
          <wp:inline distT="0" distB="0" distL="0" distR="0">
            <wp:extent cx="447675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4086225"/>
                    </a:xfrm>
                    <a:prstGeom prst="rect">
                      <a:avLst/>
                    </a:prstGeom>
                  </pic:spPr>
                </pic:pic>
              </a:graphicData>
            </a:graphic>
          </wp:inline>
        </w:drawing>
      </w:r>
    </w:p>
    <w:p>
      <w:pPr>
        <w:spacing w:after="240" w:before="80"/>
        <w:jc w:val="center"/>
      </w:pPr>
      <w:r>
        <w:rPr>
          <w:i/>
          <w:iCs/>
          <w:color w:val="666666"/>
          <w:sz w:val="20"/>
          <w:szCs w:val="20"/>
        </w:rPr>
        <w:t xml:space="preserve">Figure 2 — Metasploitable 2 (192.168.80.133) confirmed up during the sweep</w:t>
      </w:r>
    </w:p>
    <w:p>
      <w:r>
        <w:br w:type="page"/>
      </w:r>
    </w:p>
    <w:p>
      <w:pPr>
        <w:pStyle w:val="Heading1"/>
        <w:pBdr>
          <w:bottom w:val="single" w:color="BFBFBF" w:sz="6" w:space="6"/>
        </w:pBdr>
        <w:spacing w:after="160" w:before="100"/>
      </w:pPr>
      <w:r>
        <w:rPr>
          <w:b/>
          <w:bCs/>
          <w:color w:val="2F5496"/>
          <w:sz w:val="30"/>
          <w:szCs w:val="30"/>
        </w:rPr>
        <w:t xml:space="preserve">Findings</w:t>
      </w:r>
    </w:p>
    <w:p>
      <w:pPr>
        <w:spacing w:after="160"/>
      </w:pPr>
      <w:r>
        <w:rPr>
          <w:sz w:val="22"/>
          <w:szCs w:val="22"/>
        </w:rPr>
        <w:t xml:space="preserve">Out of the full 255-address range, only a small number of hosts responded as live: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3500"/>
        <w:gridCol w:w="3250"/>
      </w:tblGrid>
      <w:tr>
        <w:trPr>
          <w:tblHeader/>
        </w:trPr>
        <w:tc>
          <w:tcPr>
            <w:tcW w:type="dxa" w:w="2250"/>
            <w:shd w:fill="2F5496" w:val="clear"/>
            <w:tcMar>
              <w:top w:type="dxa" w:w="100"/>
              <w:left w:type="dxa" w:w="100"/>
              <w:bottom w:type="dxa" w:w="100"/>
              <w:right w:type="dxa" w:w="100"/>
            </w:tcMar>
          </w:tcPr>
          <w:p>
            <w:r>
              <w:rPr>
                <w:b/>
                <w:bCs/>
                <w:color w:val="FFFFFF"/>
                <w:sz w:val="20"/>
                <w:szCs w:val="20"/>
              </w:rPr>
              <w:t xml:space="preserve">IP Address</w:t>
            </w:r>
          </w:p>
        </w:tc>
        <w:tc>
          <w:tcPr>
            <w:tcW w:type="dxa" w:w="2250"/>
            <w:shd w:fill="2F5496" w:val="clear"/>
            <w:tcMar>
              <w:top w:type="dxa" w:w="100"/>
              <w:left w:type="dxa" w:w="100"/>
              <w:bottom w:type="dxa" w:w="100"/>
              <w:right w:type="dxa" w:w="100"/>
            </w:tcMar>
          </w:tcPr>
          <w:p>
            <w:r>
              <w:rPr>
                <w:b/>
                <w:bCs/>
                <w:color w:val="FFFFFF"/>
                <w:sz w:val="20"/>
                <w:szCs w:val="20"/>
              </w:rPr>
              <w:t xml:space="preserve">MAC Address</w:t>
            </w:r>
          </w:p>
        </w:tc>
        <w:tc>
          <w:tcPr>
            <w:tcW w:type="dxa" w:w="2250"/>
            <w:shd w:fill="2F5496" w:val="clear"/>
            <w:tcMar>
              <w:top w:type="dxa" w:w="100"/>
              <w:left w:type="dxa" w:w="100"/>
              <w:bottom w:type="dxa" w:w="100"/>
              <w:right w:type="dxa" w:w="100"/>
            </w:tcMar>
          </w:tcPr>
          <w:p>
            <w:r>
              <w:rPr>
                <w:b/>
                <w:bCs/>
                <w:color w:val="FFFFFF"/>
                <w:sz w:val="20"/>
                <w:szCs w:val="20"/>
              </w:rPr>
              <w:t xml:space="preserve">Role</w:t>
            </w:r>
          </w:p>
        </w:tc>
      </w:tr>
      <w:tr>
        <w:tc>
          <w:tcPr>
            <w:tcW w:type="dxa" w:w="2250"/>
            <w:tcMar>
              <w:top w:type="dxa" w:w="100"/>
              <w:left w:type="dxa" w:w="100"/>
              <w:bottom w:type="dxa" w:w="100"/>
              <w:right w:type="dxa" w:w="100"/>
            </w:tcMar>
          </w:tcPr>
          <w:p>
            <w:r>
              <w:rPr>
                <w:rFonts w:ascii="Consolas" w:cs="Consolas" w:eastAsia="Consolas" w:hAnsi="Consolas"/>
                <w:sz w:val="19"/>
                <w:szCs w:val="19"/>
              </w:rPr>
              <w:t xml:space="preserve">192.168.80.1</w:t>
            </w:r>
          </w:p>
        </w:tc>
        <w:tc>
          <w:tcPr>
            <w:tcW w:type="dxa" w:w="2250"/>
            <w:tcMar>
              <w:top w:type="dxa" w:w="100"/>
              <w:left w:type="dxa" w:w="100"/>
              <w:bottom w:type="dxa" w:w="100"/>
              <w:right w:type="dxa" w:w="100"/>
            </w:tcMar>
          </w:tcPr>
          <w:p>
            <w:r>
              <w:rPr>
                <w:rFonts w:ascii="Consolas" w:cs="Consolas" w:eastAsia="Consolas" w:hAnsi="Consolas"/>
                <w:sz w:val="19"/>
                <w:szCs w:val="19"/>
              </w:rPr>
              <w:t xml:space="preserve">00:50:56:C0:00:08 (VMware)</w:t>
            </w:r>
          </w:p>
        </w:tc>
        <w:tc>
          <w:tcPr>
            <w:tcW w:type="dxa" w:w="2250"/>
            <w:tcMar>
              <w:top w:type="dxa" w:w="100"/>
              <w:left w:type="dxa" w:w="100"/>
              <w:bottom w:type="dxa" w:w="100"/>
              <w:right w:type="dxa" w:w="100"/>
            </w:tcMar>
          </w:tcPr>
          <w:p>
            <w:r>
              <w:rPr>
                <w:sz w:val="19"/>
                <w:szCs w:val="19"/>
              </w:rPr>
              <w:t xml:space="preserve">Gateway / router</w:t>
            </w:r>
          </w:p>
        </w:tc>
      </w:tr>
      <w:tr>
        <w:tc>
          <w:tcPr>
            <w:tcW w:type="dxa" w:w="2250"/>
            <w:shd w:fill="F2F2F2" w:val="clear"/>
            <w:tcMar>
              <w:top w:type="dxa" w:w="100"/>
              <w:left w:type="dxa" w:w="100"/>
              <w:bottom w:type="dxa" w:w="100"/>
              <w:right w:type="dxa" w:w="100"/>
            </w:tcMar>
          </w:tcPr>
          <w:p>
            <w:r>
              <w:rPr>
                <w:rFonts w:ascii="Consolas" w:cs="Consolas" w:eastAsia="Consolas" w:hAnsi="Consolas"/>
                <w:sz w:val="19"/>
                <w:szCs w:val="19"/>
              </w:rPr>
              <w:t xml:space="preserve">192.168.80.2</w:t>
            </w:r>
          </w:p>
        </w:tc>
        <w:tc>
          <w:tcPr>
            <w:tcW w:type="dxa" w:w="2250"/>
            <w:shd w:fill="F2F2F2" w:val="clear"/>
            <w:tcMar>
              <w:top w:type="dxa" w:w="100"/>
              <w:left w:type="dxa" w:w="100"/>
              <w:bottom w:type="dxa" w:w="100"/>
              <w:right w:type="dxa" w:w="100"/>
            </w:tcMar>
          </w:tcPr>
          <w:p>
            <w:r>
              <w:rPr>
                <w:rFonts w:ascii="Consolas" w:cs="Consolas" w:eastAsia="Consolas" w:hAnsi="Consolas"/>
                <w:sz w:val="19"/>
                <w:szCs w:val="19"/>
              </w:rPr>
              <w:t xml:space="preserve">00:50:56:EF:76:5D (VMware)</w:t>
            </w:r>
          </w:p>
        </w:tc>
        <w:tc>
          <w:tcPr>
            <w:tcW w:type="dxa" w:w="2250"/>
            <w:shd w:fill="F2F2F2" w:val="clear"/>
            <w:tcMar>
              <w:top w:type="dxa" w:w="100"/>
              <w:left w:type="dxa" w:w="100"/>
              <w:bottom w:type="dxa" w:w="100"/>
              <w:right w:type="dxa" w:w="100"/>
            </w:tcMar>
          </w:tcPr>
          <w:p>
            <w:r>
              <w:rPr>
                <w:sz w:val="19"/>
                <w:szCs w:val="19"/>
              </w:rPr>
              <w:t xml:space="preserve">VMware NAT device</w:t>
            </w:r>
          </w:p>
        </w:tc>
      </w:tr>
      <w:tr>
        <w:tc>
          <w:tcPr>
            <w:tcW w:type="dxa" w:w="2250"/>
            <w:tcMar>
              <w:top w:type="dxa" w:w="100"/>
              <w:left w:type="dxa" w:w="100"/>
              <w:bottom w:type="dxa" w:w="100"/>
              <w:right w:type="dxa" w:w="100"/>
            </w:tcMar>
          </w:tcPr>
          <w:p>
            <w:r>
              <w:rPr>
                <w:rFonts w:ascii="Consolas" w:cs="Consolas" w:eastAsia="Consolas" w:hAnsi="Consolas"/>
                <w:sz w:val="19"/>
                <w:szCs w:val="19"/>
              </w:rPr>
              <w:t xml:space="preserve">192.168.80.131</w:t>
            </w:r>
          </w:p>
        </w:tc>
        <w:tc>
          <w:tcPr>
            <w:tcW w:type="dxa" w:w="2250"/>
            <w:tcMar>
              <w:top w:type="dxa" w:w="100"/>
              <w:left w:type="dxa" w:w="100"/>
              <w:bottom w:type="dxa" w:w="100"/>
              <w:right w:type="dxa" w:w="100"/>
            </w:tcMar>
          </w:tcPr>
          <w:p>
            <w:r>
              <w:rPr>
                <w:rFonts w:ascii="Consolas" w:cs="Consolas" w:eastAsia="Consolas" w:hAnsi="Consolas"/>
                <w:sz w:val="19"/>
                <w:szCs w:val="19"/>
              </w:rPr>
              <w:t xml:space="preserve">— (local host)</w:t>
            </w:r>
          </w:p>
        </w:tc>
        <w:tc>
          <w:tcPr>
            <w:tcW w:type="dxa" w:w="2250"/>
            <w:tcMar>
              <w:top w:type="dxa" w:w="100"/>
              <w:left w:type="dxa" w:w="100"/>
              <w:bottom w:type="dxa" w:w="100"/>
              <w:right w:type="dxa" w:w="100"/>
            </w:tcMar>
          </w:tcPr>
          <w:p>
            <w:r>
              <w:rPr>
                <w:sz w:val="19"/>
                <w:szCs w:val="19"/>
              </w:rPr>
              <w:t xml:space="preserve">Kali Linux (attacker machine — running the scan)</w:t>
            </w:r>
          </w:p>
        </w:tc>
      </w:tr>
      <w:tr>
        <w:tc>
          <w:tcPr>
            <w:tcW w:type="dxa" w:w="2250"/>
            <w:shd w:fill="F2F2F2" w:val="clear"/>
            <w:tcMar>
              <w:top w:type="dxa" w:w="100"/>
              <w:left w:type="dxa" w:w="100"/>
              <w:bottom w:type="dxa" w:w="100"/>
              <w:right w:type="dxa" w:w="100"/>
            </w:tcMar>
          </w:tcPr>
          <w:p>
            <w:r>
              <w:rPr>
                <w:rFonts w:ascii="Consolas" w:cs="Consolas" w:eastAsia="Consolas" w:hAnsi="Consolas"/>
                <w:sz w:val="19"/>
                <w:szCs w:val="19"/>
              </w:rPr>
              <w:t xml:space="preserve">192.168.80.133</w:t>
            </w:r>
          </w:p>
        </w:tc>
        <w:tc>
          <w:tcPr>
            <w:tcW w:type="dxa" w:w="2250"/>
            <w:shd w:fill="F2F2F2" w:val="clear"/>
            <w:tcMar>
              <w:top w:type="dxa" w:w="100"/>
              <w:left w:type="dxa" w:w="100"/>
              <w:bottom w:type="dxa" w:w="100"/>
              <w:right w:type="dxa" w:w="100"/>
            </w:tcMar>
          </w:tcPr>
          <w:p>
            <w:r>
              <w:rPr>
                <w:rFonts w:ascii="Consolas" w:cs="Consolas" w:eastAsia="Consolas" w:hAnsi="Consolas"/>
                <w:sz w:val="19"/>
                <w:szCs w:val="19"/>
              </w:rPr>
              <w:t xml:space="preserve">00:0C:29:A6:56:F7 (VMware)</w:t>
            </w:r>
          </w:p>
        </w:tc>
        <w:tc>
          <w:tcPr>
            <w:tcW w:type="dxa" w:w="2250"/>
            <w:shd w:fill="F2F2F2" w:val="clear"/>
            <w:tcMar>
              <w:top w:type="dxa" w:w="100"/>
              <w:left w:type="dxa" w:w="100"/>
              <w:bottom w:type="dxa" w:w="100"/>
              <w:right w:type="dxa" w:w="100"/>
            </w:tcMar>
          </w:tcPr>
          <w:p>
            <w:r>
              <w:rPr>
                <w:sz w:val="19"/>
                <w:szCs w:val="19"/>
              </w:rPr>
              <w:t xml:space="preserve">Metasploitable 2 (target machine)</w:t>
            </w:r>
          </w:p>
        </w:tc>
      </w:tr>
    </w:tbl>
    <w:p>
      <w:pPr>
        <w:spacing w:before="200"/>
      </w:pPr>
    </w:p>
    <w:p>
      <w:pPr>
        <w:spacing w:after="160"/>
      </w:pPr>
      <w:r>
        <w:rPr>
          <w:sz w:val="22"/>
          <w:szCs w:val="22"/>
        </w:rPr>
        <w:t xml:space="preserve">Kali itself (192.168.80.131) does not appear in its own scan output, since a host does not need to ping itself to know it's active — it is included here as the machine performing the scan. No additional lab devices (such as the Windows Server 2019 VM) were live at the time of this scan. All responding hosts carry VMware MAC address prefixes, confirming this is an entirely virtualized lab environment on a single flat subnet, with no routing hops between devices.</w:t>
      </w:r>
    </w:p>
    <w:p>
      <w:r>
        <w:br w:type="page"/>
      </w:r>
    </w:p>
    <w:p>
      <w:pPr>
        <w:pStyle w:val="Heading1"/>
        <w:pBdr>
          <w:bottom w:val="single" w:color="BFBFBF" w:sz="6" w:space="6"/>
        </w:pBdr>
        <w:spacing w:after="160" w:before="100"/>
      </w:pPr>
      <w:r>
        <w:rPr>
          <w:b/>
          <w:bCs/>
          <w:color w:val="2F5496"/>
          <w:sz w:val="30"/>
          <w:szCs w:val="30"/>
        </w:rPr>
        <w:t xml:space="preserve">Risk Analysis</w:t>
      </w:r>
    </w:p>
    <w:p>
      <w:pPr>
        <w:pStyle w:val="ListParagraph"/>
        <w:numPr>
          <w:ilvl w:val="0"/>
          <w:numId w:val="1"/>
        </w:numPr>
        <w:spacing w:after="120"/>
      </w:pPr>
      <w:r>
        <w:rPr>
          <w:b/>
          <w:bCs/>
          <w:color w:val="2F5496"/>
          <w:sz w:val="22"/>
          <w:szCs w:val="22"/>
        </w:rPr>
        <w:t xml:space="preserve">A flat network with no segmentation</w:t>
      </w:r>
      <w:r>
        <w:rPr>
          <w:sz w:val="22"/>
          <w:szCs w:val="22"/>
        </w:rPr>
        <w:t xml:space="preserve"> — means that if one machine on this subnet is compromised, an attacker has direct, unobstructed access to every other machine on it — there is no internal firewall or VLAN boundary to slow them down.</w:t>
      </w:r>
    </w:p>
    <w:p>
      <w:pPr>
        <w:pStyle w:val="ListParagraph"/>
        <w:numPr>
          <w:ilvl w:val="0"/>
          <w:numId w:val="1"/>
        </w:numPr>
        <w:spacing w:after="120"/>
      </w:pPr>
      <w:r>
        <w:rPr>
          <w:b/>
          <w:bCs/>
          <w:color w:val="2F5496"/>
          <w:sz w:val="22"/>
          <w:szCs w:val="22"/>
        </w:rPr>
        <w:t xml:space="preserve">Mapping the topology is often an attacker's first move after gaining any foothold</w:t>
      </w:r>
      <w:r>
        <w:rPr>
          <w:sz w:val="22"/>
          <w:szCs w:val="22"/>
        </w:rPr>
        <w:t xml:space="preserve"> — knowing exactly what else is reachable on the network lets them plan further movement quickly.</w:t>
      </w:r>
    </w:p>
    <w:p>
      <w:r>
        <w:br w:type="page"/>
      </w:r>
    </w:p>
    <w:p>
      <w:pPr>
        <w:pStyle w:val="Heading1"/>
        <w:pBdr>
          <w:bottom w:val="single" w:color="BFBFBF" w:sz="6" w:space="6"/>
        </w:pBdr>
        <w:spacing w:after="160" w:before="100"/>
      </w:pPr>
      <w:r>
        <w:rPr>
          <w:b/>
          <w:bCs/>
          <w:color w:val="2F5496"/>
          <w:sz w:val="30"/>
          <w:szCs w:val="30"/>
        </w:rPr>
        <w:t xml:space="preserve">Conclusion &amp; Recommendation</w:t>
      </w:r>
    </w:p>
    <w:p>
      <w:pPr>
        <w:spacing w:after="160"/>
      </w:pPr>
      <w:r>
        <w:rPr>
          <w:sz w:val="22"/>
          <w:szCs w:val="22"/>
        </w:rPr>
        <w:t xml:space="preserve">The subnet-wide ping sweep confirmed a small, flat lab network consisting of the gateway, a NAT device, the Kali attacker machine, and the Metasploitable 2 target — all on the same unsegmented subnet.</w:t>
      </w:r>
    </w:p>
    <w:p>
      <w:pPr>
        <w:spacing w:after="160"/>
      </w:pPr>
      <w:r>
        <w:rPr>
          <w:sz w:val="22"/>
          <w:szCs w:val="22"/>
        </w:rPr>
        <w:t xml:space="preserve">Recommendation: in a real environment, critical systems should be separated onto different network segments (VLANs) so that a single compromised host cannot directly reach every other machine on the network. This baseline host list is also useful going forward as a reference point for spotting any unauthorized new devices that appear on the subnet later.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b/>
        <w:bCs/>
        <w:color w:val="80808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color w:val="808080"/>
        <w:sz w:val="18"/>
        <w:szCs w:val="18"/>
      </w:rPr>
      <w:t xml:space="preserve">Cybersecurity Internship — Network Security &amp; Recon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dacf5355f4e2e2a296cc239c9bf2dfa00e1fe7.png"/><Relationship Id="rId10" Type="http://schemas.openxmlformats.org/officeDocument/2006/relationships/image" Target="media/c173110cb0bed5eb674977bcb869c2953d7b8df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2026-08-25T11:42:50.016Z</dcterms:created>
  <dcterms:modified xsi:type="dcterms:W3CDTF">2026-08-25T11:42:50.034Z</dcterms:modified>
</cp:coreProperties>
</file>

<file path=docProps/custom.xml><?xml version="1.0" encoding="utf-8"?>
<Properties xmlns="http://schemas.openxmlformats.org/officeDocument/2006/custom-properties" xmlns:vt="http://schemas.openxmlformats.org/officeDocument/2006/docPropsVTypes"/>
</file>