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b/>
          <w:bCs/>
          <w:color w:val="2F5496"/>
          <w:sz w:val="24"/>
          <w:szCs w:val="24"/>
        </w:rPr>
        <w:t xml:space="preserve">PROJECT 18</w:t>
      </w:r>
    </w:p>
    <w:p>
      <w:pPr>
        <w:spacing w:after="200"/>
      </w:pPr>
      <w:r>
        <w:rPr>
          <w:b/>
          <w:bCs/>
          <w:sz w:val="34"/>
          <w:szCs w:val="34"/>
        </w:rPr>
        <w:t xml:space="preserve">MAC Address Identification &amp; Vendor Lookup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2F5496"/>
                <w:sz w:val="21"/>
                <w:szCs w:val="21"/>
              </w:rPr>
              <w:t xml:space="preserve">Category: </w:t>
            </w:r>
            <w:r>
              <w:rPr>
                <w:sz w:val="21"/>
                <w:szCs w:val="21"/>
              </w:rPr>
              <w:t xml:space="preserve">Network Security &amp; Recon</w:t>
            </w:r>
          </w:p>
        </w:tc>
        <w:tc>
          <w:tcPr>
            <w:tcW w:type="dxa" w:w="450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2F5496"/>
                <w:sz w:val="21"/>
                <w:szCs w:val="21"/>
              </w:rPr>
              <w:t xml:space="preserve">Difficulty: </w:t>
            </w:r>
            <w:r>
              <w:rPr>
                <w:sz w:val="21"/>
                <w:szCs w:val="21"/>
              </w:rPr>
              <w:t xml:space="preserve">Intermediate</w:t>
            </w:r>
          </w:p>
        </w:tc>
      </w:tr>
      <w:tr>
        <w:tc>
          <w:tcPr>
            <w:tcW w:type="dxa" w:w="45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2F5496"/>
                <w:sz w:val="21"/>
                <w:szCs w:val="21"/>
              </w:rPr>
              <w:t xml:space="preserve">Target: </w:t>
            </w:r>
            <w:r>
              <w:rPr>
                <w:sz w:val="21"/>
                <w:szCs w:val="21"/>
              </w:rPr>
              <w:t xml:space="preserve">Subnet 192.168.80.0/24</w:t>
            </w:r>
          </w:p>
        </w:tc>
        <w:tc>
          <w:tcPr>
            <w:tcW w:type="dxa" w:w="45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2F5496"/>
                <w:sz w:val="21"/>
                <w:szCs w:val="21"/>
              </w:rPr>
              <w:t xml:space="preserve">Status: </w:t>
            </w:r>
            <w:r>
              <w:rPr>
                <w:sz w:val="21"/>
                <w:szCs w:val="21"/>
              </w:rPr>
              <w:t xml:space="preserve">Completed</w:t>
            </w:r>
          </w:p>
        </w:tc>
      </w:tr>
    </w:tbl>
    <w:p>
      <w:pPr>
        <w:spacing w:before="200"/>
      </w:pPr>
    </w:p>
    <w:p>
      <w:pPr>
        <w:pStyle w:val="Heading1"/>
        <w:pBdr>
          <w:bottom w:val="single" w:color="BFBFBF" w:sz="6" w:space="6"/>
        </w:pBdr>
        <w:spacing w:after="160" w:before="100"/>
      </w:pPr>
      <w:r>
        <w:rPr>
          <w:b/>
          <w:bCs/>
          <w:color w:val="2F5496"/>
          <w:sz w:val="30"/>
          <w:szCs w:val="30"/>
        </w:rPr>
        <w:t xml:space="preserve">Objective</w:t>
      </w:r>
    </w:p>
    <w:p>
      <w:pPr>
        <w:spacing w:after="160"/>
      </w:pPr>
      <w:r>
        <w:rPr>
          <w:sz w:val="22"/>
          <w:szCs w:val="22"/>
        </w:rPr>
        <w:t xml:space="preserve">To identify the hardware vendor behind each device on the network using its MAC address, reusing data already collected from the ARP scan.</w:t>
      </w:r>
    </w:p>
    <w:p>
      <w:pPr>
        <w:pStyle w:val="Heading1"/>
        <w:pBdr>
          <w:bottom w:val="single" w:color="BFBFBF" w:sz="6" w:space="6"/>
        </w:pBdr>
        <w:spacing w:after="160" w:before="100"/>
      </w:pPr>
      <w:r>
        <w:rPr>
          <w:b/>
          <w:bCs/>
          <w:color w:val="2F5496"/>
          <w:sz w:val="30"/>
          <w:szCs w:val="30"/>
        </w:rPr>
        <w:t xml:space="preserve">Tools Used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Kali Linux — attacker/scanning machine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arp-scan — automatically resolves vendor from MAC OUI</w:t>
      </w:r>
    </w:p>
    <w:p>
      <w:r>
        <w:br w:type="page"/>
      </w:r>
    </w:p>
    <w:p>
      <w:pPr>
        <w:pStyle w:val="Heading1"/>
        <w:pBdr>
          <w:bottom w:val="single" w:color="BFBFBF" w:sz="6" w:space="6"/>
        </w:pBdr>
        <w:spacing w:after="160" w:before="100"/>
      </w:pPr>
      <w:r>
        <w:rPr>
          <w:b/>
          <w:bCs/>
          <w:color w:val="2F5496"/>
          <w:sz w:val="30"/>
          <w:szCs w:val="30"/>
        </w:rPr>
        <w:t xml:space="preserve">Step-by-Step Process</w:t>
      </w:r>
    </w:p>
    <w:p>
      <w:pPr>
        <w:spacing w:after="160"/>
      </w:pPr>
      <w:r>
        <w:rPr>
          <w:sz w:val="22"/>
          <w:szCs w:val="22"/>
        </w:rPr>
        <w:t xml:space="preserve">Reused the ARP scan from Project 13, which already resolves the vendor name for each MAC address automatically from its OUI (Organizationally Unique Identifier) prefix.</w:t>
      </w:r>
    </w:p>
    <w:p>
      <w:r>
        <w:drawing>
          <wp:inline distT="0" distB="0" distL="0" distR="0">
            <wp:extent cx="5334000" cy="2105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  <w:jc w:val="center"/>
      </w:pPr>
      <w:r>
        <w:rPr>
          <w:i/>
          <w:iCs/>
          <w:color w:val="666666"/>
          <w:sz w:val="20"/>
          <w:szCs w:val="20"/>
        </w:rPr>
        <w:t xml:space="preserve">Figure 1 — ARP scan showing MAC address and resolved vendor for each host</w:t>
      </w:r>
    </w:p>
    <w:p>
      <w:pPr>
        <w:pStyle w:val="Heading1"/>
        <w:pBdr>
          <w:bottom w:val="single" w:color="BFBFBF" w:sz="6" w:space="6"/>
        </w:pBdr>
        <w:spacing w:after="160" w:before="100"/>
      </w:pPr>
      <w:r>
        <w:rPr>
          <w:b/>
          <w:bCs/>
          <w:color w:val="2F5496"/>
          <w:sz w:val="30"/>
          <w:szCs w:val="30"/>
        </w:rPr>
        <w:t xml:space="preserve">Findings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3800"/>
      </w:tblGrid>
      <w:tr>
        <w:trPr>
          <w:tblHeader/>
        </w:trPr>
        <w:tc>
          <w:tcPr>
            <w:tcW w:type="dxa" w:w="2200"/>
            <w:shd w:fill="2F549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IP Address</w:t>
            </w:r>
          </w:p>
        </w:tc>
        <w:tc>
          <w:tcPr>
            <w:tcW w:type="dxa" w:w="3000"/>
            <w:shd w:fill="2F549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MAC Prefix (OUI)</w:t>
            </w:r>
          </w:p>
        </w:tc>
        <w:tc>
          <w:tcPr>
            <w:tcW w:type="dxa" w:w="3800"/>
            <w:shd w:fill="2F549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Vendor</w:t>
            </w:r>
          </w:p>
        </w:tc>
      </w:tr>
      <w:tr>
        <w:tc>
          <w:tcPr>
            <w:tcW w:type="dxa" w:w="2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192.168.80.1</w:t>
            </w:r>
          </w:p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00:50:56</w:t>
            </w:r>
          </w:p>
        </w:tc>
        <w:tc>
          <w:tcPr>
            <w:tcW w:type="dxa" w:w="38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VMware, Inc.</w:t>
            </w:r>
          </w:p>
        </w:tc>
      </w:tr>
      <w:tr>
        <w:tc>
          <w:tcPr>
            <w:tcW w:type="dxa" w:w="22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192.168.80.2</w:t>
            </w:r>
          </w:p>
        </w:tc>
        <w:tc>
          <w:tcPr>
            <w:tcW w:type="dxa" w:w="30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00:50:56</w:t>
            </w:r>
          </w:p>
        </w:tc>
        <w:tc>
          <w:tcPr>
            <w:tcW w:type="dxa" w:w="38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VMware, Inc.</w:t>
            </w:r>
          </w:p>
        </w:tc>
      </w:tr>
      <w:tr>
        <w:tc>
          <w:tcPr>
            <w:tcW w:type="dxa" w:w="2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192.168.80.133</w:t>
            </w:r>
          </w:p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00:0c:29</w:t>
            </w:r>
          </w:p>
        </w:tc>
        <w:tc>
          <w:tcPr>
            <w:tcW w:type="dxa" w:w="38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VMware, Inc.</w:t>
            </w:r>
          </w:p>
        </w:tc>
      </w:tr>
      <w:tr>
        <w:tc>
          <w:tcPr>
            <w:tcW w:type="dxa" w:w="22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192.168.80.254</w:t>
            </w:r>
          </w:p>
        </w:tc>
        <w:tc>
          <w:tcPr>
            <w:tcW w:type="dxa" w:w="30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00:50:56</w:t>
            </w:r>
          </w:p>
        </w:tc>
        <w:tc>
          <w:tcPr>
            <w:tcW w:type="dxa" w:w="38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VMware, Inc.</w:t>
            </w:r>
          </w:p>
        </w:tc>
      </w:tr>
    </w:tbl>
    <w:p>
      <w:pPr>
        <w:spacing w:before="200"/>
      </w:pPr>
    </w:p>
    <w:p>
      <w:pPr>
        <w:spacing w:after="160"/>
      </w:pPr>
      <w:r>
        <w:rPr>
          <w:sz w:val="22"/>
          <w:szCs w:val="22"/>
        </w:rPr>
        <w:t xml:space="preserve">Every device on this subnet resolves to VMware, Inc., confirming the entire lab environment is fully virtualized with no physical hardware present on this network segment.</w:t>
      </w:r>
    </w:p>
    <w:p>
      <w:r>
        <w:br w:type="page"/>
      </w:r>
    </w:p>
    <w:p>
      <w:pPr>
        <w:pStyle w:val="Heading1"/>
        <w:pBdr>
          <w:bottom w:val="single" w:color="BFBFBF" w:sz="6" w:space="6"/>
        </w:pBdr>
        <w:spacing w:after="160" w:before="100"/>
      </w:pPr>
      <w:r>
        <w:rPr>
          <w:b/>
          <w:bCs/>
          <w:color w:val="2F5496"/>
          <w:sz w:val="30"/>
          <w:szCs w:val="30"/>
        </w:rPr>
        <w:t xml:space="preserve">Risk Analysis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/>
          <w:bCs/>
          <w:color w:val="2F5496"/>
          <w:sz w:val="22"/>
          <w:szCs w:val="22"/>
        </w:rPr>
        <w:t xml:space="preserve">MAC vendor lookup is a fast way to spot unexpected devices</w:t>
      </w:r>
      <w:r>
        <w:rPr>
          <w:sz w:val="22"/>
          <w:szCs w:val="22"/>
        </w:rPr>
        <w:t xml:space="preserve"> — on a real network, seeing a vendor other than the organization's standard hardware supplier is an immediate red flag for rogue devices.</w:t>
      </w:r>
    </w:p>
    <w:p>
      <w:r>
        <w:br w:type="page"/>
      </w:r>
    </w:p>
    <w:p>
      <w:pPr>
        <w:pStyle w:val="Heading1"/>
        <w:pBdr>
          <w:bottom w:val="single" w:color="BFBFBF" w:sz="6" w:space="6"/>
        </w:pBdr>
        <w:spacing w:after="160" w:before="100"/>
      </w:pPr>
      <w:r>
        <w:rPr>
          <w:b/>
          <w:bCs/>
          <w:color w:val="2F5496"/>
          <w:sz w:val="30"/>
          <w:szCs w:val="30"/>
        </w:rPr>
        <w:t xml:space="preserve">Conclusion &amp; Recommendation</w:t>
      </w:r>
    </w:p>
    <w:p>
      <w:pPr>
        <w:spacing w:after="160"/>
      </w:pPr>
      <w:r>
        <w:rPr>
          <w:sz w:val="22"/>
          <w:szCs w:val="22"/>
        </w:rPr>
        <w:t xml:space="preserve">All devices identified on this subnet trace back to VMware, confirming a fully virtualized lab with no unexpected hardware vendors present.</w:t>
      </w:r>
    </w:p>
    <w:p>
      <w:pPr>
        <w:spacing w:after="160"/>
      </w:pPr>
      <w:r>
        <w:rPr>
          <w:sz w:val="22"/>
          <w:szCs w:val="22"/>
        </w:rPr>
        <w:t xml:space="preserve">Recommendation: maintain a baseline list of approved vendor OUIs for production networks and alert on any MAC address resolving outside that list.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Page </w:t>
    </w:r>
    <w:r>
      <w:rPr>
        <w:b/>
        <w:bCs/>
        <w:color w:val="808080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</w:pPr>
    <w:r>
      <w:rPr>
        <w:color w:val="808080"/>
        <w:sz w:val="18"/>
        <w:szCs w:val="18"/>
      </w:rPr>
      <w:t xml:space="preserve">Cybersecurity Internship — Network Security &amp; Recon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225499462ceb447273d3570a9d0ef7cd82936b64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2026-08-26T10:13:44.203Z</dcterms:created>
  <dcterms:modified xsi:type="dcterms:W3CDTF">2026-08-26T10:13:44.203Z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